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B1D" w:rsidRDefault="00BB0B1D" w:rsidP="00BA38C4">
      <w:pPr>
        <w:spacing w:after="200"/>
        <w:ind w:right="283"/>
        <w:jc w:val="center"/>
        <w:rPr>
          <w:b/>
          <w:bCs/>
          <w:caps/>
          <w:color w:val="010000"/>
        </w:rPr>
      </w:pPr>
      <w:r w:rsidRPr="00BA38C4">
        <w:rPr>
          <w:b/>
          <w:bCs/>
          <w:caps/>
          <w:color w:val="010000"/>
        </w:rPr>
        <w:t>ANAYASA MAHKEMESİ KARARI</w:t>
      </w:r>
    </w:p>
    <w:p w:rsidR="00BA38C4" w:rsidRPr="00BA38C4" w:rsidRDefault="00BA38C4" w:rsidP="00BA38C4">
      <w:pPr>
        <w:spacing w:after="200"/>
        <w:ind w:right="283" w:firstLine="709"/>
        <w:jc w:val="center"/>
        <w:rPr>
          <w:b/>
          <w:bCs/>
          <w:caps/>
          <w:color w:val="010000"/>
        </w:rPr>
      </w:pPr>
    </w:p>
    <w:p w:rsidR="00BA38C4" w:rsidRDefault="00BA38C4" w:rsidP="00BA38C4">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2026/30</w:t>
      </w:r>
    </w:p>
    <w:p w:rsidR="00BA38C4" w:rsidRDefault="00BA38C4" w:rsidP="00BA38C4">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2026/28</w:t>
      </w:r>
    </w:p>
    <w:p w:rsidR="00BA38C4" w:rsidRDefault="00BA38C4" w:rsidP="00BA38C4">
      <w:pPr>
        <w:rPr>
          <w:b/>
          <w:bCs/>
          <w:color w:val="010000"/>
        </w:rPr>
      </w:pPr>
      <w:r>
        <w:rPr>
          <w:b/>
          <w:bCs/>
          <w:color w:val="010000"/>
        </w:rPr>
        <w:t xml:space="preserve">Karar </w:t>
      </w:r>
      <w:proofErr w:type="gramStart"/>
      <w:r>
        <w:rPr>
          <w:b/>
          <w:bCs/>
          <w:color w:val="010000"/>
        </w:rPr>
        <w:t>Tarihi :</w:t>
      </w:r>
      <w:proofErr w:type="gramEnd"/>
      <w:r>
        <w:rPr>
          <w:b/>
          <w:bCs/>
          <w:color w:val="010000"/>
        </w:rPr>
        <w:t xml:space="preserve"> 12/2/2026</w:t>
      </w:r>
    </w:p>
    <w:p w:rsidR="00BA38C4" w:rsidRDefault="00BA38C4" w:rsidP="00BA38C4">
      <w:pPr>
        <w:rPr>
          <w:b/>
          <w:bCs/>
          <w:color w:val="010000"/>
        </w:rPr>
      </w:pPr>
      <w:r>
        <w:rPr>
          <w:b/>
          <w:bCs/>
          <w:color w:val="010000"/>
        </w:rPr>
        <w:t xml:space="preserve">R.G. </w:t>
      </w:r>
      <w:proofErr w:type="gramStart"/>
      <w:r>
        <w:rPr>
          <w:b/>
          <w:bCs/>
          <w:color w:val="010000"/>
        </w:rPr>
        <w:t>Tarih -</w:t>
      </w:r>
      <w:proofErr w:type="gramEnd"/>
      <w:r>
        <w:rPr>
          <w:b/>
          <w:bCs/>
          <w:color w:val="010000"/>
        </w:rPr>
        <w:t xml:space="preserve"> Sayı : Tebliğ edildi.</w:t>
      </w:r>
    </w:p>
    <w:p w:rsidR="0025373A" w:rsidRPr="00BA38C4" w:rsidRDefault="0025373A" w:rsidP="00BA38C4">
      <w:pPr>
        <w:rPr>
          <w:b/>
          <w:bCs/>
          <w:color w:val="010000"/>
        </w:rPr>
      </w:pPr>
    </w:p>
    <w:p w:rsidR="00BB0B1D" w:rsidRPr="00BA38C4" w:rsidRDefault="00BB0B1D" w:rsidP="00BA38C4">
      <w:pPr>
        <w:spacing w:after="200"/>
        <w:ind w:right="283" w:firstLine="709"/>
        <w:jc w:val="both"/>
        <w:rPr>
          <w:color w:val="010000"/>
        </w:rPr>
      </w:pPr>
      <w:r w:rsidRPr="00BA38C4">
        <w:rPr>
          <w:b/>
          <w:bCs/>
          <w:color w:val="010000"/>
        </w:rPr>
        <w:t xml:space="preserve">İTİRAZ YOLUNA BAŞVURAN: </w:t>
      </w:r>
      <w:r w:rsidRPr="00BA38C4">
        <w:rPr>
          <w:color w:val="010000"/>
        </w:rPr>
        <w:t>Diyarbakır 18. Asliye Ceza Mahkemesi</w:t>
      </w:r>
    </w:p>
    <w:p w:rsidR="00BB0B1D" w:rsidRPr="00BA38C4" w:rsidRDefault="00BB0B1D" w:rsidP="00BA38C4">
      <w:pPr>
        <w:spacing w:after="200"/>
        <w:ind w:right="283" w:firstLine="709"/>
        <w:jc w:val="both"/>
        <w:rPr>
          <w:color w:val="010000"/>
        </w:rPr>
      </w:pPr>
      <w:r w:rsidRPr="00BA38C4">
        <w:rPr>
          <w:b/>
          <w:bCs/>
          <w:color w:val="010000"/>
        </w:rPr>
        <w:t>İTİRAZIN KONUSU:</w:t>
      </w:r>
      <w:r w:rsidRPr="00BA38C4">
        <w:rPr>
          <w:color w:val="010000"/>
        </w:rPr>
        <w:t xml:space="preserve"> 4/12/2004 tarihli ve 5271 sayılı Ceza Muhakemesi Kanunu’nun 17/10/2019 tarihli ve 7188 sayılı Kanun’un 25. maddesiyle başlığı ile birlikte yeniden düzenlenen 252. maddesinin 2/3/2024 tarihli ve 7499 sayılı Kanun’un 17. maddesiyle değiştirilen (2) numaralı fıkrasının Anayasa’nın 2., 10., 36. ve 140. maddelerine aykırılığı ileri sürülerek iptaline karar verilmesi talebidir.</w:t>
      </w:r>
    </w:p>
    <w:p w:rsidR="00BB0B1D" w:rsidRPr="00BA38C4" w:rsidRDefault="00BB0B1D" w:rsidP="00BA38C4">
      <w:pPr>
        <w:spacing w:after="200"/>
        <w:ind w:right="283" w:firstLine="709"/>
        <w:jc w:val="both"/>
        <w:rPr>
          <w:color w:val="010000"/>
          <w:shd w:val="clear" w:color="auto" w:fill="FFFFFF"/>
        </w:rPr>
      </w:pPr>
      <w:r w:rsidRPr="00BA38C4">
        <w:rPr>
          <w:b/>
          <w:bCs/>
          <w:color w:val="010000"/>
        </w:rPr>
        <w:t>OLAY:</w:t>
      </w:r>
      <w:r w:rsidRPr="00BA38C4">
        <w:rPr>
          <w:rFonts w:eastAsia="Calibri"/>
          <w:color w:val="010000"/>
        </w:rPr>
        <w:t xml:space="preserve"> </w:t>
      </w:r>
      <w:r w:rsidRPr="00BA38C4">
        <w:rPr>
          <w:color w:val="010000"/>
          <w:shd w:val="clear" w:color="auto" w:fill="FFFFFF"/>
        </w:rPr>
        <w:t>Sanık hakkında hakaret suçundan açılan davada itiraz konusu kuralın Anayasa’ya aykırı olduğu kanısına varan Mahkeme, iptali için başvurmuştur.</w:t>
      </w:r>
    </w:p>
    <w:p w:rsidR="00BB0B1D" w:rsidRPr="00BA38C4" w:rsidRDefault="00BB0B1D" w:rsidP="00BA38C4">
      <w:pPr>
        <w:spacing w:after="200"/>
        <w:ind w:right="283" w:firstLine="709"/>
        <w:jc w:val="both"/>
        <w:rPr>
          <w:b/>
          <w:bCs/>
          <w:color w:val="010000"/>
        </w:rPr>
      </w:pPr>
      <w:r w:rsidRPr="00BA38C4">
        <w:rPr>
          <w:b/>
          <w:bCs/>
          <w:color w:val="010000"/>
        </w:rPr>
        <w:t>I. İPTALİ İSTENEN KANUN HÜKMÜ</w:t>
      </w:r>
    </w:p>
    <w:p w:rsidR="00BB0B1D" w:rsidRPr="00BA38C4" w:rsidRDefault="00BB0B1D" w:rsidP="00BA38C4">
      <w:pPr>
        <w:spacing w:after="200"/>
        <w:ind w:right="283" w:firstLine="709"/>
        <w:jc w:val="both"/>
        <w:rPr>
          <w:color w:val="010000"/>
          <w:lang w:eastAsia="zh-CN"/>
        </w:rPr>
      </w:pPr>
      <w:r w:rsidRPr="00BA38C4">
        <w:rPr>
          <w:color w:val="010000"/>
          <w:lang w:eastAsia="zh-CN"/>
        </w:rPr>
        <w:t>Kanun’un itiraz konusu kuralın da yer aldığı 252. maddesi şöyledir:</w:t>
      </w:r>
    </w:p>
    <w:p w:rsidR="00BB0B1D" w:rsidRPr="00BA38C4" w:rsidRDefault="00BA38C4" w:rsidP="00BA38C4">
      <w:pPr>
        <w:spacing w:after="200"/>
        <w:ind w:right="283" w:firstLine="709"/>
        <w:jc w:val="both"/>
        <w:rPr>
          <w:i/>
          <w:color w:val="010000"/>
          <w:szCs w:val="22"/>
          <w:lang w:eastAsia="zh-CN"/>
        </w:rPr>
      </w:pPr>
      <w:r w:rsidRPr="00BA38C4">
        <w:rPr>
          <w:color w:val="010000"/>
          <w:szCs w:val="22"/>
          <w:lang w:eastAsia="zh-CN"/>
        </w:rPr>
        <w:t xml:space="preserve"> </w:t>
      </w:r>
      <w:r w:rsidR="00BB0B1D" w:rsidRPr="00BA38C4">
        <w:rPr>
          <w:color w:val="010000"/>
          <w:szCs w:val="22"/>
          <w:lang w:eastAsia="zh-CN"/>
        </w:rPr>
        <w:t>“</w:t>
      </w:r>
      <w:r w:rsidR="00BB0B1D" w:rsidRPr="00BA38C4">
        <w:rPr>
          <w:bCs/>
          <w:i/>
          <w:color w:val="010000"/>
          <w:szCs w:val="22"/>
          <w:lang w:eastAsia="zh-CN"/>
        </w:rPr>
        <w:t>Basit yargılama usulünde itiraz</w:t>
      </w:r>
    </w:p>
    <w:p w:rsidR="00BB0B1D" w:rsidRPr="00BA38C4" w:rsidRDefault="00BB0B1D" w:rsidP="00BA38C4">
      <w:pPr>
        <w:spacing w:after="200"/>
        <w:ind w:right="283" w:firstLine="709"/>
        <w:jc w:val="both"/>
        <w:rPr>
          <w:i/>
          <w:color w:val="010000"/>
          <w:szCs w:val="22"/>
          <w:lang w:eastAsia="zh-CN"/>
        </w:rPr>
      </w:pPr>
      <w:r w:rsidRPr="00BA38C4">
        <w:rPr>
          <w:bCs/>
          <w:i/>
          <w:color w:val="010000"/>
          <w:szCs w:val="22"/>
          <w:lang w:eastAsia="zh-CN"/>
        </w:rPr>
        <w:t>Madde 252 –</w:t>
      </w:r>
      <w:r w:rsidR="00BA38C4" w:rsidRPr="00BA38C4">
        <w:rPr>
          <w:i/>
          <w:color w:val="010000"/>
          <w:szCs w:val="22"/>
          <w:lang w:eastAsia="zh-CN"/>
        </w:rPr>
        <w:t xml:space="preserve"> </w:t>
      </w:r>
      <w:r w:rsidRPr="00BA38C4">
        <w:rPr>
          <w:bCs/>
          <w:i/>
          <w:color w:val="010000"/>
          <w:szCs w:val="22"/>
          <w:lang w:eastAsia="zh-CN"/>
        </w:rPr>
        <w:t xml:space="preserve">(Mülga: 2/7/2012-6352/105 </w:t>
      </w:r>
      <w:proofErr w:type="spellStart"/>
      <w:r w:rsidRPr="00BA38C4">
        <w:rPr>
          <w:bCs/>
          <w:i/>
          <w:color w:val="010000"/>
          <w:szCs w:val="22"/>
          <w:lang w:eastAsia="zh-CN"/>
        </w:rPr>
        <w:t>md.</w:t>
      </w:r>
      <w:proofErr w:type="spellEnd"/>
      <w:r w:rsidRPr="00BA38C4">
        <w:rPr>
          <w:bCs/>
          <w:i/>
          <w:color w:val="010000"/>
          <w:szCs w:val="22"/>
          <w:lang w:eastAsia="zh-CN"/>
        </w:rPr>
        <w:t>)</w:t>
      </w:r>
      <w:r w:rsidR="00BA38C4" w:rsidRPr="00BA38C4">
        <w:rPr>
          <w:i/>
          <w:color w:val="010000"/>
          <w:szCs w:val="22"/>
          <w:lang w:eastAsia="zh-CN"/>
        </w:rPr>
        <w:t xml:space="preserve"> </w:t>
      </w:r>
      <w:r w:rsidRPr="00BA38C4">
        <w:rPr>
          <w:bCs/>
          <w:i/>
          <w:color w:val="010000"/>
          <w:szCs w:val="22"/>
          <w:lang w:eastAsia="zh-CN"/>
        </w:rPr>
        <w:t xml:space="preserve">(Başlığı ile Birlikte Yeniden Düzenleme:17/10/2019-7188/25 </w:t>
      </w:r>
      <w:proofErr w:type="spellStart"/>
      <w:r w:rsidRPr="00BA38C4">
        <w:rPr>
          <w:bCs/>
          <w:i/>
          <w:color w:val="010000"/>
          <w:szCs w:val="22"/>
          <w:lang w:eastAsia="zh-CN"/>
        </w:rPr>
        <w:t>md.</w:t>
      </w:r>
      <w:proofErr w:type="spellEnd"/>
      <w:r w:rsidRPr="00BA38C4">
        <w:rPr>
          <w:bCs/>
          <w:i/>
          <w:color w:val="010000"/>
          <w:szCs w:val="22"/>
          <w:lang w:eastAsia="zh-CN"/>
        </w:rPr>
        <w:t>)</w:t>
      </w:r>
    </w:p>
    <w:p w:rsidR="00BB0B1D" w:rsidRPr="00BA38C4" w:rsidRDefault="00BB0B1D" w:rsidP="00BA38C4">
      <w:pPr>
        <w:spacing w:after="200"/>
        <w:ind w:right="283" w:firstLine="709"/>
        <w:jc w:val="both"/>
        <w:rPr>
          <w:i/>
          <w:color w:val="010000"/>
          <w:szCs w:val="22"/>
          <w:lang w:eastAsia="zh-CN"/>
        </w:rPr>
      </w:pPr>
      <w:r w:rsidRPr="00BA38C4">
        <w:rPr>
          <w:i/>
          <w:color w:val="010000"/>
          <w:szCs w:val="22"/>
          <w:lang w:eastAsia="zh-CN"/>
        </w:rPr>
        <w:t>(1) 251 inci madde uyarınca verilen hükümlere karşı itiraz edilebilir. Süresi içinde itiraz edilmeyen hükümler kesinleşir.</w:t>
      </w:r>
    </w:p>
    <w:p w:rsidR="00BB0B1D" w:rsidRPr="00BA38C4" w:rsidRDefault="00BB0B1D" w:rsidP="00BA38C4">
      <w:pPr>
        <w:spacing w:after="200"/>
        <w:ind w:right="283" w:firstLine="709"/>
        <w:jc w:val="both"/>
        <w:rPr>
          <w:b/>
          <w:i/>
          <w:color w:val="010000"/>
          <w:szCs w:val="22"/>
          <w:u w:val="single"/>
          <w:lang w:eastAsia="zh-CN"/>
        </w:rPr>
      </w:pPr>
      <w:r w:rsidRPr="00BA38C4">
        <w:rPr>
          <w:b/>
          <w:i/>
          <w:color w:val="010000"/>
          <w:szCs w:val="22"/>
          <w:u w:val="single"/>
          <w:lang w:eastAsia="zh-CN"/>
        </w:rPr>
        <w:t>(</w:t>
      </w:r>
      <w:proofErr w:type="gramStart"/>
      <w:r w:rsidRPr="00BA38C4">
        <w:rPr>
          <w:b/>
          <w:i/>
          <w:color w:val="010000"/>
          <w:szCs w:val="22"/>
          <w:u w:val="single"/>
          <w:lang w:eastAsia="zh-CN"/>
        </w:rPr>
        <w:t>2)</w:t>
      </w:r>
      <w:r w:rsidRPr="00BA38C4">
        <w:rPr>
          <w:bCs/>
          <w:i/>
          <w:color w:val="010000"/>
          <w:szCs w:val="22"/>
          <w:lang w:eastAsia="zh-CN"/>
        </w:rPr>
        <w:t>(</w:t>
      </w:r>
      <w:proofErr w:type="gramEnd"/>
      <w:r w:rsidRPr="00BA38C4">
        <w:rPr>
          <w:bCs/>
          <w:i/>
          <w:color w:val="010000"/>
          <w:szCs w:val="22"/>
          <w:lang w:eastAsia="zh-CN"/>
        </w:rPr>
        <w:t xml:space="preserve">Değişik:2/3/2024-7499/17 </w:t>
      </w:r>
      <w:proofErr w:type="spellStart"/>
      <w:r w:rsidRPr="00BA38C4">
        <w:rPr>
          <w:bCs/>
          <w:i/>
          <w:color w:val="010000"/>
          <w:szCs w:val="22"/>
          <w:lang w:eastAsia="zh-CN"/>
        </w:rPr>
        <w:t>md.</w:t>
      </w:r>
      <w:proofErr w:type="spellEnd"/>
      <w:r w:rsidRPr="00BA38C4">
        <w:rPr>
          <w:bCs/>
          <w:i/>
          <w:color w:val="010000"/>
          <w:szCs w:val="22"/>
          <w:lang w:eastAsia="zh-CN"/>
        </w:rPr>
        <w:t>)</w:t>
      </w:r>
      <w:r w:rsidR="00BA38C4" w:rsidRPr="00BA38C4">
        <w:rPr>
          <w:b/>
          <w:i/>
          <w:color w:val="010000"/>
          <w:szCs w:val="22"/>
          <w:lang w:eastAsia="zh-CN"/>
        </w:rPr>
        <w:t xml:space="preserve"> </w:t>
      </w:r>
      <w:r w:rsidRPr="00BA38C4">
        <w:rPr>
          <w:b/>
          <w:i/>
          <w:color w:val="010000"/>
          <w:szCs w:val="22"/>
          <w:u w:val="single"/>
          <w:lang w:eastAsia="zh-CN"/>
        </w:rPr>
        <w:t xml:space="preserve">İtiraz üzerine hükmü veren mahkemece dosya, o yerde birden fazla asliye ceza mahkemesi bulunması hâlinde tevzi kriterlerine göre belirlenen asliye ceza mahkemesine gönderilir ve bu mahkemece duruşma açılarak genel hükümlere göre yargılamaya devam olunur. Tek asliye ceza mahkemesinin bulunduğu yerlerde ise, aynı mahkemede yetkili başka bir </w:t>
      </w:r>
      <w:proofErr w:type="gramStart"/>
      <w:r w:rsidRPr="00BA38C4">
        <w:rPr>
          <w:b/>
          <w:i/>
          <w:color w:val="010000"/>
          <w:szCs w:val="22"/>
          <w:u w:val="single"/>
          <w:lang w:eastAsia="zh-CN"/>
        </w:rPr>
        <w:t>hakim</w:t>
      </w:r>
      <w:proofErr w:type="gramEnd"/>
      <w:r w:rsidRPr="00BA38C4">
        <w:rPr>
          <w:b/>
          <w:i/>
          <w:color w:val="010000"/>
          <w:szCs w:val="22"/>
          <w:u w:val="single"/>
          <w:lang w:eastAsia="zh-CN"/>
        </w:rPr>
        <w:t xml:space="preserve"> varsa bu hakim tarafından; aksi hâlde adli yargı ilk derece mahkemesi adalet komisyonu başkanınca görevlendirilen hakim tarafından duruşma açılır ve genel hükümlere göre yargılamaya devam olunur. Taraflar gelmese bile duruşma yapılır ve yokluklarında </w:t>
      </w:r>
      <w:proofErr w:type="gramStart"/>
      <w:r w:rsidRPr="00BA38C4">
        <w:rPr>
          <w:b/>
          <w:i/>
          <w:color w:val="010000"/>
          <w:szCs w:val="22"/>
          <w:u w:val="single"/>
          <w:lang w:eastAsia="zh-CN"/>
        </w:rPr>
        <w:t>223 üncü</w:t>
      </w:r>
      <w:proofErr w:type="gramEnd"/>
      <w:r w:rsidRPr="00BA38C4">
        <w:rPr>
          <w:b/>
          <w:i/>
          <w:color w:val="010000"/>
          <w:szCs w:val="22"/>
          <w:u w:val="single"/>
          <w:lang w:eastAsia="zh-CN"/>
        </w:rPr>
        <w:t xml:space="preserve"> madde uyarınca hüküm verilebilir. Taraflara gönderilecek davetiyede bu husus yazılır. Duruşmadan önce itirazdan vazgeçilmesi hâlinde duruşma yapılmaz ve itiraz edilmemiş sayılır.</w:t>
      </w:r>
    </w:p>
    <w:p w:rsidR="00BB0B1D" w:rsidRPr="00BA38C4" w:rsidRDefault="00BB0B1D" w:rsidP="00BA38C4">
      <w:pPr>
        <w:spacing w:after="200"/>
        <w:ind w:right="283" w:firstLine="709"/>
        <w:jc w:val="both"/>
        <w:rPr>
          <w:i/>
          <w:color w:val="010000"/>
          <w:szCs w:val="22"/>
          <w:lang w:eastAsia="zh-CN"/>
        </w:rPr>
      </w:pPr>
      <w:r w:rsidRPr="00BA38C4">
        <w:rPr>
          <w:i/>
          <w:color w:val="010000"/>
          <w:szCs w:val="22"/>
          <w:lang w:eastAsia="zh-CN"/>
        </w:rPr>
        <w:t>(3)</w:t>
      </w:r>
      <w:r w:rsidR="00BA38C4" w:rsidRPr="00BA38C4">
        <w:rPr>
          <w:i/>
          <w:color w:val="010000"/>
          <w:szCs w:val="22"/>
          <w:lang w:eastAsia="zh-CN"/>
        </w:rPr>
        <w:t xml:space="preserve"> </w:t>
      </w:r>
      <w:r w:rsidRPr="00BA38C4">
        <w:rPr>
          <w:bCs/>
          <w:i/>
          <w:color w:val="010000"/>
          <w:szCs w:val="22"/>
          <w:lang w:eastAsia="zh-CN"/>
        </w:rPr>
        <w:t xml:space="preserve">(Değişik:2/3/2024-7499/17 </w:t>
      </w:r>
      <w:proofErr w:type="spellStart"/>
      <w:r w:rsidRPr="00BA38C4">
        <w:rPr>
          <w:bCs/>
          <w:i/>
          <w:color w:val="010000"/>
          <w:szCs w:val="22"/>
          <w:lang w:eastAsia="zh-CN"/>
        </w:rPr>
        <w:t>md.</w:t>
      </w:r>
      <w:proofErr w:type="spellEnd"/>
      <w:r w:rsidRPr="00BA38C4">
        <w:rPr>
          <w:bCs/>
          <w:i/>
          <w:color w:val="010000"/>
          <w:szCs w:val="22"/>
          <w:lang w:eastAsia="zh-CN"/>
        </w:rPr>
        <w:t>)</w:t>
      </w:r>
      <w:r w:rsidR="00BA38C4" w:rsidRPr="00BA38C4">
        <w:rPr>
          <w:bCs/>
          <w:i/>
          <w:color w:val="010000"/>
          <w:szCs w:val="22"/>
          <w:lang w:eastAsia="zh-CN"/>
        </w:rPr>
        <w:t xml:space="preserve"> </w:t>
      </w:r>
      <w:r w:rsidRPr="00BA38C4">
        <w:rPr>
          <w:i/>
          <w:color w:val="010000"/>
          <w:szCs w:val="22"/>
          <w:lang w:eastAsia="zh-CN"/>
        </w:rPr>
        <w:t>Mahkeme, ikinci fıkra uyarınca hüküm verirken, 251 inci madde kapsamında basit yargılama usulüne göre verilen hükümle bağlı değildir. Ancak, itirazın sanık dışındaki kişiler tarafından yapıldığı hâllerde 251 inci maddenin üçüncü fıkrası uyarınca indirim uygulanır.</w:t>
      </w:r>
    </w:p>
    <w:p w:rsidR="00BB0B1D" w:rsidRPr="00BA38C4" w:rsidRDefault="00BB0B1D" w:rsidP="00BA38C4">
      <w:pPr>
        <w:spacing w:after="200"/>
        <w:ind w:right="283" w:firstLine="709"/>
        <w:jc w:val="both"/>
        <w:rPr>
          <w:i/>
          <w:color w:val="010000"/>
          <w:szCs w:val="22"/>
          <w:lang w:eastAsia="zh-CN"/>
        </w:rPr>
      </w:pPr>
      <w:r w:rsidRPr="00BA38C4">
        <w:rPr>
          <w:i/>
          <w:color w:val="010000"/>
          <w:szCs w:val="22"/>
          <w:lang w:eastAsia="zh-CN"/>
        </w:rPr>
        <w:t>(4)</w:t>
      </w:r>
      <w:r w:rsidR="00BA38C4" w:rsidRPr="00BA38C4">
        <w:rPr>
          <w:i/>
          <w:color w:val="010000"/>
          <w:szCs w:val="22"/>
          <w:lang w:eastAsia="zh-CN"/>
        </w:rPr>
        <w:t xml:space="preserve"> </w:t>
      </w:r>
      <w:r w:rsidRPr="00BA38C4">
        <w:rPr>
          <w:bCs/>
          <w:i/>
          <w:color w:val="010000"/>
          <w:szCs w:val="22"/>
          <w:lang w:eastAsia="zh-CN"/>
        </w:rPr>
        <w:t xml:space="preserve">(Değişik:2/3/2024-7499/17 </w:t>
      </w:r>
      <w:proofErr w:type="spellStart"/>
      <w:r w:rsidRPr="00BA38C4">
        <w:rPr>
          <w:bCs/>
          <w:i/>
          <w:color w:val="010000"/>
          <w:szCs w:val="22"/>
          <w:lang w:eastAsia="zh-CN"/>
        </w:rPr>
        <w:t>md.</w:t>
      </w:r>
      <w:proofErr w:type="spellEnd"/>
      <w:r w:rsidRPr="00BA38C4">
        <w:rPr>
          <w:bCs/>
          <w:i/>
          <w:color w:val="010000"/>
          <w:szCs w:val="22"/>
          <w:lang w:eastAsia="zh-CN"/>
        </w:rPr>
        <w:t>)</w:t>
      </w:r>
      <w:r w:rsidR="00BA38C4" w:rsidRPr="00BA38C4">
        <w:rPr>
          <w:bCs/>
          <w:i/>
          <w:color w:val="010000"/>
          <w:szCs w:val="22"/>
          <w:lang w:eastAsia="zh-CN"/>
        </w:rPr>
        <w:t xml:space="preserve"> </w:t>
      </w:r>
      <w:r w:rsidRPr="00BA38C4">
        <w:rPr>
          <w:i/>
          <w:color w:val="010000"/>
          <w:szCs w:val="22"/>
          <w:lang w:eastAsia="zh-CN"/>
        </w:rPr>
        <w:t>İtiraz üzerine verilen hükmün sanık lehine olması hâlinde, bu hususların itiraz etmemiş olan diğer sanıklara da uygulanma olanağı varsa bu sanıklar da itiraz etmiş gibi verilen kararlardan yararlanır.</w:t>
      </w:r>
    </w:p>
    <w:p w:rsidR="00BB0B1D" w:rsidRPr="00BA38C4" w:rsidRDefault="00BB0B1D" w:rsidP="00BA38C4">
      <w:pPr>
        <w:spacing w:after="200"/>
        <w:ind w:right="283" w:firstLine="709"/>
        <w:jc w:val="both"/>
        <w:rPr>
          <w:i/>
          <w:color w:val="010000"/>
          <w:szCs w:val="22"/>
          <w:lang w:eastAsia="zh-CN"/>
        </w:rPr>
      </w:pPr>
      <w:r w:rsidRPr="00BA38C4">
        <w:rPr>
          <w:i/>
          <w:color w:val="010000"/>
          <w:szCs w:val="22"/>
          <w:lang w:eastAsia="zh-CN"/>
        </w:rPr>
        <w:t>(5)</w:t>
      </w:r>
      <w:r w:rsidR="00BA38C4" w:rsidRPr="00BA38C4">
        <w:rPr>
          <w:i/>
          <w:color w:val="010000"/>
          <w:szCs w:val="22"/>
          <w:lang w:eastAsia="zh-CN"/>
        </w:rPr>
        <w:t xml:space="preserve"> </w:t>
      </w:r>
      <w:r w:rsidRPr="00BA38C4">
        <w:rPr>
          <w:bCs/>
          <w:i/>
          <w:color w:val="010000"/>
          <w:szCs w:val="22"/>
          <w:lang w:eastAsia="zh-CN"/>
        </w:rPr>
        <w:t xml:space="preserve">(Değişik:2/3/2024-7499/17 </w:t>
      </w:r>
      <w:proofErr w:type="spellStart"/>
      <w:r w:rsidRPr="00BA38C4">
        <w:rPr>
          <w:bCs/>
          <w:i/>
          <w:color w:val="010000"/>
          <w:szCs w:val="22"/>
          <w:lang w:eastAsia="zh-CN"/>
        </w:rPr>
        <w:t>md.</w:t>
      </w:r>
      <w:proofErr w:type="spellEnd"/>
      <w:r w:rsidRPr="00BA38C4">
        <w:rPr>
          <w:bCs/>
          <w:i/>
          <w:color w:val="010000"/>
          <w:szCs w:val="22"/>
          <w:lang w:eastAsia="zh-CN"/>
        </w:rPr>
        <w:t>)</w:t>
      </w:r>
      <w:r w:rsidR="00BA38C4" w:rsidRPr="00BA38C4">
        <w:rPr>
          <w:bCs/>
          <w:i/>
          <w:color w:val="010000"/>
          <w:szCs w:val="22"/>
          <w:lang w:eastAsia="zh-CN"/>
        </w:rPr>
        <w:t xml:space="preserve"> </w:t>
      </w:r>
      <w:r w:rsidRPr="00BA38C4">
        <w:rPr>
          <w:i/>
          <w:color w:val="010000"/>
          <w:szCs w:val="22"/>
          <w:lang w:eastAsia="zh-CN"/>
        </w:rPr>
        <w:t>İkinci fıkra uyarınca verilen hükümlere karşı genel hükümlere göre kanun yoluna başvurulabilir.</w:t>
      </w:r>
    </w:p>
    <w:p w:rsidR="00BB0B1D" w:rsidRPr="00BA38C4" w:rsidRDefault="00BB0B1D" w:rsidP="00BA38C4">
      <w:pPr>
        <w:spacing w:after="200"/>
        <w:ind w:right="283" w:firstLine="709"/>
        <w:jc w:val="both"/>
        <w:rPr>
          <w:i/>
          <w:color w:val="010000"/>
          <w:szCs w:val="22"/>
          <w:lang w:eastAsia="zh-CN"/>
        </w:rPr>
      </w:pPr>
      <w:r w:rsidRPr="00BA38C4">
        <w:rPr>
          <w:i/>
          <w:color w:val="010000"/>
          <w:szCs w:val="22"/>
          <w:lang w:eastAsia="zh-CN"/>
        </w:rPr>
        <w:lastRenderedPageBreak/>
        <w:t>(6)</w:t>
      </w:r>
      <w:r w:rsidR="00BA38C4" w:rsidRPr="00BA38C4">
        <w:rPr>
          <w:i/>
          <w:color w:val="010000"/>
          <w:szCs w:val="22"/>
          <w:lang w:eastAsia="zh-CN"/>
        </w:rPr>
        <w:t xml:space="preserve"> </w:t>
      </w:r>
      <w:r w:rsidRPr="00BA38C4">
        <w:rPr>
          <w:bCs/>
          <w:i/>
          <w:color w:val="010000"/>
          <w:szCs w:val="22"/>
          <w:lang w:eastAsia="zh-CN"/>
        </w:rPr>
        <w:t xml:space="preserve">(Değişik:2/3/2024-7499/17 </w:t>
      </w:r>
      <w:proofErr w:type="spellStart"/>
      <w:r w:rsidRPr="00BA38C4">
        <w:rPr>
          <w:bCs/>
          <w:i/>
          <w:color w:val="010000"/>
          <w:szCs w:val="22"/>
          <w:lang w:eastAsia="zh-CN"/>
        </w:rPr>
        <w:t>md.</w:t>
      </w:r>
      <w:proofErr w:type="spellEnd"/>
      <w:r w:rsidRPr="00BA38C4">
        <w:rPr>
          <w:bCs/>
          <w:i/>
          <w:color w:val="010000"/>
          <w:szCs w:val="22"/>
          <w:lang w:eastAsia="zh-CN"/>
        </w:rPr>
        <w:t>)</w:t>
      </w:r>
      <w:r w:rsidR="00BA38C4" w:rsidRPr="00BA38C4">
        <w:rPr>
          <w:bCs/>
          <w:i/>
          <w:color w:val="010000"/>
          <w:szCs w:val="22"/>
          <w:lang w:eastAsia="zh-CN"/>
        </w:rPr>
        <w:t xml:space="preserve"> </w:t>
      </w:r>
      <w:r w:rsidRPr="00BA38C4">
        <w:rPr>
          <w:i/>
          <w:color w:val="010000"/>
          <w:szCs w:val="22"/>
          <w:lang w:eastAsia="zh-CN"/>
        </w:rPr>
        <w:t>Birinci fıkradaki itirazın, süresinde yapılmadığı veya kanun yoluna başvuru hakkı bulunmayan tarafından yapıldığı mahkemesince değerlendirildiğinde dosya, 268 inci maddenin ikinci fıkrası uyarınca itirazı incelemeye yetkili olan mercie gönderilir. Mercii bu sebepler yönünden incelemesini yapar ve kararını gereği için mahkemesine gönderir.</w:t>
      </w:r>
    </w:p>
    <w:p w:rsidR="00BB0B1D" w:rsidRPr="00BA38C4" w:rsidRDefault="00BB0B1D" w:rsidP="00BA38C4">
      <w:pPr>
        <w:spacing w:after="200"/>
        <w:ind w:right="283" w:firstLine="709"/>
        <w:jc w:val="both"/>
        <w:rPr>
          <w:i/>
          <w:color w:val="010000"/>
          <w:szCs w:val="16"/>
          <w:lang w:eastAsia="zh-CN"/>
        </w:rPr>
      </w:pPr>
      <w:r w:rsidRPr="00BA38C4">
        <w:rPr>
          <w:i/>
          <w:color w:val="010000"/>
          <w:szCs w:val="22"/>
          <w:lang w:eastAsia="zh-CN"/>
        </w:rPr>
        <w:t>(7)</w:t>
      </w:r>
      <w:r w:rsidR="00BA38C4" w:rsidRPr="00BA38C4">
        <w:rPr>
          <w:i/>
          <w:color w:val="010000"/>
          <w:szCs w:val="22"/>
          <w:lang w:eastAsia="zh-CN"/>
        </w:rPr>
        <w:t xml:space="preserve"> </w:t>
      </w:r>
      <w:r w:rsidRPr="00BA38C4">
        <w:rPr>
          <w:bCs/>
          <w:i/>
          <w:color w:val="010000"/>
          <w:szCs w:val="22"/>
          <w:lang w:eastAsia="zh-CN"/>
        </w:rPr>
        <w:t xml:space="preserve">(Ek:2/3/2024-7499/17 </w:t>
      </w:r>
      <w:proofErr w:type="spellStart"/>
      <w:r w:rsidRPr="00BA38C4">
        <w:rPr>
          <w:bCs/>
          <w:i/>
          <w:color w:val="010000"/>
          <w:szCs w:val="22"/>
          <w:lang w:eastAsia="zh-CN"/>
        </w:rPr>
        <w:t>md.</w:t>
      </w:r>
      <w:proofErr w:type="spellEnd"/>
      <w:r w:rsidRPr="00BA38C4">
        <w:rPr>
          <w:bCs/>
          <w:i/>
          <w:color w:val="010000"/>
          <w:szCs w:val="22"/>
          <w:lang w:eastAsia="zh-CN"/>
        </w:rPr>
        <w:t xml:space="preserve">) </w:t>
      </w:r>
      <w:r w:rsidRPr="00BA38C4">
        <w:rPr>
          <w:i/>
          <w:color w:val="010000"/>
          <w:szCs w:val="22"/>
          <w:lang w:eastAsia="zh-CN"/>
        </w:rPr>
        <w:t>Birinci fıkradaki itirazın, yargılama giderine, vekâlet ücretine veya maddi hataya ilişkin olması hâlinde 268 inci maddenin ikinci fıkrası hükmü uygulanır. Mercii bu sebepler yönünden incelemesini yapar ve kararını gereği için mahkemesine gönderir.</w:t>
      </w:r>
      <w:r w:rsidRPr="00BA38C4">
        <w:rPr>
          <w:color w:val="010000"/>
          <w:szCs w:val="22"/>
          <w:lang w:eastAsia="zh-CN"/>
        </w:rPr>
        <w:t>”</w:t>
      </w:r>
    </w:p>
    <w:p w:rsidR="00BB0B1D" w:rsidRPr="00BA38C4" w:rsidRDefault="00BB0B1D" w:rsidP="00BA38C4">
      <w:pPr>
        <w:spacing w:after="200"/>
        <w:ind w:right="283" w:firstLine="709"/>
        <w:jc w:val="both"/>
        <w:rPr>
          <w:color w:val="010000"/>
        </w:rPr>
      </w:pPr>
      <w:r w:rsidRPr="00BA38C4">
        <w:rPr>
          <w:b/>
          <w:bCs/>
          <w:color w:val="010000"/>
        </w:rPr>
        <w:t>II. İLK İNCELEME</w:t>
      </w:r>
    </w:p>
    <w:p w:rsidR="00BB0B1D" w:rsidRPr="00BA38C4" w:rsidRDefault="00BB0B1D" w:rsidP="00BA38C4">
      <w:pPr>
        <w:spacing w:after="200"/>
        <w:ind w:right="283" w:firstLine="709"/>
        <w:jc w:val="both"/>
        <w:rPr>
          <w:color w:val="010000"/>
        </w:rPr>
      </w:pPr>
      <w:r w:rsidRPr="00BA38C4">
        <w:rPr>
          <w:color w:val="010000"/>
        </w:rPr>
        <w:t>1. Anayasa Mahkemesi İçtüzüğü hükümleri uyarınca yapılan ilk inceleme toplantısında başvuru kararı ve ekleri, Raportör Ahmet Hakan SOYTÜRK tarafından hazırlanan ilk inceleme raporu ve itiraz konusu kanun hükmü okunup incelendikten sonra gereği görüşülüp düşünüldü:</w:t>
      </w:r>
    </w:p>
    <w:p w:rsidR="00BB0B1D" w:rsidRPr="00BA38C4" w:rsidRDefault="00BB0B1D" w:rsidP="00BA38C4">
      <w:pPr>
        <w:spacing w:after="200"/>
        <w:ind w:right="283" w:firstLine="709"/>
        <w:jc w:val="both"/>
        <w:rPr>
          <w:color w:val="010000"/>
        </w:rPr>
      </w:pPr>
      <w:r w:rsidRPr="00BA38C4">
        <w:rPr>
          <w:color w:val="010000"/>
        </w:rPr>
        <w:t>2. 30/3/2011 tarihli ve 6216 sayılı Anayasa Mahkemesinin Kuruluşu ve Yargılama Usulleri Hakkında Kanun’un “</w:t>
      </w:r>
      <w:r w:rsidRPr="00BA38C4">
        <w:rPr>
          <w:i/>
          <w:iCs/>
          <w:color w:val="010000"/>
        </w:rPr>
        <w:t>Anayasaya aykırılığın mahkemelerce ileri sürülmesi</w:t>
      </w:r>
      <w:r w:rsidRPr="00BA38C4">
        <w:rPr>
          <w:color w:val="010000"/>
        </w:rPr>
        <w:t>” başlıklı 40. maddesinde Anayasa Mahkemesine itiraz yoluyla yapılacak başvurularda izlenecek yöntem düzenlenmiştir. Söz konusu maddenin (1) numaralı fıkrasında bir davaya bakmakta olan mahkemenin bu davada uygulanacak bir kanun veya Cumhurbaşkanlığı kararnamesinin hükümlerini Anayasa’ya aykırı görmesi veya taraflardan birinin ileri sürdüğü aykırılık iddiasının ciddi olduğu kanısına varması durumunda bu fıkrada sayılan belgeleri dizi listesine bağlayarak Anayasa Mahkemesine göndereceği belirtilmiş; anılan fıkranın</w:t>
      </w:r>
      <w:r w:rsidR="00BA38C4" w:rsidRPr="00BA38C4">
        <w:rPr>
          <w:color w:val="010000"/>
        </w:rPr>
        <w:t xml:space="preserve"> </w:t>
      </w:r>
      <w:r w:rsidRPr="00BA38C4">
        <w:rPr>
          <w:color w:val="010000"/>
        </w:rPr>
        <w:t>(a) bendinde “</w:t>
      </w:r>
      <w:r w:rsidRPr="00BA38C4">
        <w:rPr>
          <w:i/>
          <w:iCs/>
          <w:color w:val="010000"/>
        </w:rPr>
        <w:t>İptali istenen kuralların Anayasanın hangi maddelerine aykırı olduklarını açıklayan gerekçeli başvuru kararının aslı</w:t>
      </w:r>
      <w:r w:rsidRPr="00BA38C4">
        <w:rPr>
          <w:color w:val="010000"/>
        </w:rPr>
        <w:t>”,</w:t>
      </w:r>
      <w:r w:rsidR="00BA38C4" w:rsidRPr="00BA38C4">
        <w:rPr>
          <w:color w:val="010000"/>
        </w:rPr>
        <w:t xml:space="preserve"> </w:t>
      </w:r>
      <w:r w:rsidRPr="00BA38C4">
        <w:rPr>
          <w:color w:val="010000"/>
        </w:rPr>
        <w:t>(b) bendinde ise “</w:t>
      </w:r>
      <w:r w:rsidRPr="00BA38C4">
        <w:rPr>
          <w:i/>
          <w:iCs/>
          <w:color w:val="010000"/>
        </w:rPr>
        <w:t>Başvuru kararına ilişkin tutanağın onaylı örneği</w:t>
      </w:r>
      <w:r w:rsidRPr="00BA38C4">
        <w:rPr>
          <w:color w:val="010000"/>
        </w:rPr>
        <w:t>” Anayasa Mahkemesine gönderilecek belgeler arasında sayılmıştır. Maddenin (4) numaralı fıkrasında ise yöntemine uygun olmayan itiraz başvurularının Anayasa Mahkemesi tarafından esas incelemeye geçilmeksizin gerekçeleriyle reddedileceği hükme bağlanmıştır.</w:t>
      </w:r>
    </w:p>
    <w:p w:rsidR="00BB0B1D" w:rsidRPr="00BA38C4" w:rsidRDefault="00BB0B1D" w:rsidP="00BA38C4">
      <w:pPr>
        <w:spacing w:after="200"/>
        <w:ind w:right="283" w:firstLine="709"/>
        <w:jc w:val="both"/>
        <w:rPr>
          <w:color w:val="010000"/>
        </w:rPr>
      </w:pPr>
      <w:r w:rsidRPr="00BA38C4">
        <w:rPr>
          <w:color w:val="010000"/>
        </w:rPr>
        <w:t xml:space="preserve">3. Anılan </w:t>
      </w:r>
      <w:proofErr w:type="spellStart"/>
      <w:r w:rsidRPr="00BA38C4">
        <w:rPr>
          <w:color w:val="010000"/>
        </w:rPr>
        <w:t>İçtüzük’ün</w:t>
      </w:r>
      <w:proofErr w:type="spellEnd"/>
      <w:r w:rsidRPr="00BA38C4">
        <w:rPr>
          <w:color w:val="010000"/>
        </w:rPr>
        <w:t xml:space="preserve"> 46. maddesinin (1) numaralı fıkrasının (a) bendinde de itiraz yoluna başvuran Mahkemenin gerekçeli kararında Anayasa’ya aykırılıkları ileri sürülen hükümlerin her birinin Anayasa’nın hangi maddelerine hangi nedenlerle aykırı olduğunun ayrı ayrı ve gerekçeleriyle birlikte açıkça gösterilmesi gerektiği düzenlenmiştir.</w:t>
      </w:r>
    </w:p>
    <w:p w:rsidR="00BB0B1D" w:rsidRPr="00BA38C4" w:rsidRDefault="00BB0B1D" w:rsidP="00BA38C4">
      <w:pPr>
        <w:spacing w:after="200"/>
        <w:ind w:right="283" w:firstLine="709"/>
        <w:jc w:val="both"/>
        <w:rPr>
          <w:color w:val="010000"/>
        </w:rPr>
      </w:pPr>
      <w:r w:rsidRPr="00BA38C4">
        <w:rPr>
          <w:color w:val="010000"/>
        </w:rPr>
        <w:t xml:space="preserve">4. </w:t>
      </w:r>
      <w:proofErr w:type="spellStart"/>
      <w:r w:rsidRPr="00BA38C4">
        <w:rPr>
          <w:color w:val="010000"/>
        </w:rPr>
        <w:t>İçtüzük’ün</w:t>
      </w:r>
      <w:proofErr w:type="spellEnd"/>
      <w:r w:rsidRPr="00BA38C4">
        <w:rPr>
          <w:color w:val="010000"/>
        </w:rPr>
        <w:t xml:space="preserve"> 49. maddesinin (1) numaralı fıkrasının (b) bendinde Anayasa Mahkemesince yapılan ilk incelemede başvuruda eksikliklerin bulunduğunun tespit edilmesi hâlinde itiraz yoluna ilişkin işlerde esas incelemeye geçilmeksizin başvurunun reddine karar verileceği, (2) numaralı fıkrasında ise anılan bent uyarınca verilen kararın itiraz yoluna başvuran mahkemenin eksiklikleri tamamlayarak yeniden başvurmasına engel olmadığı belirtilmiştir.</w:t>
      </w:r>
    </w:p>
    <w:p w:rsidR="00BB0B1D" w:rsidRPr="00BA38C4" w:rsidRDefault="00BB0B1D" w:rsidP="00BA38C4">
      <w:pPr>
        <w:spacing w:after="200"/>
        <w:ind w:right="283" w:firstLine="709"/>
        <w:jc w:val="both"/>
        <w:rPr>
          <w:color w:val="010000"/>
        </w:rPr>
      </w:pPr>
      <w:r w:rsidRPr="00BA38C4">
        <w:rPr>
          <w:color w:val="010000"/>
        </w:rPr>
        <w:t>5. İtiraz yoluna başvuran Mahkeme tarafından başvuru kararına ilişkin onaylı tutanakta ve gerekçeli başvuru kararında 5271 sayılı Kanun’un 252. maddesinin (2) numaralı fıkrasının birinci ve ikinci cümlelerinin itiraz konusu kuralları oluşturduğu belirtilmiş iken gerekçeli başvuru kararının “</w:t>
      </w:r>
      <w:r w:rsidRPr="00BA38C4">
        <w:rPr>
          <w:i/>
          <w:color w:val="010000"/>
        </w:rPr>
        <w:t>İTİRAZ KONUSU</w:t>
      </w:r>
      <w:r w:rsidRPr="00BA38C4">
        <w:rPr>
          <w:color w:val="010000"/>
        </w:rPr>
        <w:t>” ve “</w:t>
      </w:r>
      <w:r w:rsidRPr="00BA38C4">
        <w:rPr>
          <w:i/>
          <w:color w:val="010000"/>
        </w:rPr>
        <w:t>SONUÇ</w:t>
      </w:r>
      <w:r w:rsidRPr="00BA38C4">
        <w:rPr>
          <w:color w:val="010000"/>
        </w:rPr>
        <w:t>” başlıklı kısımlarında anılan maddenin (2) numaralı fıkrasının iptaline karar verilmesi talep edilmiştir.</w:t>
      </w:r>
    </w:p>
    <w:p w:rsidR="00BB0B1D" w:rsidRPr="00BA38C4" w:rsidRDefault="00BB0B1D" w:rsidP="00BA38C4">
      <w:pPr>
        <w:spacing w:after="200"/>
        <w:ind w:right="283" w:firstLine="709"/>
        <w:jc w:val="both"/>
        <w:rPr>
          <w:color w:val="010000"/>
        </w:rPr>
      </w:pPr>
      <w:r w:rsidRPr="00BA38C4">
        <w:rPr>
          <w:color w:val="010000"/>
        </w:rPr>
        <w:t>6. Bu itibarla Mahkemenin gerekçeli başvuru kararının anılan başlıklı kısımları ve gerekçesi ile başvuru kararına ilişkin onaylı tutanak arasında çelişkiler olduğu gözetildiğinde başvurunun yöntemine uygun olmadığı sonucuna ulaşılmıştır.</w:t>
      </w:r>
    </w:p>
    <w:p w:rsidR="00BB0B1D" w:rsidRPr="00BA38C4" w:rsidRDefault="00BB0B1D" w:rsidP="00BA38C4">
      <w:pPr>
        <w:spacing w:after="200"/>
        <w:ind w:right="283" w:firstLine="709"/>
        <w:jc w:val="both"/>
        <w:rPr>
          <w:color w:val="010000"/>
        </w:rPr>
      </w:pPr>
      <w:r w:rsidRPr="00BA38C4">
        <w:rPr>
          <w:color w:val="010000"/>
        </w:rPr>
        <w:t xml:space="preserve">7. Açıklanan nedenlerle 6216 sayılı Kanun’un 40. maddesinin (1) numaralı fıkrasının (a) bendi ile </w:t>
      </w:r>
      <w:proofErr w:type="spellStart"/>
      <w:r w:rsidRPr="00BA38C4">
        <w:rPr>
          <w:color w:val="010000"/>
        </w:rPr>
        <w:t>İçtüzük’ün</w:t>
      </w:r>
      <w:proofErr w:type="spellEnd"/>
      <w:r w:rsidRPr="00BA38C4">
        <w:rPr>
          <w:color w:val="010000"/>
        </w:rPr>
        <w:t xml:space="preserve"> 46. maddesinin (1) numaralı fıkrasının (a) bendine aykırı olduğu anlaşılan </w:t>
      </w:r>
      <w:r w:rsidRPr="00BA38C4">
        <w:rPr>
          <w:color w:val="010000"/>
        </w:rPr>
        <w:lastRenderedPageBreak/>
        <w:t>başvurunun anılan Kanun’un 40. maddesinin (4) numaralı fıkrası gereğince yöntemine uygun olmadığından reddi gerekir.</w:t>
      </w:r>
    </w:p>
    <w:p w:rsidR="00BB0B1D" w:rsidRPr="00BA38C4" w:rsidRDefault="00BB0B1D" w:rsidP="00BA38C4">
      <w:pPr>
        <w:spacing w:after="200"/>
        <w:ind w:right="283" w:firstLine="709"/>
        <w:jc w:val="both"/>
        <w:rPr>
          <w:b/>
          <w:color w:val="010000"/>
        </w:rPr>
      </w:pPr>
      <w:r w:rsidRPr="00BA38C4">
        <w:rPr>
          <w:b/>
          <w:color w:val="010000"/>
        </w:rPr>
        <w:t>III.</w:t>
      </w:r>
      <w:r w:rsidRPr="00BA38C4">
        <w:rPr>
          <w:color w:val="010000"/>
        </w:rPr>
        <w:t xml:space="preserve"> </w:t>
      </w:r>
      <w:r w:rsidRPr="00BA38C4">
        <w:rPr>
          <w:b/>
          <w:color w:val="010000"/>
        </w:rPr>
        <w:t>HÜKÜM</w:t>
      </w:r>
    </w:p>
    <w:p w:rsidR="00BB0B1D" w:rsidRPr="00BA38C4" w:rsidRDefault="00BB0B1D" w:rsidP="00BA38C4">
      <w:pPr>
        <w:spacing w:after="200"/>
        <w:ind w:right="283" w:firstLine="709"/>
        <w:jc w:val="both"/>
        <w:rPr>
          <w:color w:val="010000"/>
        </w:rPr>
      </w:pPr>
      <w:r w:rsidRPr="00BA38C4">
        <w:rPr>
          <w:color w:val="010000"/>
        </w:rPr>
        <w:t xml:space="preserve">4/12/2004 tarihli ve 5271 sayılı </w:t>
      </w:r>
      <w:r w:rsidRPr="00BA38C4">
        <w:rPr>
          <w:bCs/>
          <w:color w:val="010000"/>
        </w:rPr>
        <w:t xml:space="preserve">Ceza Muhakemesi Kanunu’nun </w:t>
      </w:r>
      <w:r w:rsidRPr="00BA38C4">
        <w:rPr>
          <w:color w:val="010000"/>
        </w:rPr>
        <w:t>17/10/2019 tarihli ve 7188 sayılı Kanun’un 25. maddesiyle başlığı ile birlikte yeniden düzenlenen 252. maddesinin 2/3/2024 tarihli ve 7499 sayılı Kanun’un 17. maddesiyle değiştirilen (2) numaralı fıkrasının iptaline karar verilmesi talebiyle yapılan itiraz başvurusunun 30/3/2011 tarihli ve 6216 sayılı Anayasa Mahkemesinin Kuruluşu ve Yargılama Usulleri Hakkında Kanun’un 40. maddesinin (4) numaralı fıkrası gereğince yöntemine uygun olmadığından REDDİNE 12/2/2026 tarihinde OYBİRLİĞİYLE karar verildi.</w:t>
      </w:r>
    </w:p>
    <w:p w:rsidR="00BB0B1D" w:rsidRPr="00BA38C4" w:rsidRDefault="00BB0B1D" w:rsidP="00BA38C4">
      <w:pPr>
        <w:spacing w:after="200"/>
        <w:ind w:right="283" w:firstLine="709"/>
        <w:jc w:val="both"/>
        <w:rPr>
          <w:color w:val="010000"/>
        </w:rPr>
      </w:pPr>
    </w:p>
    <w:p w:rsidR="00BA38C4" w:rsidRDefault="00BA38C4">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B0B1D" w:rsidRPr="00BA38C4" w:rsidTr="00BA38C4">
        <w:trPr>
          <w:trHeight w:val="1600"/>
          <w:jc w:val="center"/>
        </w:trPr>
        <w:tc>
          <w:tcPr>
            <w:tcW w:w="1642" w:type="pct"/>
            <w:vAlign w:val="center"/>
            <w:hideMark/>
          </w:tcPr>
          <w:p w:rsidR="00BB0B1D" w:rsidRPr="00BA38C4" w:rsidRDefault="00BB0B1D" w:rsidP="00BA38C4">
            <w:pPr>
              <w:spacing w:after="120"/>
              <w:jc w:val="center"/>
              <w:rPr>
                <w:color w:val="010000"/>
              </w:rPr>
            </w:pPr>
            <w:r w:rsidRPr="00BA38C4">
              <w:rPr>
                <w:color w:val="010000"/>
              </w:rPr>
              <w:t>Başkan</w:t>
            </w:r>
          </w:p>
          <w:p w:rsidR="00BB0B1D" w:rsidRPr="00BA38C4" w:rsidRDefault="00BB0B1D" w:rsidP="00BA38C4">
            <w:pPr>
              <w:spacing w:after="120"/>
              <w:jc w:val="center"/>
              <w:rPr>
                <w:color w:val="010000"/>
              </w:rPr>
            </w:pPr>
            <w:r w:rsidRPr="00BA38C4">
              <w:rPr>
                <w:color w:val="010000"/>
              </w:rPr>
              <w:t>Kadir ÖZKAYA</w:t>
            </w:r>
          </w:p>
        </w:tc>
        <w:tc>
          <w:tcPr>
            <w:tcW w:w="1679" w:type="pct"/>
            <w:vAlign w:val="center"/>
            <w:hideMark/>
          </w:tcPr>
          <w:p w:rsidR="00BB0B1D" w:rsidRPr="00BA38C4" w:rsidRDefault="00BB0B1D" w:rsidP="00BA38C4">
            <w:pPr>
              <w:spacing w:after="120"/>
              <w:jc w:val="center"/>
              <w:rPr>
                <w:color w:val="010000"/>
              </w:rPr>
            </w:pPr>
            <w:r w:rsidRPr="00BA38C4">
              <w:rPr>
                <w:color w:val="010000"/>
              </w:rPr>
              <w:t>Başkanvekili</w:t>
            </w:r>
          </w:p>
          <w:p w:rsidR="00BB0B1D" w:rsidRPr="00BA38C4" w:rsidRDefault="00BB0B1D" w:rsidP="00BA38C4">
            <w:pPr>
              <w:spacing w:after="120"/>
              <w:jc w:val="center"/>
              <w:rPr>
                <w:color w:val="010000"/>
              </w:rPr>
            </w:pPr>
            <w:r w:rsidRPr="00BA38C4">
              <w:rPr>
                <w:color w:val="010000"/>
              </w:rPr>
              <w:t>Hasan Tahsin GÖKCAN</w:t>
            </w:r>
          </w:p>
        </w:tc>
        <w:tc>
          <w:tcPr>
            <w:tcW w:w="1679" w:type="pct"/>
            <w:vAlign w:val="center"/>
            <w:hideMark/>
          </w:tcPr>
          <w:p w:rsidR="00BB0B1D" w:rsidRPr="00BA38C4" w:rsidRDefault="00BB0B1D" w:rsidP="00BA38C4">
            <w:pPr>
              <w:spacing w:after="120"/>
              <w:jc w:val="center"/>
              <w:rPr>
                <w:color w:val="010000"/>
              </w:rPr>
            </w:pPr>
            <w:r w:rsidRPr="00BA38C4">
              <w:rPr>
                <w:color w:val="010000"/>
              </w:rPr>
              <w:t xml:space="preserve">Başkanvekili </w:t>
            </w:r>
          </w:p>
          <w:p w:rsidR="00BB0B1D" w:rsidRPr="00BA38C4" w:rsidRDefault="00BB0B1D" w:rsidP="00BA38C4">
            <w:pPr>
              <w:spacing w:after="120"/>
              <w:jc w:val="center"/>
              <w:rPr>
                <w:color w:val="010000"/>
              </w:rPr>
            </w:pPr>
            <w:r w:rsidRPr="00BA38C4">
              <w:rPr>
                <w:color w:val="010000"/>
              </w:rPr>
              <w:t>Basri BAĞCI</w:t>
            </w:r>
          </w:p>
        </w:tc>
      </w:tr>
      <w:tr w:rsidR="00BB0B1D" w:rsidRPr="00BA38C4" w:rsidTr="00BA38C4">
        <w:trPr>
          <w:trHeight w:val="1600"/>
          <w:jc w:val="center"/>
        </w:trPr>
        <w:tc>
          <w:tcPr>
            <w:tcW w:w="1642" w:type="pct"/>
            <w:vAlign w:val="center"/>
            <w:hideMark/>
          </w:tcPr>
          <w:p w:rsidR="00BB0B1D" w:rsidRPr="00BA38C4" w:rsidRDefault="00BB0B1D" w:rsidP="00BA38C4">
            <w:pPr>
              <w:spacing w:after="120"/>
              <w:jc w:val="center"/>
              <w:rPr>
                <w:color w:val="010000"/>
              </w:rPr>
            </w:pPr>
            <w:r w:rsidRPr="00BA38C4">
              <w:rPr>
                <w:color w:val="010000"/>
              </w:rPr>
              <w:t xml:space="preserve">Üye </w:t>
            </w:r>
          </w:p>
          <w:p w:rsidR="00BB0B1D" w:rsidRPr="00BA38C4" w:rsidRDefault="00BB0B1D" w:rsidP="00BA38C4">
            <w:pPr>
              <w:spacing w:after="120"/>
              <w:jc w:val="center"/>
              <w:rPr>
                <w:color w:val="010000"/>
              </w:rPr>
            </w:pPr>
            <w:r w:rsidRPr="00BA38C4">
              <w:rPr>
                <w:color w:val="010000"/>
              </w:rPr>
              <w:t>Engin YILDIRIM</w:t>
            </w:r>
          </w:p>
        </w:tc>
        <w:tc>
          <w:tcPr>
            <w:tcW w:w="1679" w:type="pct"/>
            <w:vAlign w:val="center"/>
            <w:hideMark/>
          </w:tcPr>
          <w:p w:rsidR="00BB0B1D" w:rsidRPr="00BA38C4" w:rsidRDefault="00BB0B1D" w:rsidP="00BA38C4">
            <w:pPr>
              <w:spacing w:after="120"/>
              <w:jc w:val="center"/>
              <w:rPr>
                <w:color w:val="010000"/>
              </w:rPr>
            </w:pPr>
            <w:r w:rsidRPr="00BA38C4">
              <w:rPr>
                <w:color w:val="010000"/>
              </w:rPr>
              <w:t>Üye</w:t>
            </w:r>
          </w:p>
          <w:p w:rsidR="00BB0B1D" w:rsidRPr="00BA38C4" w:rsidRDefault="00BB0B1D" w:rsidP="00BA38C4">
            <w:pPr>
              <w:spacing w:after="120"/>
              <w:jc w:val="center"/>
              <w:rPr>
                <w:color w:val="010000"/>
              </w:rPr>
            </w:pPr>
            <w:r w:rsidRPr="00BA38C4">
              <w:rPr>
                <w:color w:val="010000"/>
              </w:rPr>
              <w:t>Rıdvan GÜLEÇ</w:t>
            </w:r>
          </w:p>
        </w:tc>
        <w:tc>
          <w:tcPr>
            <w:tcW w:w="1679" w:type="pct"/>
            <w:vAlign w:val="center"/>
            <w:hideMark/>
          </w:tcPr>
          <w:p w:rsidR="00BB0B1D" w:rsidRPr="00BA38C4" w:rsidRDefault="00BB0B1D" w:rsidP="00BA38C4">
            <w:pPr>
              <w:spacing w:after="120"/>
              <w:jc w:val="center"/>
              <w:rPr>
                <w:color w:val="010000"/>
              </w:rPr>
            </w:pPr>
            <w:r w:rsidRPr="00BA38C4">
              <w:rPr>
                <w:color w:val="010000"/>
              </w:rPr>
              <w:t>Üye</w:t>
            </w:r>
          </w:p>
          <w:p w:rsidR="00BB0B1D" w:rsidRPr="00BA38C4" w:rsidRDefault="00BB0B1D" w:rsidP="00BA38C4">
            <w:pPr>
              <w:spacing w:after="120"/>
              <w:jc w:val="center"/>
              <w:rPr>
                <w:color w:val="010000"/>
              </w:rPr>
            </w:pPr>
            <w:r w:rsidRPr="00BA38C4">
              <w:rPr>
                <w:bCs/>
                <w:color w:val="010000"/>
              </w:rPr>
              <w:t>Recai AKYEL</w:t>
            </w:r>
          </w:p>
        </w:tc>
      </w:tr>
      <w:tr w:rsidR="00BB0B1D" w:rsidRPr="00BA38C4" w:rsidTr="00BA38C4">
        <w:trPr>
          <w:trHeight w:val="1600"/>
          <w:jc w:val="center"/>
        </w:trPr>
        <w:tc>
          <w:tcPr>
            <w:tcW w:w="1642" w:type="pct"/>
            <w:vAlign w:val="center"/>
            <w:hideMark/>
          </w:tcPr>
          <w:p w:rsidR="00BB0B1D" w:rsidRPr="00BA38C4" w:rsidRDefault="00BB0B1D" w:rsidP="00BA38C4">
            <w:pPr>
              <w:spacing w:after="120"/>
              <w:jc w:val="center"/>
              <w:rPr>
                <w:color w:val="010000"/>
              </w:rPr>
            </w:pPr>
            <w:r w:rsidRPr="00BA38C4">
              <w:rPr>
                <w:color w:val="010000"/>
              </w:rPr>
              <w:t xml:space="preserve">Üye </w:t>
            </w:r>
          </w:p>
          <w:p w:rsidR="00BB0B1D" w:rsidRPr="00BA38C4" w:rsidRDefault="00BB0B1D" w:rsidP="00BA38C4">
            <w:pPr>
              <w:spacing w:after="120"/>
              <w:jc w:val="center"/>
              <w:rPr>
                <w:color w:val="010000"/>
              </w:rPr>
            </w:pPr>
            <w:r w:rsidRPr="00BA38C4">
              <w:rPr>
                <w:bCs/>
                <w:color w:val="010000"/>
              </w:rPr>
              <w:t>Yusuf Şevki HAKYEMEZ</w:t>
            </w:r>
          </w:p>
        </w:tc>
        <w:tc>
          <w:tcPr>
            <w:tcW w:w="1679" w:type="pct"/>
            <w:vAlign w:val="center"/>
            <w:hideMark/>
          </w:tcPr>
          <w:p w:rsidR="00BB0B1D" w:rsidRPr="00BA38C4" w:rsidRDefault="00BB0B1D" w:rsidP="00BA38C4">
            <w:pPr>
              <w:spacing w:after="120"/>
              <w:jc w:val="center"/>
              <w:rPr>
                <w:color w:val="010000"/>
              </w:rPr>
            </w:pPr>
            <w:r w:rsidRPr="00BA38C4">
              <w:rPr>
                <w:color w:val="010000"/>
              </w:rPr>
              <w:t>Üye</w:t>
            </w:r>
          </w:p>
          <w:p w:rsidR="00BB0B1D" w:rsidRPr="00BA38C4" w:rsidRDefault="00BB0B1D" w:rsidP="00BA38C4">
            <w:pPr>
              <w:spacing w:after="120"/>
              <w:jc w:val="center"/>
              <w:rPr>
                <w:color w:val="010000"/>
              </w:rPr>
            </w:pPr>
            <w:r w:rsidRPr="00BA38C4">
              <w:rPr>
                <w:bCs/>
                <w:color w:val="010000"/>
              </w:rPr>
              <w:t>Yıldız SEFERİNOĞLU</w:t>
            </w:r>
          </w:p>
        </w:tc>
        <w:tc>
          <w:tcPr>
            <w:tcW w:w="1679" w:type="pct"/>
            <w:vAlign w:val="center"/>
            <w:hideMark/>
          </w:tcPr>
          <w:p w:rsidR="00BB0B1D" w:rsidRPr="00BA38C4" w:rsidRDefault="00BB0B1D" w:rsidP="00BA38C4">
            <w:pPr>
              <w:spacing w:after="120"/>
              <w:jc w:val="center"/>
              <w:rPr>
                <w:color w:val="010000"/>
              </w:rPr>
            </w:pPr>
            <w:r w:rsidRPr="00BA38C4">
              <w:rPr>
                <w:color w:val="010000"/>
              </w:rPr>
              <w:t>Üye</w:t>
            </w:r>
          </w:p>
          <w:p w:rsidR="00BB0B1D" w:rsidRPr="00BA38C4" w:rsidRDefault="00BB0B1D" w:rsidP="00BA38C4">
            <w:pPr>
              <w:spacing w:after="120"/>
              <w:jc w:val="center"/>
              <w:rPr>
                <w:color w:val="010000"/>
              </w:rPr>
            </w:pPr>
            <w:r w:rsidRPr="00BA38C4">
              <w:rPr>
                <w:color w:val="010000"/>
              </w:rPr>
              <w:t>Selahaddin MENTEŞ</w:t>
            </w:r>
          </w:p>
        </w:tc>
      </w:tr>
      <w:tr w:rsidR="00BB0B1D" w:rsidRPr="00BA38C4" w:rsidTr="00BA38C4">
        <w:trPr>
          <w:trHeight w:val="1600"/>
          <w:jc w:val="center"/>
        </w:trPr>
        <w:tc>
          <w:tcPr>
            <w:tcW w:w="1642" w:type="pct"/>
            <w:vAlign w:val="center"/>
            <w:hideMark/>
          </w:tcPr>
          <w:p w:rsidR="00BB0B1D" w:rsidRPr="00BA38C4" w:rsidRDefault="00BB0B1D" w:rsidP="00BA38C4">
            <w:pPr>
              <w:spacing w:after="120"/>
              <w:jc w:val="center"/>
              <w:rPr>
                <w:color w:val="010000"/>
              </w:rPr>
            </w:pPr>
            <w:r w:rsidRPr="00BA38C4">
              <w:rPr>
                <w:color w:val="010000"/>
              </w:rPr>
              <w:t xml:space="preserve">Üye </w:t>
            </w:r>
          </w:p>
          <w:p w:rsidR="00BB0B1D" w:rsidRPr="00BA38C4" w:rsidRDefault="00BB0B1D" w:rsidP="00BA38C4">
            <w:pPr>
              <w:spacing w:after="120"/>
              <w:jc w:val="center"/>
              <w:rPr>
                <w:color w:val="010000"/>
              </w:rPr>
            </w:pPr>
            <w:r w:rsidRPr="00BA38C4">
              <w:rPr>
                <w:bCs/>
                <w:color w:val="010000"/>
              </w:rPr>
              <w:t>İrfan FİDAN</w:t>
            </w:r>
          </w:p>
        </w:tc>
        <w:tc>
          <w:tcPr>
            <w:tcW w:w="1679" w:type="pct"/>
            <w:vAlign w:val="center"/>
            <w:hideMark/>
          </w:tcPr>
          <w:p w:rsidR="00BB0B1D" w:rsidRPr="00BA38C4" w:rsidRDefault="00BB0B1D" w:rsidP="00BA38C4">
            <w:pPr>
              <w:spacing w:after="120"/>
              <w:jc w:val="center"/>
              <w:rPr>
                <w:color w:val="010000"/>
              </w:rPr>
            </w:pPr>
            <w:r w:rsidRPr="00BA38C4">
              <w:rPr>
                <w:color w:val="010000"/>
              </w:rPr>
              <w:t>Üye</w:t>
            </w:r>
          </w:p>
          <w:p w:rsidR="00BB0B1D" w:rsidRPr="00BA38C4" w:rsidRDefault="00BB0B1D" w:rsidP="00BA38C4">
            <w:pPr>
              <w:spacing w:after="120"/>
              <w:jc w:val="center"/>
              <w:rPr>
                <w:color w:val="010000"/>
              </w:rPr>
            </w:pPr>
            <w:r w:rsidRPr="00BA38C4">
              <w:rPr>
                <w:color w:val="010000"/>
              </w:rPr>
              <w:t>Kenan YAŞAR</w:t>
            </w:r>
          </w:p>
        </w:tc>
        <w:tc>
          <w:tcPr>
            <w:tcW w:w="1679" w:type="pct"/>
            <w:vAlign w:val="center"/>
            <w:hideMark/>
          </w:tcPr>
          <w:p w:rsidR="00BB0B1D" w:rsidRPr="00BA38C4" w:rsidRDefault="00BB0B1D" w:rsidP="00BA38C4">
            <w:pPr>
              <w:spacing w:after="120"/>
              <w:jc w:val="center"/>
              <w:rPr>
                <w:color w:val="010000"/>
              </w:rPr>
            </w:pPr>
            <w:r w:rsidRPr="00BA38C4">
              <w:rPr>
                <w:color w:val="010000"/>
              </w:rPr>
              <w:t>Üye</w:t>
            </w:r>
          </w:p>
          <w:p w:rsidR="00BB0B1D" w:rsidRPr="00BA38C4" w:rsidRDefault="00BB0B1D" w:rsidP="00BA38C4">
            <w:pPr>
              <w:spacing w:after="120"/>
              <w:jc w:val="center"/>
              <w:rPr>
                <w:color w:val="010000"/>
              </w:rPr>
            </w:pPr>
            <w:r w:rsidRPr="00BA38C4">
              <w:rPr>
                <w:color w:val="010000"/>
              </w:rPr>
              <w:t>Muhterem İNCE</w:t>
            </w:r>
          </w:p>
        </w:tc>
      </w:tr>
      <w:tr w:rsidR="00BB0B1D" w:rsidRPr="00BA38C4" w:rsidTr="00BA38C4">
        <w:trPr>
          <w:trHeight w:val="1600"/>
          <w:jc w:val="center"/>
        </w:trPr>
        <w:tc>
          <w:tcPr>
            <w:tcW w:w="1642" w:type="pct"/>
            <w:vAlign w:val="center"/>
            <w:hideMark/>
          </w:tcPr>
          <w:p w:rsidR="00BB0B1D" w:rsidRPr="00BA38C4" w:rsidRDefault="00BB0B1D" w:rsidP="00BA38C4">
            <w:pPr>
              <w:spacing w:after="120"/>
              <w:jc w:val="center"/>
              <w:rPr>
                <w:color w:val="010000"/>
              </w:rPr>
            </w:pPr>
            <w:r w:rsidRPr="00BA38C4">
              <w:rPr>
                <w:color w:val="010000"/>
              </w:rPr>
              <w:t xml:space="preserve">Üye </w:t>
            </w:r>
          </w:p>
          <w:p w:rsidR="00BB0B1D" w:rsidRPr="00BA38C4" w:rsidRDefault="00BB0B1D" w:rsidP="00BA38C4">
            <w:pPr>
              <w:spacing w:after="120"/>
              <w:jc w:val="center"/>
              <w:rPr>
                <w:color w:val="010000"/>
              </w:rPr>
            </w:pPr>
            <w:r w:rsidRPr="00BA38C4">
              <w:rPr>
                <w:bCs/>
                <w:color w:val="010000"/>
              </w:rPr>
              <w:t>Yılmaz AKÇİL</w:t>
            </w:r>
          </w:p>
        </w:tc>
        <w:tc>
          <w:tcPr>
            <w:tcW w:w="1679" w:type="pct"/>
            <w:vAlign w:val="center"/>
            <w:hideMark/>
          </w:tcPr>
          <w:p w:rsidR="00BB0B1D" w:rsidRPr="00BA38C4" w:rsidRDefault="00BB0B1D" w:rsidP="00BA38C4">
            <w:pPr>
              <w:spacing w:after="120"/>
              <w:jc w:val="center"/>
              <w:rPr>
                <w:color w:val="010000"/>
              </w:rPr>
            </w:pPr>
            <w:r w:rsidRPr="00BA38C4">
              <w:rPr>
                <w:color w:val="010000"/>
              </w:rPr>
              <w:t>Üye</w:t>
            </w:r>
          </w:p>
          <w:p w:rsidR="00BB0B1D" w:rsidRPr="00BA38C4" w:rsidRDefault="00BB0B1D" w:rsidP="00BA38C4">
            <w:pPr>
              <w:spacing w:after="120"/>
              <w:jc w:val="center"/>
              <w:rPr>
                <w:bCs/>
                <w:color w:val="010000"/>
              </w:rPr>
            </w:pPr>
            <w:r w:rsidRPr="00BA38C4">
              <w:rPr>
                <w:bCs/>
                <w:color w:val="010000"/>
              </w:rPr>
              <w:t>Ömer ÇINAR</w:t>
            </w:r>
          </w:p>
        </w:tc>
        <w:tc>
          <w:tcPr>
            <w:tcW w:w="1679" w:type="pct"/>
            <w:vAlign w:val="center"/>
            <w:hideMark/>
          </w:tcPr>
          <w:p w:rsidR="00BB0B1D" w:rsidRPr="00BA38C4" w:rsidRDefault="00BB0B1D" w:rsidP="00BA38C4">
            <w:pPr>
              <w:spacing w:after="120"/>
              <w:jc w:val="center"/>
              <w:rPr>
                <w:color w:val="010000"/>
              </w:rPr>
            </w:pPr>
            <w:r w:rsidRPr="00BA38C4">
              <w:rPr>
                <w:color w:val="010000"/>
              </w:rPr>
              <w:t>Üye</w:t>
            </w:r>
          </w:p>
          <w:p w:rsidR="00BB0B1D" w:rsidRPr="00BA38C4" w:rsidRDefault="00BB0B1D" w:rsidP="00BA38C4">
            <w:pPr>
              <w:spacing w:after="120"/>
              <w:jc w:val="center"/>
              <w:rPr>
                <w:color w:val="010000"/>
              </w:rPr>
            </w:pPr>
            <w:r w:rsidRPr="00BA38C4">
              <w:rPr>
                <w:color w:val="010000"/>
              </w:rPr>
              <w:t>Metin KIRATLI</w:t>
            </w:r>
          </w:p>
        </w:tc>
      </w:tr>
    </w:tbl>
    <w:p w:rsidR="00442EBD" w:rsidRPr="00BA38C4" w:rsidRDefault="00442EBD" w:rsidP="00BA38C4">
      <w:pPr>
        <w:ind w:firstLine="851"/>
        <w:jc w:val="both"/>
        <w:rPr>
          <w:color w:val="010000"/>
        </w:rPr>
      </w:pPr>
    </w:p>
    <w:sectPr w:rsidR="00442EBD" w:rsidRPr="00BA38C4" w:rsidSect="00BA38C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5FB" w:rsidRDefault="007005FB" w:rsidP="00442EBD">
      <w:r>
        <w:separator/>
      </w:r>
    </w:p>
  </w:endnote>
  <w:endnote w:type="continuationSeparator" w:id="0">
    <w:p w:rsidR="007005FB" w:rsidRDefault="007005FB" w:rsidP="00442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8C4" w:rsidRDefault="00BA38C4" w:rsidP="00B05EF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A38C4" w:rsidRDefault="00BA38C4" w:rsidP="00BA38C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8C4" w:rsidRPr="00BA38C4" w:rsidRDefault="00BA38C4" w:rsidP="00B05EFE">
    <w:pPr>
      <w:pStyle w:val="AltBilgi"/>
      <w:framePr w:wrap="around" w:vAnchor="text" w:hAnchor="margin" w:xAlign="right" w:y="1"/>
      <w:rPr>
        <w:rStyle w:val="SayfaNumaras"/>
      </w:rPr>
    </w:pPr>
    <w:r w:rsidRPr="00BA38C4">
      <w:rPr>
        <w:rStyle w:val="SayfaNumaras"/>
      </w:rPr>
      <w:fldChar w:fldCharType="begin"/>
    </w:r>
    <w:r w:rsidRPr="00BA38C4">
      <w:rPr>
        <w:rStyle w:val="SayfaNumaras"/>
      </w:rPr>
      <w:instrText xml:space="preserve"> PAGE </w:instrText>
    </w:r>
    <w:r w:rsidRPr="00BA38C4">
      <w:rPr>
        <w:rStyle w:val="SayfaNumaras"/>
      </w:rPr>
      <w:fldChar w:fldCharType="separate"/>
    </w:r>
    <w:r w:rsidRPr="00BA38C4">
      <w:rPr>
        <w:rStyle w:val="SayfaNumaras"/>
        <w:noProof/>
      </w:rPr>
      <w:t>4</w:t>
    </w:r>
    <w:r w:rsidRPr="00BA38C4">
      <w:rPr>
        <w:rStyle w:val="SayfaNumaras"/>
      </w:rPr>
      <w:fldChar w:fldCharType="end"/>
    </w:r>
  </w:p>
  <w:p w:rsidR="00E8504F" w:rsidRDefault="00E8504F" w:rsidP="00BA38C4">
    <w:pPr>
      <w:pStyle w:val="AltBilgi"/>
      <w:ind w:right="360"/>
      <w:jc w:val="right"/>
    </w:pPr>
  </w:p>
  <w:p w:rsidR="00E8504F" w:rsidRDefault="00E8504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5FB" w:rsidRDefault="007005FB" w:rsidP="00442EBD">
      <w:r>
        <w:separator/>
      </w:r>
    </w:p>
  </w:footnote>
  <w:footnote w:type="continuationSeparator" w:id="0">
    <w:p w:rsidR="007005FB" w:rsidRDefault="007005FB" w:rsidP="00442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8C4" w:rsidRPr="00BA38C4" w:rsidRDefault="00BA38C4" w:rsidP="00BA38C4">
    <w:pPr>
      <w:pStyle w:val="stBilgi"/>
      <w:rPr>
        <w:b/>
      </w:rPr>
    </w:pPr>
    <w:r w:rsidRPr="00BA38C4">
      <w:rPr>
        <w:b/>
      </w:rPr>
      <w:t xml:space="preserve">Esas </w:t>
    </w:r>
    <w:proofErr w:type="gramStart"/>
    <w:r w:rsidRPr="00BA38C4">
      <w:rPr>
        <w:b/>
      </w:rPr>
      <w:t>Sayısı :</w:t>
    </w:r>
    <w:proofErr w:type="gramEnd"/>
    <w:r w:rsidRPr="00BA38C4">
      <w:rPr>
        <w:b/>
      </w:rPr>
      <w:t xml:space="preserve"> 2026/30</w:t>
    </w:r>
  </w:p>
  <w:p w:rsidR="00BA38C4" w:rsidRDefault="00BA38C4" w:rsidP="00BA38C4">
    <w:pPr>
      <w:pStyle w:val="stBilgi"/>
      <w:rPr>
        <w:b/>
      </w:rPr>
    </w:pPr>
    <w:r>
      <w:rPr>
        <w:b/>
      </w:rPr>
      <w:t xml:space="preserve">Karar </w:t>
    </w:r>
    <w:proofErr w:type="gramStart"/>
    <w:r>
      <w:rPr>
        <w:b/>
      </w:rPr>
      <w:t>Sayısı :</w:t>
    </w:r>
    <w:proofErr w:type="gramEnd"/>
    <w:r>
      <w:rPr>
        <w:b/>
      </w:rPr>
      <w:t xml:space="preserve"> 2026/28</w:t>
    </w:r>
  </w:p>
  <w:p w:rsidR="00442EBD" w:rsidRPr="00BA38C4" w:rsidRDefault="00442EBD" w:rsidP="00BA38C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03C6"/>
    <w:rsid w:val="00047F05"/>
    <w:rsid w:val="0025373A"/>
    <w:rsid w:val="00442EBD"/>
    <w:rsid w:val="006000DD"/>
    <w:rsid w:val="006A3A7A"/>
    <w:rsid w:val="007005FB"/>
    <w:rsid w:val="00807ADF"/>
    <w:rsid w:val="00876942"/>
    <w:rsid w:val="009447B5"/>
    <w:rsid w:val="00952B5F"/>
    <w:rsid w:val="009A6E00"/>
    <w:rsid w:val="00A508A8"/>
    <w:rsid w:val="00BA38C4"/>
    <w:rsid w:val="00BB0B1D"/>
    <w:rsid w:val="00D86404"/>
    <w:rsid w:val="00E850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8A47209-C797-41C0-AF9D-604F56B2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442EBD"/>
    <w:pPr>
      <w:tabs>
        <w:tab w:val="center" w:pos="4536"/>
        <w:tab w:val="right" w:pos="9072"/>
      </w:tabs>
    </w:pPr>
  </w:style>
  <w:style w:type="character" w:customStyle="1" w:styleId="stBilgiChar">
    <w:name w:val="Üst Bilgi Char"/>
    <w:link w:val="stBilgi"/>
    <w:uiPriority w:val="99"/>
    <w:rsid w:val="00442EBD"/>
    <w:rPr>
      <w:sz w:val="24"/>
      <w:szCs w:val="24"/>
    </w:rPr>
  </w:style>
  <w:style w:type="paragraph" w:styleId="AltBilgi">
    <w:name w:val="footer"/>
    <w:basedOn w:val="Normal"/>
    <w:link w:val="AltBilgiChar"/>
    <w:uiPriority w:val="99"/>
    <w:rsid w:val="00442EBD"/>
    <w:pPr>
      <w:tabs>
        <w:tab w:val="center" w:pos="4536"/>
        <w:tab w:val="right" w:pos="9072"/>
      </w:tabs>
    </w:pPr>
  </w:style>
  <w:style w:type="character" w:customStyle="1" w:styleId="AltBilgiChar">
    <w:name w:val="Alt Bilgi Char"/>
    <w:link w:val="AltBilgi"/>
    <w:uiPriority w:val="99"/>
    <w:rsid w:val="00442EBD"/>
    <w:rPr>
      <w:sz w:val="24"/>
      <w:szCs w:val="24"/>
    </w:rPr>
  </w:style>
  <w:style w:type="character" w:styleId="SayfaNumaras">
    <w:name w:val="page number"/>
    <w:basedOn w:val="VarsaylanParagrafYazTipi"/>
    <w:rsid w:val="00BA3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49378">
      <w:bodyDiv w:val="1"/>
      <w:marLeft w:val="0"/>
      <w:marRight w:val="0"/>
      <w:marTop w:val="0"/>
      <w:marBottom w:val="0"/>
      <w:divBdr>
        <w:top w:val="none" w:sz="0" w:space="0" w:color="auto"/>
        <w:left w:val="none" w:sz="0" w:space="0" w:color="auto"/>
        <w:bottom w:val="none" w:sz="0" w:space="0" w:color="auto"/>
        <w:right w:val="none" w:sz="0" w:space="0" w:color="auto"/>
      </w:divBdr>
    </w:div>
    <w:div w:id="206532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1087</Words>
  <Characters>6201</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2026-04-15T08:35:00Z</cp:lastPrinted>
  <dcterms:created xsi:type="dcterms:W3CDTF">2026-04-15T12:47:00Z</dcterms:created>
  <dcterms:modified xsi:type="dcterms:W3CDTF">2026-04-15T12:47:00Z</dcterms:modified>
</cp:coreProperties>
</file>