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E90" w:rsidRDefault="001E1E90" w:rsidP="00680591">
      <w:pPr>
        <w:spacing w:after="200"/>
        <w:ind w:right="283"/>
        <w:jc w:val="center"/>
        <w:rPr>
          <w:b/>
          <w:bCs/>
          <w:caps/>
          <w:color w:val="010000"/>
          <w:lang w:eastAsia="zh-CN"/>
        </w:rPr>
      </w:pPr>
      <w:r w:rsidRPr="00680591">
        <w:rPr>
          <w:b/>
          <w:bCs/>
          <w:caps/>
          <w:color w:val="010000"/>
          <w:lang w:eastAsia="zh-CN"/>
        </w:rPr>
        <w:t>ANAYASA MAHKEMESİ KARARI</w:t>
      </w:r>
    </w:p>
    <w:p w:rsidR="00680591" w:rsidRPr="00680591" w:rsidRDefault="00680591" w:rsidP="00680591">
      <w:pPr>
        <w:spacing w:after="200"/>
        <w:ind w:right="283" w:firstLine="709"/>
        <w:jc w:val="center"/>
        <w:rPr>
          <w:b/>
          <w:bCs/>
          <w:caps/>
          <w:color w:val="010000"/>
          <w:lang w:eastAsia="zh-CN"/>
        </w:rPr>
      </w:pPr>
    </w:p>
    <w:p w:rsidR="00680591" w:rsidRDefault="00680591" w:rsidP="00680591">
      <w:pPr>
        <w:rPr>
          <w:b/>
          <w:bCs/>
          <w:color w:val="010000"/>
        </w:rPr>
      </w:pPr>
      <w:bookmarkStart w:id="0" w:name="_Hlk141876816"/>
      <w:r>
        <w:rPr>
          <w:b/>
          <w:bCs/>
          <w:color w:val="010000"/>
        </w:rPr>
        <w:t xml:space="preserve">Esas </w:t>
      </w:r>
      <w:proofErr w:type="gramStart"/>
      <w:r>
        <w:rPr>
          <w:b/>
          <w:bCs/>
          <w:color w:val="010000"/>
        </w:rPr>
        <w:t>Sayısı :</w:t>
      </w:r>
      <w:proofErr w:type="gramEnd"/>
      <w:r>
        <w:rPr>
          <w:b/>
          <w:bCs/>
          <w:color w:val="010000"/>
        </w:rPr>
        <w:t xml:space="preserve"> 2025/91</w:t>
      </w:r>
    </w:p>
    <w:p w:rsidR="00680591" w:rsidRDefault="00680591" w:rsidP="00680591">
      <w:pPr>
        <w:rPr>
          <w:b/>
          <w:color w:val="010000"/>
        </w:rPr>
      </w:pPr>
      <w:r>
        <w:rPr>
          <w:b/>
          <w:color w:val="010000"/>
        </w:rPr>
        <w:t xml:space="preserve">Karar </w:t>
      </w:r>
      <w:proofErr w:type="gramStart"/>
      <w:r>
        <w:rPr>
          <w:b/>
          <w:color w:val="010000"/>
        </w:rPr>
        <w:t>Sayısı :</w:t>
      </w:r>
      <w:proofErr w:type="gramEnd"/>
      <w:r>
        <w:rPr>
          <w:b/>
          <w:color w:val="010000"/>
        </w:rPr>
        <w:t xml:space="preserve"> 2025/82</w:t>
      </w:r>
    </w:p>
    <w:p w:rsidR="00680591" w:rsidRDefault="00680591" w:rsidP="00680591">
      <w:pPr>
        <w:rPr>
          <w:b/>
          <w:color w:val="010000"/>
        </w:rPr>
      </w:pPr>
      <w:r>
        <w:rPr>
          <w:b/>
          <w:color w:val="010000"/>
        </w:rPr>
        <w:t xml:space="preserve">Karar </w:t>
      </w:r>
      <w:proofErr w:type="gramStart"/>
      <w:r>
        <w:rPr>
          <w:b/>
          <w:color w:val="010000"/>
        </w:rPr>
        <w:t>Tarihi :</w:t>
      </w:r>
      <w:proofErr w:type="gramEnd"/>
      <w:r>
        <w:rPr>
          <w:b/>
          <w:color w:val="010000"/>
        </w:rPr>
        <w:t xml:space="preserve"> 27/3/2025</w:t>
      </w:r>
    </w:p>
    <w:p w:rsidR="00680591" w:rsidRDefault="00680591" w:rsidP="00680591">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141CA7" w:rsidRPr="00680591" w:rsidRDefault="00141CA7" w:rsidP="00680591">
      <w:pPr>
        <w:rPr>
          <w:b/>
          <w:color w:val="010000"/>
        </w:rPr>
      </w:pPr>
    </w:p>
    <w:bookmarkEnd w:id="0"/>
    <w:p w:rsidR="001E1E90" w:rsidRPr="00680591" w:rsidRDefault="001E1E90" w:rsidP="00680591">
      <w:pPr>
        <w:spacing w:after="200"/>
        <w:ind w:right="283" w:firstLine="709"/>
        <w:jc w:val="both"/>
        <w:rPr>
          <w:color w:val="010000"/>
        </w:rPr>
      </w:pPr>
      <w:r w:rsidRPr="00680591">
        <w:rPr>
          <w:b/>
          <w:bCs/>
          <w:color w:val="010000"/>
        </w:rPr>
        <w:t xml:space="preserve">İTİRAZ YOLUNA BAŞVURAN: </w:t>
      </w:r>
      <w:r w:rsidRPr="00680591">
        <w:rPr>
          <w:color w:val="010000"/>
        </w:rPr>
        <w:t>Antalya 12. Aile Mahkemesi</w:t>
      </w:r>
    </w:p>
    <w:p w:rsidR="001E1E90" w:rsidRPr="00680591" w:rsidRDefault="001E1E90" w:rsidP="00680591">
      <w:pPr>
        <w:spacing w:after="200"/>
        <w:ind w:right="283" w:firstLine="709"/>
        <w:jc w:val="both"/>
        <w:rPr>
          <w:color w:val="010000"/>
          <w:lang w:eastAsia="en-US"/>
        </w:rPr>
      </w:pPr>
      <w:r w:rsidRPr="00680591">
        <w:rPr>
          <w:b/>
          <w:bCs/>
          <w:color w:val="010000"/>
        </w:rPr>
        <w:t>İTİRAZIN KONUSU:</w:t>
      </w:r>
      <w:r w:rsidRPr="00680591">
        <w:rPr>
          <w:color w:val="010000"/>
        </w:rPr>
        <w:t xml:space="preserve"> </w:t>
      </w:r>
      <w:bookmarkStart w:id="1" w:name="_Hlk118287747"/>
      <w:bookmarkStart w:id="2" w:name="_Hlk118798387"/>
      <w:r w:rsidRPr="00680591">
        <w:rPr>
          <w:color w:val="010000"/>
          <w:lang w:eastAsia="en-US"/>
        </w:rPr>
        <w:t>22/11/2001 tarihli ve 4721 sayılı Türk Medeni Kanunu’nun 175. maddesinin birinci fıkrasında yer alan “</w:t>
      </w:r>
      <w:r w:rsidRPr="00680591">
        <w:rPr>
          <w:i/>
          <w:color w:val="010000"/>
          <w:lang w:eastAsia="en-US"/>
        </w:rPr>
        <w:t>...süresiz olarak...</w:t>
      </w:r>
      <w:r w:rsidRPr="00680591">
        <w:rPr>
          <w:color w:val="010000"/>
          <w:lang w:eastAsia="en-US"/>
        </w:rPr>
        <w:t>” ibaresinin Anayasa’nın 2., 10., 20., 35. ve 41. maddelerine aykırılığı ileri sürülerek iptaline karar verilmesi talebidir.</w:t>
      </w:r>
    </w:p>
    <w:bookmarkEnd w:id="1"/>
    <w:bookmarkEnd w:id="2"/>
    <w:p w:rsidR="001E1E90" w:rsidRPr="00680591" w:rsidRDefault="001E1E90" w:rsidP="00680591">
      <w:pPr>
        <w:spacing w:after="200"/>
        <w:ind w:right="283" w:firstLine="709"/>
        <w:jc w:val="both"/>
        <w:rPr>
          <w:color w:val="010000"/>
          <w:lang w:eastAsia="en-US"/>
        </w:rPr>
      </w:pPr>
      <w:r w:rsidRPr="00680591">
        <w:rPr>
          <w:b/>
          <w:bCs/>
          <w:color w:val="010000"/>
        </w:rPr>
        <w:t>OLAY:</w:t>
      </w:r>
      <w:r w:rsidRPr="00680591">
        <w:rPr>
          <w:rFonts w:eastAsia="Calibri"/>
          <w:color w:val="010000"/>
        </w:rPr>
        <w:t xml:space="preserve"> </w:t>
      </w:r>
      <w:r w:rsidRPr="00680591">
        <w:rPr>
          <w:color w:val="010000"/>
          <w:lang w:eastAsia="en-US"/>
        </w:rPr>
        <w:t>Yoksulluk nafakasının artırılması ve kaldırılması talepleriyle açılan dava ve karşı davada itiraz konusu kuralın Anayasa’ya aykırı olduğu kanısına varan Mahkeme, iptali için başvurmuştur.</w:t>
      </w:r>
    </w:p>
    <w:p w:rsidR="001E1E90" w:rsidRPr="00680591" w:rsidRDefault="001E1E90" w:rsidP="00680591">
      <w:pPr>
        <w:spacing w:after="200"/>
        <w:ind w:right="283" w:firstLine="709"/>
        <w:jc w:val="both"/>
        <w:rPr>
          <w:color w:val="010000"/>
        </w:rPr>
      </w:pPr>
      <w:r w:rsidRPr="00680591">
        <w:rPr>
          <w:b/>
          <w:bCs/>
          <w:color w:val="010000"/>
        </w:rPr>
        <w:t>I. İPTALİ İSTENEN VE İLGİLİ GÖRÜLEN KANUN HÜKÜMLERİ</w:t>
      </w:r>
    </w:p>
    <w:p w:rsidR="001E1E90" w:rsidRPr="00680591" w:rsidRDefault="001E1E90" w:rsidP="00680591">
      <w:pPr>
        <w:spacing w:after="200"/>
        <w:ind w:right="283" w:firstLine="709"/>
        <w:jc w:val="both"/>
        <w:rPr>
          <w:color w:val="010000"/>
        </w:rPr>
      </w:pPr>
      <w:r w:rsidRPr="00680591">
        <w:rPr>
          <w:b/>
          <w:bCs/>
          <w:color w:val="010000"/>
          <w:shd w:val="clear" w:color="auto" w:fill="FFFFFF"/>
        </w:rPr>
        <w:t>A. İptali İstenen Kanun Hükmü</w:t>
      </w:r>
    </w:p>
    <w:p w:rsidR="001E1E90" w:rsidRPr="00680591" w:rsidRDefault="001E1E90" w:rsidP="00680591">
      <w:pPr>
        <w:spacing w:after="200"/>
        <w:ind w:right="283" w:firstLine="709"/>
        <w:jc w:val="both"/>
        <w:rPr>
          <w:color w:val="010000"/>
        </w:rPr>
      </w:pPr>
      <w:r w:rsidRPr="00680591">
        <w:rPr>
          <w:color w:val="010000"/>
          <w:lang w:eastAsia="zh-CN"/>
        </w:rPr>
        <w:t>Kanun’un</w:t>
      </w:r>
      <w:r w:rsidRPr="00680591">
        <w:rPr>
          <w:color w:val="010000"/>
        </w:rPr>
        <w:t xml:space="preserve"> itiraz konusu kuralın da yer aldığı 175. maddesi şöyledir:</w:t>
      </w:r>
      <w:r w:rsidRPr="00680591">
        <w:rPr>
          <w:rStyle w:val="DipnotBavurusu"/>
          <w:rFonts w:eastAsia="Calibri"/>
          <w:b/>
          <w:bCs/>
          <w:i/>
          <w:color w:val="010000"/>
        </w:rPr>
        <w:t xml:space="preserve"> </w:t>
      </w:r>
    </w:p>
    <w:p w:rsidR="001E1E90" w:rsidRPr="00680591" w:rsidRDefault="00680591" w:rsidP="00680591">
      <w:pPr>
        <w:spacing w:after="200"/>
        <w:ind w:right="283" w:firstLine="709"/>
        <w:jc w:val="both"/>
        <w:rPr>
          <w:rFonts w:eastAsia="Calibri"/>
          <w:i/>
          <w:color w:val="010000"/>
          <w:szCs w:val="22"/>
        </w:rPr>
      </w:pPr>
      <w:r w:rsidRPr="00680591">
        <w:rPr>
          <w:rFonts w:eastAsia="Calibri"/>
          <w:bCs/>
          <w:color w:val="010000"/>
          <w:szCs w:val="22"/>
        </w:rPr>
        <w:t xml:space="preserve"> </w:t>
      </w:r>
      <w:r w:rsidR="001E1E90" w:rsidRPr="00680591">
        <w:rPr>
          <w:rFonts w:eastAsia="Calibri"/>
          <w:bCs/>
          <w:color w:val="010000"/>
          <w:szCs w:val="22"/>
        </w:rPr>
        <w:t>“</w:t>
      </w:r>
      <w:r w:rsidR="001E1E90" w:rsidRPr="00680591">
        <w:rPr>
          <w:rFonts w:eastAsia="Calibri"/>
          <w:i/>
          <w:color w:val="010000"/>
          <w:szCs w:val="22"/>
        </w:rPr>
        <w:t>2. Yoksulluk nafakası</w:t>
      </w:r>
    </w:p>
    <w:p w:rsidR="001E1E90" w:rsidRPr="00680591" w:rsidRDefault="001E1E90" w:rsidP="00680591">
      <w:pPr>
        <w:spacing w:after="200"/>
        <w:ind w:right="283" w:firstLine="709"/>
        <w:jc w:val="both"/>
        <w:rPr>
          <w:rFonts w:eastAsia="Calibri"/>
          <w:i/>
          <w:color w:val="010000"/>
          <w:szCs w:val="22"/>
        </w:rPr>
      </w:pPr>
      <w:bookmarkStart w:id="3" w:name="_Hlk194493861"/>
      <w:r w:rsidRPr="00680591">
        <w:rPr>
          <w:rFonts w:eastAsia="Calibri"/>
          <w:i/>
          <w:color w:val="010000"/>
          <w:szCs w:val="22"/>
        </w:rPr>
        <w:t xml:space="preserve">Madde 175- Boşanma yüzünden yoksulluğa düşecek taraf, kusuru daha ağır olmamak koşuluyla geçimi için diğer taraftan malî gücü oranında </w:t>
      </w:r>
      <w:r w:rsidRPr="00680591">
        <w:rPr>
          <w:rFonts w:eastAsia="Calibri"/>
          <w:b/>
          <w:i/>
          <w:color w:val="010000"/>
          <w:szCs w:val="22"/>
          <w:u w:val="single"/>
        </w:rPr>
        <w:t>süresiz olarak</w:t>
      </w:r>
      <w:r w:rsidRPr="00680591">
        <w:rPr>
          <w:rFonts w:eastAsia="Calibri"/>
          <w:i/>
          <w:color w:val="010000"/>
          <w:szCs w:val="22"/>
        </w:rPr>
        <w:t xml:space="preserve"> nafaka isteyebilir.</w:t>
      </w:r>
    </w:p>
    <w:p w:rsidR="001E1E90" w:rsidRPr="00680591" w:rsidRDefault="001E1E90" w:rsidP="00680591">
      <w:pPr>
        <w:spacing w:after="200"/>
        <w:ind w:right="283" w:firstLine="709"/>
        <w:jc w:val="both"/>
        <w:rPr>
          <w:rFonts w:eastAsia="Calibri"/>
          <w:i/>
          <w:color w:val="010000"/>
          <w:szCs w:val="22"/>
        </w:rPr>
      </w:pPr>
      <w:r w:rsidRPr="00680591">
        <w:rPr>
          <w:rFonts w:eastAsia="Calibri"/>
          <w:i/>
          <w:color w:val="010000"/>
          <w:szCs w:val="22"/>
        </w:rPr>
        <w:t>Nafaka yükümlüsünün kusuru aranmaz.</w:t>
      </w:r>
      <w:r w:rsidRPr="00680591">
        <w:rPr>
          <w:rFonts w:eastAsia="Calibri"/>
          <w:color w:val="010000"/>
          <w:szCs w:val="22"/>
        </w:rPr>
        <w:t>”</w:t>
      </w:r>
    </w:p>
    <w:bookmarkEnd w:id="3"/>
    <w:p w:rsidR="001E1E90" w:rsidRPr="00680591" w:rsidRDefault="001E1E90" w:rsidP="00680591">
      <w:pPr>
        <w:spacing w:after="200"/>
        <w:ind w:right="283" w:firstLine="709"/>
        <w:jc w:val="both"/>
        <w:rPr>
          <w:rFonts w:eastAsia="Calibri"/>
          <w:b/>
          <w:bCs/>
          <w:color w:val="010000"/>
          <w:lang w:eastAsia="en-US"/>
        </w:rPr>
      </w:pPr>
      <w:r w:rsidRPr="00680591">
        <w:rPr>
          <w:rFonts w:eastAsia="Calibri"/>
          <w:b/>
          <w:bCs/>
          <w:color w:val="010000"/>
          <w:lang w:eastAsia="en-US"/>
        </w:rPr>
        <w:t>B. İlgili Görülen Kanun Hükmü</w:t>
      </w:r>
    </w:p>
    <w:p w:rsidR="001E1E90" w:rsidRPr="00680591" w:rsidRDefault="001E1E90" w:rsidP="00680591">
      <w:pPr>
        <w:spacing w:after="200"/>
        <w:ind w:right="283" w:firstLine="709"/>
        <w:jc w:val="both"/>
        <w:rPr>
          <w:rFonts w:eastAsia="Calibri"/>
          <w:bCs/>
          <w:color w:val="010000"/>
          <w:lang w:eastAsia="en-US"/>
        </w:rPr>
      </w:pPr>
      <w:r w:rsidRPr="00680591">
        <w:rPr>
          <w:rFonts w:eastAsia="Calibri"/>
          <w:bCs/>
          <w:color w:val="010000"/>
          <w:lang w:eastAsia="en-US"/>
        </w:rPr>
        <w:t>Kanun’un 176. maddesi şöyledir:</w:t>
      </w:r>
    </w:p>
    <w:p w:rsidR="001E1E90" w:rsidRPr="00680591" w:rsidRDefault="00680591" w:rsidP="00680591">
      <w:pPr>
        <w:spacing w:after="200"/>
        <w:ind w:right="283" w:firstLine="709"/>
        <w:jc w:val="both"/>
        <w:rPr>
          <w:rFonts w:eastAsia="Calibri"/>
          <w:bCs/>
          <w:i/>
          <w:color w:val="010000"/>
          <w:szCs w:val="22"/>
          <w:lang w:eastAsia="en-US"/>
        </w:rPr>
      </w:pPr>
      <w:r w:rsidRPr="00680591">
        <w:rPr>
          <w:rFonts w:eastAsia="Calibri"/>
          <w:bCs/>
          <w:color w:val="010000"/>
          <w:szCs w:val="22"/>
          <w:lang w:eastAsia="en-US"/>
        </w:rPr>
        <w:t xml:space="preserve"> </w:t>
      </w:r>
      <w:r w:rsidR="001E1E90" w:rsidRPr="00680591">
        <w:rPr>
          <w:rFonts w:eastAsia="Calibri"/>
          <w:bCs/>
          <w:color w:val="010000"/>
          <w:szCs w:val="22"/>
          <w:lang w:eastAsia="en-US"/>
        </w:rPr>
        <w:t>“</w:t>
      </w:r>
      <w:r w:rsidR="001E1E90" w:rsidRPr="00680591">
        <w:rPr>
          <w:rFonts w:eastAsia="Calibri"/>
          <w:bCs/>
          <w:i/>
          <w:color w:val="010000"/>
          <w:szCs w:val="22"/>
          <w:lang w:eastAsia="en-US"/>
        </w:rPr>
        <w:t>3. Tazminat ve nafakanın ödenme biçimi</w:t>
      </w:r>
    </w:p>
    <w:p w:rsidR="001E1E90" w:rsidRPr="00680591" w:rsidRDefault="001E1E90" w:rsidP="00680591">
      <w:pPr>
        <w:spacing w:after="200"/>
        <w:ind w:right="283" w:firstLine="709"/>
        <w:jc w:val="both"/>
        <w:rPr>
          <w:rFonts w:eastAsia="Calibri"/>
          <w:bCs/>
          <w:i/>
          <w:color w:val="010000"/>
          <w:szCs w:val="22"/>
          <w:lang w:eastAsia="en-US"/>
        </w:rPr>
      </w:pPr>
      <w:r w:rsidRPr="00680591">
        <w:rPr>
          <w:rFonts w:eastAsia="Calibri"/>
          <w:bCs/>
          <w:i/>
          <w:color w:val="010000"/>
          <w:szCs w:val="22"/>
          <w:lang w:eastAsia="en-US"/>
        </w:rPr>
        <w:t xml:space="preserve">Madde 176- </w:t>
      </w:r>
      <w:bookmarkStart w:id="4" w:name="_Hlk194493934"/>
      <w:r w:rsidRPr="00680591">
        <w:rPr>
          <w:rFonts w:eastAsia="Calibri"/>
          <w:bCs/>
          <w:i/>
          <w:color w:val="010000"/>
          <w:szCs w:val="22"/>
          <w:lang w:eastAsia="en-US"/>
        </w:rPr>
        <w:t>Maddî tazminat ve yoksulluk nafakasının toptan veya durumun gereklerine göre irat biçiminde ödenmesine karar verilebilir.</w:t>
      </w:r>
    </w:p>
    <w:p w:rsidR="001E1E90" w:rsidRPr="00680591" w:rsidRDefault="001E1E90" w:rsidP="00680591">
      <w:pPr>
        <w:spacing w:after="200"/>
        <w:ind w:right="283" w:firstLine="709"/>
        <w:jc w:val="both"/>
        <w:rPr>
          <w:rFonts w:eastAsia="Calibri"/>
          <w:bCs/>
          <w:i/>
          <w:color w:val="010000"/>
          <w:szCs w:val="22"/>
          <w:lang w:eastAsia="en-US"/>
        </w:rPr>
      </w:pPr>
      <w:r w:rsidRPr="00680591">
        <w:rPr>
          <w:rFonts w:eastAsia="Calibri"/>
          <w:bCs/>
          <w:i/>
          <w:color w:val="010000"/>
          <w:szCs w:val="22"/>
          <w:lang w:eastAsia="en-US"/>
        </w:rPr>
        <w:t>Manevî tazminatın irat biçiminde ödenmesine karar verilemez.</w:t>
      </w:r>
    </w:p>
    <w:p w:rsidR="001E1E90" w:rsidRPr="00680591" w:rsidRDefault="001E1E90" w:rsidP="00680591">
      <w:pPr>
        <w:spacing w:after="200"/>
        <w:ind w:right="283" w:firstLine="709"/>
        <w:jc w:val="both"/>
        <w:rPr>
          <w:rFonts w:eastAsia="Calibri"/>
          <w:bCs/>
          <w:i/>
          <w:color w:val="010000"/>
          <w:szCs w:val="22"/>
          <w:lang w:eastAsia="en-US"/>
        </w:rPr>
      </w:pPr>
      <w:r w:rsidRPr="00680591">
        <w:rPr>
          <w:rFonts w:eastAsia="Calibri"/>
          <w:bCs/>
          <w:i/>
          <w:color w:val="010000"/>
          <w:szCs w:val="22"/>
          <w:lang w:eastAsia="en-US"/>
        </w:rPr>
        <w:t>İrat biçiminde ödenmesine karar verilen maddî tazminat veya nafaka, alacaklı tarafın yeniden evlenmesi ya da taraflardan birinin ölümü hâlinde kendiliğinden kalkar; alacaklı tarafın evlenme olmaksızın fiilen evliymiş gibi yaşaması, yoksulluğunun ortadan kalkması ya da haysiyetsiz hayat sürmesi hâlinde mahkeme kararıyla kaldırılır.</w:t>
      </w:r>
    </w:p>
    <w:p w:rsidR="001E1E90" w:rsidRPr="00680591" w:rsidRDefault="001E1E90" w:rsidP="00680591">
      <w:pPr>
        <w:spacing w:after="200"/>
        <w:ind w:right="283" w:firstLine="709"/>
        <w:jc w:val="both"/>
        <w:rPr>
          <w:rFonts w:eastAsia="Calibri"/>
          <w:bCs/>
          <w:i/>
          <w:color w:val="010000"/>
          <w:szCs w:val="22"/>
          <w:lang w:eastAsia="en-US"/>
        </w:rPr>
      </w:pPr>
      <w:bookmarkStart w:id="5" w:name="_Hlk194494069"/>
      <w:bookmarkEnd w:id="4"/>
      <w:r w:rsidRPr="00680591">
        <w:rPr>
          <w:rFonts w:eastAsia="Calibri"/>
          <w:bCs/>
          <w:i/>
          <w:color w:val="010000"/>
          <w:szCs w:val="22"/>
          <w:lang w:eastAsia="en-US"/>
        </w:rPr>
        <w:t>Tarafların malî durumlarının değişmesi veya hakkaniyetin gerektirdiği hâllerde iradın artırılması veya azaltılmasına karar verilebilir.</w:t>
      </w:r>
    </w:p>
    <w:p w:rsidR="001E1E90" w:rsidRPr="00680591" w:rsidRDefault="001E1E90" w:rsidP="00680591">
      <w:pPr>
        <w:spacing w:after="200"/>
        <w:ind w:right="283" w:firstLine="709"/>
        <w:jc w:val="both"/>
        <w:rPr>
          <w:rFonts w:eastAsia="Calibri"/>
          <w:bCs/>
          <w:i/>
          <w:color w:val="010000"/>
          <w:szCs w:val="22"/>
          <w:lang w:eastAsia="en-US"/>
        </w:rPr>
      </w:pPr>
      <w:r w:rsidRPr="00680591">
        <w:rPr>
          <w:rFonts w:eastAsia="Calibri"/>
          <w:bCs/>
          <w:i/>
          <w:color w:val="010000"/>
          <w:szCs w:val="22"/>
          <w:lang w:eastAsia="en-US"/>
        </w:rPr>
        <w:t>Hâkim, istem hâlinde, irat biçiminde ödenmesine karar verilen maddî tazminat veya nafakanın gelecek yıllarda tarafların sosyal ve ekonomik durumlarına göre ne miktarda ödeneceğini karara bağlayabilir.</w:t>
      </w:r>
      <w:r w:rsidRPr="00680591">
        <w:rPr>
          <w:rFonts w:eastAsia="Calibri"/>
          <w:bCs/>
          <w:color w:val="010000"/>
          <w:szCs w:val="22"/>
          <w:lang w:eastAsia="en-US"/>
        </w:rPr>
        <w:t>”</w:t>
      </w:r>
    </w:p>
    <w:bookmarkEnd w:id="5"/>
    <w:p w:rsidR="001E1E90" w:rsidRPr="00680591" w:rsidRDefault="001E1E90" w:rsidP="00680591">
      <w:pPr>
        <w:spacing w:after="200"/>
        <w:ind w:right="283" w:firstLine="709"/>
        <w:jc w:val="both"/>
        <w:rPr>
          <w:b/>
          <w:bCs/>
          <w:color w:val="010000"/>
          <w:lang w:eastAsia="zh-CN"/>
        </w:rPr>
      </w:pPr>
      <w:r w:rsidRPr="00680591">
        <w:rPr>
          <w:b/>
          <w:bCs/>
          <w:color w:val="010000"/>
          <w:lang w:eastAsia="zh-CN"/>
        </w:rPr>
        <w:lastRenderedPageBreak/>
        <w:t>II. İLK İNCELEME</w:t>
      </w:r>
    </w:p>
    <w:p w:rsidR="001E1E90" w:rsidRPr="00680591" w:rsidRDefault="001E1E90" w:rsidP="00680591">
      <w:pPr>
        <w:spacing w:after="200"/>
        <w:ind w:right="283" w:firstLine="709"/>
        <w:jc w:val="both"/>
        <w:rPr>
          <w:color w:val="010000"/>
        </w:rPr>
      </w:pPr>
      <w:r w:rsidRPr="00680591">
        <w:rPr>
          <w:color w:val="010000"/>
        </w:rPr>
        <w:t>1.</w:t>
      </w:r>
      <w:r w:rsidR="00680591" w:rsidRPr="00680591">
        <w:rPr>
          <w:color w:val="010000"/>
        </w:rPr>
        <w:t xml:space="preserve"> </w:t>
      </w:r>
      <w:r w:rsidRPr="00680591">
        <w:rPr>
          <w:color w:val="010000"/>
        </w:rPr>
        <w:t>Anayasa Mahkemesi İçtüzüğü hükümleri uyarınca yapılan ilk inceleme toplantısında başvuru kararı ve ekleri, Raportör Muhammed Nuri ÖZGÜR tarafından hazırlanan ilk inceleme raporu, itiraz konusu ve ilgili görülen kanun hükümleri okunup incelendikten sonra gereği görüşülüp düşünüldü:</w:t>
      </w:r>
    </w:p>
    <w:p w:rsidR="001E1E90" w:rsidRPr="00680591" w:rsidRDefault="001E1E90" w:rsidP="00680591">
      <w:pPr>
        <w:spacing w:after="200"/>
        <w:ind w:right="283" w:firstLine="709"/>
        <w:jc w:val="both"/>
        <w:rPr>
          <w:color w:val="010000"/>
          <w:shd w:val="clear" w:color="auto" w:fill="FFFFFF"/>
        </w:rPr>
      </w:pPr>
      <w:r w:rsidRPr="00680591">
        <w:rPr>
          <w:color w:val="010000"/>
          <w:shd w:val="clear" w:color="auto" w:fill="FFFFFF"/>
        </w:rPr>
        <w:t>2.</w:t>
      </w:r>
      <w:r w:rsidR="00680591" w:rsidRPr="00680591">
        <w:rPr>
          <w:color w:val="010000"/>
          <w:shd w:val="clear" w:color="auto" w:fill="FFFFFF"/>
        </w:rPr>
        <w:t xml:space="preserve"> </w:t>
      </w:r>
      <w:r w:rsidRPr="00680591">
        <w:rPr>
          <w:color w:val="010000"/>
          <w:shd w:val="clear" w:color="auto" w:fill="FFFFFF"/>
        </w:rPr>
        <w:t>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alanına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kurallardır.</w:t>
      </w:r>
    </w:p>
    <w:p w:rsidR="001E1E90" w:rsidRPr="00680591" w:rsidRDefault="001E1E90" w:rsidP="00680591">
      <w:pPr>
        <w:spacing w:after="200"/>
        <w:ind w:right="283" w:firstLine="709"/>
        <w:jc w:val="both"/>
        <w:rPr>
          <w:rFonts w:eastAsia="Calibri"/>
          <w:color w:val="010000"/>
          <w:lang w:eastAsia="en-US"/>
        </w:rPr>
      </w:pPr>
      <w:r w:rsidRPr="00680591">
        <w:rPr>
          <w:rFonts w:eastAsia="Calibri"/>
          <w:color w:val="010000"/>
          <w:lang w:eastAsia="en-US"/>
        </w:rPr>
        <w:t xml:space="preserve">3. </w:t>
      </w:r>
      <w:r w:rsidRPr="00680591">
        <w:rPr>
          <w:rFonts w:eastAsia="Calibri"/>
          <w:color w:val="010000"/>
          <w:shd w:val="clear" w:color="auto" w:fill="FFFFFF"/>
          <w:lang w:eastAsia="en-US"/>
        </w:rPr>
        <w:t xml:space="preserve">İtiraz yoluna başvuran Mahkeme 4721 sayılı Kanun’un 175. maddesinin </w:t>
      </w:r>
      <w:r w:rsidRPr="00680591">
        <w:rPr>
          <w:color w:val="010000"/>
          <w:lang w:eastAsia="en-US"/>
        </w:rPr>
        <w:t>birinci fıkrasında yer alan “</w:t>
      </w:r>
      <w:r w:rsidRPr="00680591">
        <w:rPr>
          <w:i/>
          <w:color w:val="010000"/>
          <w:lang w:eastAsia="en-US"/>
        </w:rPr>
        <w:t>...süresiz olarak...</w:t>
      </w:r>
      <w:r w:rsidRPr="00680591">
        <w:rPr>
          <w:color w:val="010000"/>
          <w:lang w:eastAsia="en-US"/>
        </w:rPr>
        <w:t xml:space="preserve">” ibaresinin iptalini talep etmiştir. </w:t>
      </w:r>
      <w:r w:rsidRPr="00680591">
        <w:rPr>
          <w:rFonts w:eastAsia="Calibri"/>
          <w:color w:val="010000"/>
          <w:lang w:eastAsia="en-US"/>
        </w:rPr>
        <w:t xml:space="preserve">Anılan fıkrada boşanma yüzünden yoksulluğa düşecek tarafın kusuru daha ağır olmamak koşuluyla geçimi için diğer taraftan malî gücü oranında süresiz olarak nafaka isteyebileceği belirtilmiştir. </w:t>
      </w:r>
    </w:p>
    <w:p w:rsidR="001E1E90" w:rsidRPr="00680591" w:rsidRDefault="001E1E90" w:rsidP="00680591">
      <w:pPr>
        <w:spacing w:after="200"/>
        <w:ind w:right="283" w:firstLine="709"/>
        <w:jc w:val="both"/>
        <w:rPr>
          <w:rFonts w:eastAsia="Calibri"/>
          <w:color w:val="010000"/>
          <w:lang w:eastAsia="en-US"/>
        </w:rPr>
      </w:pPr>
      <w:r w:rsidRPr="00680591">
        <w:rPr>
          <w:rFonts w:eastAsia="Calibri"/>
          <w:color w:val="010000"/>
          <w:lang w:eastAsia="en-US"/>
        </w:rPr>
        <w:t>4. Söz konusu Kanun’un 176. maddesinin birinci fıkrasına göre ise maddi tazminat ve yoksulluk nafakasının toptan veya durumun gereklerine göre irat biçiminde ödenmesine karar verilebilir. Anılan maddenin üçüncü fıkrasında da irat biçiminde ödenmesine karar verilen maddi tazminat veya nafakanın alacaklı tarafın yeniden evlenmesi ya da taraflardan birinin ölümü hâlinde kendiliğinden kalkacağı; alacaklı tarafın evlenme olmaksızın fiilen evliymiş gibi yaşaması, yoksulluğunun ortadan kalkması ya da haysiyetsiz hayat sürmesi hâlinde mahkeme kararıyla kaldırılacağı öngörülmüştür. Maddenin dördüncü fıkrasında ise tarafların mali durumlarının değişmesi veya hakkaniyetin gerektirdiği hâllerde iradın artırılmasına veya azaltılmasına karar verilebileceği hüküm altına alınmıştır.</w:t>
      </w:r>
    </w:p>
    <w:p w:rsidR="001E1E90" w:rsidRPr="00680591" w:rsidRDefault="001E1E90" w:rsidP="00680591">
      <w:pPr>
        <w:spacing w:after="200"/>
        <w:ind w:right="283" w:firstLine="709"/>
        <w:jc w:val="both"/>
        <w:rPr>
          <w:color w:val="010000"/>
          <w:shd w:val="clear" w:color="auto" w:fill="FFFFFF"/>
        </w:rPr>
      </w:pPr>
      <w:r w:rsidRPr="00680591">
        <w:rPr>
          <w:color w:val="010000"/>
          <w:shd w:val="clear" w:color="auto" w:fill="FFFFFF"/>
        </w:rPr>
        <w:t xml:space="preserve">5. İtiraz yoluna başvuran Mahkemede bakılmakta olan davanın konusu Kanun’un 176. maddesinin dördüncü fıkrası gereğince asıl dava olarak ileri sürülen yoksulluk nafakasının artırılması talebi ile anılan maddenin üçüncü fıkrası gereğince karşı dava olarak ileri sürülen söz konusu nafakanın kaldırılması talebine ilişkindir. İtiraz konusu kuralın da yer aldığı 175. maddenin ise boşanma davası ya da 178. maddeye göre bir yıllık süre içinde bağımsız olarak açılabilecek bir yoksulluk nafakası davasında uygulanabileceği açıktır. Başka bir ifadeyle 175. maddeye göre yoksulluk nafakasına süresiz olarak hükmedilmesi ancak boşanma davası ya da bağımsız olarak açılan yoksulluk nafakası talepli bir davayla mümkün olacaktır. Bu itibarla bakılmakta olan davanın konusu gözetildiğinde itiraz konusu kuralın bu davada uygulanma imkânı bulunmamaktadır. </w:t>
      </w:r>
    </w:p>
    <w:p w:rsidR="001E1E90" w:rsidRPr="00680591" w:rsidRDefault="001E1E90" w:rsidP="00680591">
      <w:pPr>
        <w:spacing w:after="200"/>
        <w:ind w:right="283" w:firstLine="709"/>
        <w:jc w:val="both"/>
        <w:rPr>
          <w:color w:val="010000"/>
          <w:shd w:val="clear" w:color="auto" w:fill="FFFFFF"/>
        </w:rPr>
      </w:pPr>
      <w:r w:rsidRPr="00680591">
        <w:rPr>
          <w:color w:val="010000"/>
          <w:shd w:val="clear" w:color="auto" w:fill="FFFFFF"/>
        </w:rPr>
        <w:t>6.</w:t>
      </w:r>
      <w:r w:rsidR="00680591" w:rsidRPr="00680591">
        <w:rPr>
          <w:color w:val="010000"/>
          <w:shd w:val="clear" w:color="auto" w:fill="FFFFFF"/>
        </w:rPr>
        <w:t xml:space="preserve"> </w:t>
      </w:r>
      <w:r w:rsidRPr="00680591">
        <w:rPr>
          <w:color w:val="010000"/>
          <w:shd w:val="clear" w:color="auto" w:fill="FFFFFF"/>
        </w:rPr>
        <w:t>Açıklanan nedenle kuralın itiraz başvurusunda bulunan Mahkemenin bakmakta olduğu davada uygulanma imkânı bulunmadığından başvurunun Mahkemenin yetkisizliği nedeniyle reddi gerekir.</w:t>
      </w:r>
    </w:p>
    <w:p w:rsidR="001E1E90" w:rsidRPr="00680591" w:rsidRDefault="001E1E90" w:rsidP="00680591">
      <w:pPr>
        <w:spacing w:after="200"/>
        <w:ind w:right="283" w:firstLine="709"/>
        <w:jc w:val="both"/>
        <w:rPr>
          <w:b/>
          <w:bCs/>
          <w:color w:val="010000"/>
        </w:rPr>
      </w:pPr>
      <w:r w:rsidRPr="00680591">
        <w:rPr>
          <w:b/>
          <w:bCs/>
          <w:color w:val="010000"/>
        </w:rPr>
        <w:t>III. HÜKÜM</w:t>
      </w:r>
    </w:p>
    <w:p w:rsidR="001E1E90" w:rsidRPr="00680591" w:rsidRDefault="001E1E90" w:rsidP="00680591">
      <w:pPr>
        <w:spacing w:after="200"/>
        <w:ind w:right="283" w:firstLine="709"/>
        <w:jc w:val="both"/>
        <w:rPr>
          <w:color w:val="010000"/>
        </w:rPr>
      </w:pPr>
      <w:bookmarkStart w:id="6" w:name="_Hlk167364087"/>
      <w:r w:rsidRPr="00680591">
        <w:rPr>
          <w:color w:val="010000"/>
        </w:rPr>
        <w:t>22/11/2001 tarihli ve 4721 sayılı Türk Medeni Kanunu’nun 175. maddesinin birinci fıkrasında yer alan “</w:t>
      </w:r>
      <w:r w:rsidRPr="00680591">
        <w:rPr>
          <w:i/>
          <w:color w:val="010000"/>
        </w:rPr>
        <w:t>...süresiz olarak...</w:t>
      </w:r>
      <w:r w:rsidRPr="00680591">
        <w:rPr>
          <w:color w:val="010000"/>
        </w:rPr>
        <w:t xml:space="preserve">” ibaresinin </w:t>
      </w:r>
      <w:r w:rsidRPr="00680591">
        <w:rPr>
          <w:bCs/>
          <w:color w:val="010000"/>
        </w:rPr>
        <w:t xml:space="preserve">itiraz başvurusunda bulunan Mahkemenin </w:t>
      </w:r>
      <w:r w:rsidRPr="00680591">
        <w:rPr>
          <w:bCs/>
          <w:color w:val="010000"/>
        </w:rPr>
        <w:lastRenderedPageBreak/>
        <w:t xml:space="preserve">bakmakta olduğu davada uygulanma imkânı bulunmadığından başvurunun Mahkemenin yetkisizliği nedeniyle REDDİNE </w:t>
      </w:r>
      <w:r w:rsidRPr="00680591">
        <w:rPr>
          <w:rFonts w:eastAsia="ヒラギノ明朝 Pro W3"/>
          <w:color w:val="010000"/>
          <w:lang w:eastAsia="en-US"/>
        </w:rPr>
        <w:t>27/3/2025</w:t>
      </w:r>
      <w:r w:rsidRPr="00680591">
        <w:rPr>
          <w:color w:val="010000"/>
        </w:rPr>
        <w:t xml:space="preserve"> tarihinde OYBİRLİĞİYLE karar verildi.</w:t>
      </w:r>
    </w:p>
    <w:p w:rsidR="00680591" w:rsidRDefault="00680591">
      <w:bookmarkStart w:id="7" w:name="_GoBack"/>
      <w:bookmarkEnd w:id="7"/>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1E1E90" w:rsidRPr="00680591" w:rsidTr="00680591">
        <w:trPr>
          <w:trHeight w:val="1600"/>
          <w:jc w:val="center"/>
        </w:trPr>
        <w:tc>
          <w:tcPr>
            <w:tcW w:w="1642" w:type="pct"/>
            <w:vAlign w:val="center"/>
            <w:hideMark/>
          </w:tcPr>
          <w:bookmarkEnd w:id="6"/>
          <w:p w:rsidR="001E1E90" w:rsidRPr="00680591" w:rsidRDefault="001E1E90" w:rsidP="00680591">
            <w:pPr>
              <w:spacing w:after="120"/>
              <w:jc w:val="center"/>
              <w:rPr>
                <w:color w:val="010000"/>
              </w:rPr>
            </w:pPr>
            <w:r w:rsidRPr="00680591">
              <w:rPr>
                <w:color w:val="010000"/>
              </w:rPr>
              <w:t>Başkan</w:t>
            </w:r>
          </w:p>
          <w:p w:rsidR="001E1E90" w:rsidRPr="00680591" w:rsidRDefault="001E1E90" w:rsidP="00680591">
            <w:pPr>
              <w:spacing w:after="120"/>
              <w:jc w:val="center"/>
              <w:rPr>
                <w:color w:val="010000"/>
              </w:rPr>
            </w:pPr>
            <w:r w:rsidRPr="00680591">
              <w:rPr>
                <w:color w:val="010000"/>
              </w:rPr>
              <w:t>Kadir ÖZKAYA</w:t>
            </w:r>
          </w:p>
        </w:tc>
        <w:tc>
          <w:tcPr>
            <w:tcW w:w="1679" w:type="pct"/>
            <w:vAlign w:val="center"/>
            <w:hideMark/>
          </w:tcPr>
          <w:p w:rsidR="001E1E90" w:rsidRPr="00680591" w:rsidRDefault="001E1E90" w:rsidP="00680591">
            <w:pPr>
              <w:spacing w:after="120"/>
              <w:jc w:val="center"/>
              <w:rPr>
                <w:color w:val="010000"/>
              </w:rPr>
            </w:pPr>
            <w:r w:rsidRPr="00680591">
              <w:rPr>
                <w:color w:val="010000"/>
              </w:rPr>
              <w:t>Başkanvekili</w:t>
            </w:r>
          </w:p>
          <w:p w:rsidR="001E1E90" w:rsidRPr="00680591" w:rsidRDefault="001E1E90" w:rsidP="00680591">
            <w:pPr>
              <w:spacing w:after="120"/>
              <w:jc w:val="center"/>
              <w:rPr>
                <w:color w:val="010000"/>
              </w:rPr>
            </w:pPr>
            <w:r w:rsidRPr="00680591">
              <w:rPr>
                <w:color w:val="010000"/>
              </w:rPr>
              <w:t>Hasan Tahsin GÖKCAN</w:t>
            </w:r>
          </w:p>
        </w:tc>
        <w:tc>
          <w:tcPr>
            <w:tcW w:w="1679" w:type="pct"/>
            <w:vAlign w:val="center"/>
            <w:hideMark/>
          </w:tcPr>
          <w:p w:rsidR="001E1E90" w:rsidRPr="00680591" w:rsidRDefault="001E1E90" w:rsidP="00680591">
            <w:pPr>
              <w:spacing w:after="120"/>
              <w:jc w:val="center"/>
              <w:rPr>
                <w:color w:val="010000"/>
              </w:rPr>
            </w:pPr>
            <w:r w:rsidRPr="00680591">
              <w:rPr>
                <w:color w:val="010000"/>
              </w:rPr>
              <w:t xml:space="preserve">Başkanvekili </w:t>
            </w:r>
          </w:p>
          <w:p w:rsidR="001E1E90" w:rsidRPr="00680591" w:rsidRDefault="001E1E90" w:rsidP="00680591">
            <w:pPr>
              <w:spacing w:after="120"/>
              <w:jc w:val="center"/>
              <w:rPr>
                <w:color w:val="010000"/>
              </w:rPr>
            </w:pPr>
            <w:r w:rsidRPr="00680591">
              <w:rPr>
                <w:color w:val="010000"/>
              </w:rPr>
              <w:t>Basri BAĞCI</w:t>
            </w:r>
          </w:p>
        </w:tc>
      </w:tr>
      <w:tr w:rsidR="001E1E90" w:rsidRPr="00680591" w:rsidTr="00680591">
        <w:trPr>
          <w:trHeight w:val="1600"/>
          <w:jc w:val="center"/>
        </w:trPr>
        <w:tc>
          <w:tcPr>
            <w:tcW w:w="1642" w:type="pct"/>
            <w:vAlign w:val="center"/>
            <w:hideMark/>
          </w:tcPr>
          <w:p w:rsidR="001E1E90" w:rsidRPr="00680591" w:rsidRDefault="001E1E90" w:rsidP="00680591">
            <w:pPr>
              <w:spacing w:after="120"/>
              <w:jc w:val="center"/>
              <w:rPr>
                <w:color w:val="010000"/>
              </w:rPr>
            </w:pPr>
            <w:r w:rsidRPr="00680591">
              <w:rPr>
                <w:color w:val="010000"/>
              </w:rPr>
              <w:t xml:space="preserve">Üye </w:t>
            </w:r>
          </w:p>
          <w:p w:rsidR="001E1E90" w:rsidRPr="00680591" w:rsidRDefault="001E1E90" w:rsidP="00680591">
            <w:pPr>
              <w:spacing w:after="120"/>
              <w:jc w:val="center"/>
              <w:rPr>
                <w:color w:val="010000"/>
              </w:rPr>
            </w:pPr>
            <w:r w:rsidRPr="00680591">
              <w:rPr>
                <w:color w:val="010000"/>
              </w:rPr>
              <w:t>Engin YILDIRIM</w:t>
            </w:r>
          </w:p>
        </w:tc>
        <w:tc>
          <w:tcPr>
            <w:tcW w:w="1679" w:type="pct"/>
            <w:vAlign w:val="center"/>
            <w:hideMark/>
          </w:tcPr>
          <w:p w:rsidR="001E1E90" w:rsidRPr="00680591" w:rsidRDefault="001E1E90" w:rsidP="00680591">
            <w:pPr>
              <w:spacing w:after="120"/>
              <w:jc w:val="center"/>
              <w:rPr>
                <w:color w:val="010000"/>
              </w:rPr>
            </w:pPr>
            <w:r w:rsidRPr="00680591">
              <w:rPr>
                <w:color w:val="010000"/>
              </w:rPr>
              <w:t>Üye</w:t>
            </w:r>
          </w:p>
          <w:p w:rsidR="001E1E90" w:rsidRPr="00680591" w:rsidRDefault="001E1E90" w:rsidP="00680591">
            <w:pPr>
              <w:spacing w:after="120"/>
              <w:jc w:val="center"/>
              <w:rPr>
                <w:color w:val="010000"/>
              </w:rPr>
            </w:pPr>
            <w:r w:rsidRPr="00680591">
              <w:rPr>
                <w:color w:val="010000"/>
              </w:rPr>
              <w:t>Rıdvan GÜLEÇ</w:t>
            </w:r>
          </w:p>
        </w:tc>
        <w:tc>
          <w:tcPr>
            <w:tcW w:w="1679" w:type="pct"/>
            <w:vAlign w:val="center"/>
            <w:hideMark/>
          </w:tcPr>
          <w:p w:rsidR="001E1E90" w:rsidRPr="00680591" w:rsidRDefault="001E1E90" w:rsidP="00680591">
            <w:pPr>
              <w:spacing w:after="120"/>
              <w:jc w:val="center"/>
              <w:rPr>
                <w:color w:val="010000"/>
              </w:rPr>
            </w:pPr>
            <w:r w:rsidRPr="00680591">
              <w:rPr>
                <w:color w:val="010000"/>
              </w:rPr>
              <w:t>Üye</w:t>
            </w:r>
          </w:p>
          <w:p w:rsidR="001E1E90" w:rsidRPr="00680591" w:rsidRDefault="001E1E90" w:rsidP="00680591">
            <w:pPr>
              <w:spacing w:after="120"/>
              <w:jc w:val="center"/>
              <w:rPr>
                <w:color w:val="010000"/>
              </w:rPr>
            </w:pPr>
            <w:r w:rsidRPr="00680591">
              <w:rPr>
                <w:bCs/>
                <w:color w:val="010000"/>
              </w:rPr>
              <w:t>Recai AKYEL</w:t>
            </w:r>
          </w:p>
        </w:tc>
      </w:tr>
      <w:tr w:rsidR="001E1E90" w:rsidRPr="00680591" w:rsidTr="00680591">
        <w:trPr>
          <w:trHeight w:val="1600"/>
          <w:jc w:val="center"/>
        </w:trPr>
        <w:tc>
          <w:tcPr>
            <w:tcW w:w="1642" w:type="pct"/>
            <w:vAlign w:val="center"/>
            <w:hideMark/>
          </w:tcPr>
          <w:p w:rsidR="001E1E90" w:rsidRPr="00680591" w:rsidRDefault="001E1E90" w:rsidP="00680591">
            <w:pPr>
              <w:spacing w:after="120"/>
              <w:jc w:val="center"/>
              <w:rPr>
                <w:color w:val="010000"/>
              </w:rPr>
            </w:pPr>
            <w:r w:rsidRPr="00680591">
              <w:rPr>
                <w:color w:val="010000"/>
              </w:rPr>
              <w:t xml:space="preserve">Üye </w:t>
            </w:r>
          </w:p>
          <w:p w:rsidR="001E1E90" w:rsidRPr="00680591" w:rsidRDefault="001E1E90" w:rsidP="00680591">
            <w:pPr>
              <w:spacing w:after="120"/>
              <w:jc w:val="center"/>
              <w:rPr>
                <w:color w:val="010000"/>
              </w:rPr>
            </w:pPr>
            <w:r w:rsidRPr="00680591">
              <w:rPr>
                <w:bCs/>
                <w:color w:val="010000"/>
              </w:rPr>
              <w:t>Yusuf Şevki HAKYEMEZ</w:t>
            </w:r>
          </w:p>
        </w:tc>
        <w:tc>
          <w:tcPr>
            <w:tcW w:w="1679" w:type="pct"/>
            <w:vAlign w:val="center"/>
            <w:hideMark/>
          </w:tcPr>
          <w:p w:rsidR="001E1E90" w:rsidRPr="00680591" w:rsidRDefault="001E1E90" w:rsidP="00680591">
            <w:pPr>
              <w:spacing w:after="120"/>
              <w:jc w:val="center"/>
              <w:rPr>
                <w:color w:val="010000"/>
              </w:rPr>
            </w:pPr>
            <w:r w:rsidRPr="00680591">
              <w:rPr>
                <w:color w:val="010000"/>
              </w:rPr>
              <w:t>Üye</w:t>
            </w:r>
          </w:p>
          <w:p w:rsidR="001E1E90" w:rsidRPr="00680591" w:rsidRDefault="001E1E90" w:rsidP="00680591">
            <w:pPr>
              <w:spacing w:after="120"/>
              <w:jc w:val="center"/>
              <w:rPr>
                <w:color w:val="010000"/>
              </w:rPr>
            </w:pPr>
            <w:r w:rsidRPr="00680591">
              <w:rPr>
                <w:bCs/>
                <w:color w:val="010000"/>
              </w:rPr>
              <w:t>Yıldız SEFERİNOĞLU</w:t>
            </w:r>
          </w:p>
        </w:tc>
        <w:tc>
          <w:tcPr>
            <w:tcW w:w="1679" w:type="pct"/>
            <w:vAlign w:val="center"/>
            <w:hideMark/>
          </w:tcPr>
          <w:p w:rsidR="001E1E90" w:rsidRPr="00680591" w:rsidRDefault="001E1E90" w:rsidP="00680591">
            <w:pPr>
              <w:spacing w:after="120"/>
              <w:jc w:val="center"/>
              <w:rPr>
                <w:color w:val="010000"/>
              </w:rPr>
            </w:pPr>
            <w:r w:rsidRPr="00680591">
              <w:rPr>
                <w:color w:val="010000"/>
              </w:rPr>
              <w:t>Üye</w:t>
            </w:r>
          </w:p>
          <w:p w:rsidR="001E1E90" w:rsidRPr="00680591" w:rsidRDefault="001E1E90" w:rsidP="00680591">
            <w:pPr>
              <w:spacing w:after="120"/>
              <w:jc w:val="center"/>
              <w:rPr>
                <w:color w:val="010000"/>
              </w:rPr>
            </w:pPr>
            <w:r w:rsidRPr="00680591">
              <w:rPr>
                <w:color w:val="010000"/>
              </w:rPr>
              <w:t>Selahaddin MENTEŞ</w:t>
            </w:r>
          </w:p>
        </w:tc>
      </w:tr>
      <w:tr w:rsidR="001E1E90" w:rsidRPr="00680591" w:rsidTr="00680591">
        <w:trPr>
          <w:trHeight w:val="1600"/>
          <w:jc w:val="center"/>
        </w:trPr>
        <w:tc>
          <w:tcPr>
            <w:tcW w:w="1642" w:type="pct"/>
            <w:vAlign w:val="center"/>
            <w:hideMark/>
          </w:tcPr>
          <w:p w:rsidR="001E1E90" w:rsidRPr="00680591" w:rsidRDefault="001E1E90" w:rsidP="00680591">
            <w:pPr>
              <w:spacing w:after="120"/>
              <w:jc w:val="center"/>
              <w:rPr>
                <w:color w:val="010000"/>
              </w:rPr>
            </w:pPr>
            <w:r w:rsidRPr="00680591">
              <w:rPr>
                <w:color w:val="010000"/>
              </w:rPr>
              <w:t xml:space="preserve">Üye </w:t>
            </w:r>
          </w:p>
          <w:p w:rsidR="001E1E90" w:rsidRPr="00680591" w:rsidRDefault="001E1E90" w:rsidP="00680591">
            <w:pPr>
              <w:spacing w:after="120"/>
              <w:jc w:val="center"/>
              <w:rPr>
                <w:color w:val="010000"/>
              </w:rPr>
            </w:pPr>
            <w:r w:rsidRPr="00680591">
              <w:rPr>
                <w:bCs/>
                <w:color w:val="010000"/>
              </w:rPr>
              <w:t>İrfan FİDAN</w:t>
            </w:r>
          </w:p>
        </w:tc>
        <w:tc>
          <w:tcPr>
            <w:tcW w:w="1679" w:type="pct"/>
            <w:vAlign w:val="center"/>
            <w:hideMark/>
          </w:tcPr>
          <w:p w:rsidR="001E1E90" w:rsidRPr="00680591" w:rsidRDefault="001E1E90" w:rsidP="00680591">
            <w:pPr>
              <w:spacing w:after="120"/>
              <w:jc w:val="center"/>
              <w:rPr>
                <w:color w:val="010000"/>
              </w:rPr>
            </w:pPr>
            <w:r w:rsidRPr="00680591">
              <w:rPr>
                <w:color w:val="010000"/>
              </w:rPr>
              <w:t>Üye</w:t>
            </w:r>
          </w:p>
          <w:p w:rsidR="001E1E90" w:rsidRPr="00680591" w:rsidRDefault="001E1E90" w:rsidP="00680591">
            <w:pPr>
              <w:spacing w:after="120"/>
              <w:jc w:val="center"/>
              <w:rPr>
                <w:color w:val="010000"/>
              </w:rPr>
            </w:pPr>
            <w:r w:rsidRPr="00680591">
              <w:rPr>
                <w:color w:val="010000"/>
              </w:rPr>
              <w:t>Kenan YAŞAR</w:t>
            </w:r>
          </w:p>
        </w:tc>
        <w:tc>
          <w:tcPr>
            <w:tcW w:w="1679" w:type="pct"/>
            <w:vAlign w:val="center"/>
            <w:hideMark/>
          </w:tcPr>
          <w:p w:rsidR="001E1E90" w:rsidRPr="00680591" w:rsidRDefault="001E1E90" w:rsidP="00680591">
            <w:pPr>
              <w:spacing w:after="120"/>
              <w:jc w:val="center"/>
              <w:rPr>
                <w:color w:val="010000"/>
              </w:rPr>
            </w:pPr>
            <w:r w:rsidRPr="00680591">
              <w:rPr>
                <w:color w:val="010000"/>
              </w:rPr>
              <w:t>Üye</w:t>
            </w:r>
          </w:p>
          <w:p w:rsidR="001E1E90" w:rsidRPr="00680591" w:rsidRDefault="001E1E90" w:rsidP="00680591">
            <w:pPr>
              <w:spacing w:after="120"/>
              <w:jc w:val="center"/>
              <w:rPr>
                <w:color w:val="010000"/>
              </w:rPr>
            </w:pPr>
            <w:r w:rsidRPr="00680591">
              <w:rPr>
                <w:color w:val="010000"/>
              </w:rPr>
              <w:t>Muhterem İNCE</w:t>
            </w:r>
          </w:p>
        </w:tc>
      </w:tr>
      <w:tr w:rsidR="001E1E90" w:rsidRPr="00680591" w:rsidTr="00680591">
        <w:trPr>
          <w:trHeight w:val="1600"/>
          <w:jc w:val="center"/>
        </w:trPr>
        <w:tc>
          <w:tcPr>
            <w:tcW w:w="1642" w:type="pct"/>
            <w:vAlign w:val="center"/>
            <w:hideMark/>
          </w:tcPr>
          <w:p w:rsidR="001E1E90" w:rsidRPr="00680591" w:rsidRDefault="001E1E90" w:rsidP="00680591">
            <w:pPr>
              <w:spacing w:after="120"/>
              <w:jc w:val="center"/>
              <w:rPr>
                <w:color w:val="010000"/>
              </w:rPr>
            </w:pPr>
            <w:r w:rsidRPr="00680591">
              <w:rPr>
                <w:color w:val="010000"/>
              </w:rPr>
              <w:t xml:space="preserve">Üye </w:t>
            </w:r>
          </w:p>
          <w:p w:rsidR="001E1E90" w:rsidRPr="00680591" w:rsidRDefault="001E1E90" w:rsidP="00680591">
            <w:pPr>
              <w:spacing w:after="120"/>
              <w:jc w:val="center"/>
              <w:rPr>
                <w:color w:val="010000"/>
              </w:rPr>
            </w:pPr>
            <w:r w:rsidRPr="00680591">
              <w:rPr>
                <w:bCs/>
                <w:color w:val="010000"/>
              </w:rPr>
              <w:t>Yılmaz AKÇİL</w:t>
            </w:r>
          </w:p>
        </w:tc>
        <w:tc>
          <w:tcPr>
            <w:tcW w:w="1679" w:type="pct"/>
            <w:vAlign w:val="center"/>
            <w:hideMark/>
          </w:tcPr>
          <w:p w:rsidR="001E1E90" w:rsidRPr="00680591" w:rsidRDefault="001E1E90" w:rsidP="00680591">
            <w:pPr>
              <w:spacing w:after="120"/>
              <w:jc w:val="center"/>
              <w:rPr>
                <w:color w:val="010000"/>
              </w:rPr>
            </w:pPr>
            <w:r w:rsidRPr="00680591">
              <w:rPr>
                <w:color w:val="010000"/>
              </w:rPr>
              <w:t>Üye</w:t>
            </w:r>
          </w:p>
          <w:p w:rsidR="001E1E90" w:rsidRPr="00680591" w:rsidRDefault="001E1E90" w:rsidP="00680591">
            <w:pPr>
              <w:spacing w:after="120"/>
              <w:jc w:val="center"/>
              <w:rPr>
                <w:bCs/>
                <w:color w:val="010000"/>
              </w:rPr>
            </w:pPr>
            <w:r w:rsidRPr="00680591">
              <w:rPr>
                <w:bCs/>
                <w:color w:val="010000"/>
              </w:rPr>
              <w:t>Ömer ÇINAR</w:t>
            </w:r>
          </w:p>
        </w:tc>
        <w:tc>
          <w:tcPr>
            <w:tcW w:w="1679" w:type="pct"/>
            <w:vAlign w:val="center"/>
            <w:hideMark/>
          </w:tcPr>
          <w:p w:rsidR="001E1E90" w:rsidRPr="00680591" w:rsidRDefault="001E1E90" w:rsidP="00680591">
            <w:pPr>
              <w:spacing w:after="120"/>
              <w:jc w:val="center"/>
              <w:rPr>
                <w:color w:val="010000"/>
              </w:rPr>
            </w:pPr>
            <w:r w:rsidRPr="00680591">
              <w:rPr>
                <w:color w:val="010000"/>
              </w:rPr>
              <w:t>Üye</w:t>
            </w:r>
          </w:p>
          <w:p w:rsidR="001E1E90" w:rsidRPr="00680591" w:rsidRDefault="001E1E90" w:rsidP="00680591">
            <w:pPr>
              <w:spacing w:after="120"/>
              <w:jc w:val="center"/>
              <w:rPr>
                <w:color w:val="010000"/>
              </w:rPr>
            </w:pPr>
            <w:r w:rsidRPr="00680591">
              <w:rPr>
                <w:color w:val="010000"/>
              </w:rPr>
              <w:t>Metin KIRATLI</w:t>
            </w:r>
          </w:p>
        </w:tc>
      </w:tr>
    </w:tbl>
    <w:p w:rsidR="001E1E90" w:rsidRPr="00680591" w:rsidRDefault="001E1E90" w:rsidP="00680591">
      <w:pPr>
        <w:ind w:firstLine="851"/>
        <w:jc w:val="both"/>
        <w:rPr>
          <w:b/>
          <w:bCs/>
          <w:color w:val="010000"/>
        </w:rPr>
      </w:pPr>
    </w:p>
    <w:sectPr w:rsidR="001E1E90" w:rsidRPr="00680591" w:rsidSect="0068059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8ED" w:rsidRDefault="00EB58ED">
      <w:r>
        <w:separator/>
      </w:r>
    </w:p>
  </w:endnote>
  <w:endnote w:type="continuationSeparator" w:id="0">
    <w:p w:rsidR="00EB58ED" w:rsidRDefault="00EB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E91" w:rsidRDefault="00C04E91" w:rsidP="00C04E9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04E91" w:rsidRDefault="00C04E91" w:rsidP="00C04E9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E91" w:rsidRPr="00680591" w:rsidRDefault="00C04E91" w:rsidP="00C04E91">
    <w:pPr>
      <w:pStyle w:val="AltBilgi"/>
      <w:framePr w:wrap="around" w:vAnchor="text" w:hAnchor="margin" w:xAlign="right" w:y="1"/>
      <w:rPr>
        <w:rStyle w:val="SayfaNumaras"/>
        <w:rFonts w:ascii="Times New Roman" w:hAnsi="Times New Roman"/>
        <w:sz w:val="24"/>
      </w:rPr>
    </w:pPr>
    <w:r w:rsidRPr="00680591">
      <w:rPr>
        <w:rStyle w:val="SayfaNumaras"/>
        <w:rFonts w:ascii="Times New Roman" w:hAnsi="Times New Roman"/>
        <w:sz w:val="24"/>
      </w:rPr>
      <w:fldChar w:fldCharType="begin"/>
    </w:r>
    <w:r w:rsidRPr="00680591">
      <w:rPr>
        <w:rStyle w:val="SayfaNumaras"/>
        <w:rFonts w:ascii="Times New Roman" w:hAnsi="Times New Roman"/>
        <w:sz w:val="24"/>
      </w:rPr>
      <w:instrText xml:space="preserve"> PAGE </w:instrText>
    </w:r>
    <w:r w:rsidRPr="00680591">
      <w:rPr>
        <w:rStyle w:val="SayfaNumaras"/>
        <w:rFonts w:ascii="Times New Roman" w:hAnsi="Times New Roman"/>
        <w:sz w:val="24"/>
      </w:rPr>
      <w:fldChar w:fldCharType="separate"/>
    </w:r>
    <w:r w:rsidRPr="00680591">
      <w:rPr>
        <w:rStyle w:val="SayfaNumaras"/>
        <w:rFonts w:ascii="Times New Roman" w:hAnsi="Times New Roman"/>
        <w:noProof/>
        <w:sz w:val="24"/>
      </w:rPr>
      <w:t>10</w:t>
    </w:r>
    <w:r w:rsidRPr="00680591">
      <w:rPr>
        <w:rStyle w:val="SayfaNumaras"/>
        <w:rFonts w:ascii="Times New Roman" w:hAnsi="Times New Roman"/>
        <w:sz w:val="24"/>
      </w:rPr>
      <w:fldChar w:fldCharType="end"/>
    </w:r>
  </w:p>
  <w:p w:rsidR="00C04E91" w:rsidRDefault="00C04E91" w:rsidP="00C04E91">
    <w:pPr>
      <w:pStyle w:val="AltBilgi"/>
      <w:ind w:right="360"/>
      <w:jc w:val="right"/>
    </w:pPr>
  </w:p>
  <w:p w:rsidR="00C04E91" w:rsidRDefault="00C04E9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8ED" w:rsidRDefault="00EB58ED">
      <w:r>
        <w:separator/>
      </w:r>
    </w:p>
  </w:footnote>
  <w:footnote w:type="continuationSeparator" w:id="0">
    <w:p w:rsidR="00EB58ED" w:rsidRDefault="00EB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591" w:rsidRPr="00680591" w:rsidRDefault="00680591" w:rsidP="00680591">
    <w:pPr>
      <w:pStyle w:val="stBilgi"/>
      <w:rPr>
        <w:rFonts w:ascii="Times New Roman" w:hAnsi="Times New Roman"/>
        <w:b/>
        <w:sz w:val="24"/>
      </w:rPr>
    </w:pPr>
    <w:r w:rsidRPr="00680591">
      <w:rPr>
        <w:rFonts w:ascii="Times New Roman" w:hAnsi="Times New Roman"/>
        <w:b/>
        <w:sz w:val="24"/>
      </w:rPr>
      <w:t xml:space="preserve">Esas </w:t>
    </w:r>
    <w:proofErr w:type="gramStart"/>
    <w:r w:rsidRPr="00680591">
      <w:rPr>
        <w:rFonts w:ascii="Times New Roman" w:hAnsi="Times New Roman"/>
        <w:b/>
        <w:sz w:val="24"/>
      </w:rPr>
      <w:t>Sayısı :</w:t>
    </w:r>
    <w:proofErr w:type="gramEnd"/>
    <w:r w:rsidRPr="00680591">
      <w:rPr>
        <w:rFonts w:ascii="Times New Roman" w:hAnsi="Times New Roman"/>
        <w:b/>
        <w:sz w:val="24"/>
      </w:rPr>
      <w:t xml:space="preserve"> 2025/91</w:t>
    </w:r>
  </w:p>
  <w:p w:rsidR="00680591" w:rsidRDefault="00680591" w:rsidP="00680591">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2025/82</w:t>
    </w:r>
  </w:p>
  <w:p w:rsidR="00C04E91" w:rsidRPr="00680591" w:rsidRDefault="00C04E91" w:rsidP="00680591">
    <w:pPr>
      <w:pStyle w:val="stBilgi"/>
      <w:rPr>
        <w:rFonts w:ascii="Times New Roman" w:hAnsi="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41CA7"/>
    <w:rsid w:val="001E1E90"/>
    <w:rsid w:val="002646DA"/>
    <w:rsid w:val="00303694"/>
    <w:rsid w:val="00321E40"/>
    <w:rsid w:val="00401DF4"/>
    <w:rsid w:val="00680591"/>
    <w:rsid w:val="00761940"/>
    <w:rsid w:val="00952B5F"/>
    <w:rsid w:val="00AB1342"/>
    <w:rsid w:val="00C04E91"/>
    <w:rsid w:val="00CE740C"/>
    <w:rsid w:val="00EB58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B5B5EA-580B-4D3F-8336-A1C43C65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01DF4"/>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401DF4"/>
    <w:rPr>
      <w:rFonts w:ascii="Calibri" w:eastAsia="Calibri" w:hAnsi="Calibri"/>
      <w:sz w:val="22"/>
      <w:szCs w:val="22"/>
      <w:lang w:eastAsia="en-US"/>
    </w:rPr>
  </w:style>
  <w:style w:type="paragraph" w:styleId="AltBilgi">
    <w:name w:val="footer"/>
    <w:basedOn w:val="Normal"/>
    <w:link w:val="AltBilgiChar"/>
    <w:uiPriority w:val="99"/>
    <w:unhideWhenUsed/>
    <w:rsid w:val="00401DF4"/>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401DF4"/>
    <w:rPr>
      <w:rFonts w:ascii="Calibri" w:eastAsia="Calibri" w:hAnsi="Calibri"/>
      <w:sz w:val="22"/>
      <w:szCs w:val="22"/>
      <w:lang w:eastAsia="en-US"/>
    </w:rPr>
  </w:style>
  <w:style w:type="character" w:styleId="SayfaNumaras">
    <w:name w:val="page number"/>
    <w:rsid w:val="00401DF4"/>
  </w:style>
  <w:style w:type="character" w:styleId="DipnotBavurusu">
    <w:name w:val="footnote reference"/>
    <w:uiPriority w:val="99"/>
    <w:rsid w:val="00401DF4"/>
    <w:rPr>
      <w:vertAlign w:val="superscript"/>
    </w:rPr>
  </w:style>
  <w:style w:type="paragraph" w:styleId="BalonMetni">
    <w:name w:val="Balloon Text"/>
    <w:basedOn w:val="Normal"/>
    <w:link w:val="BalonMetniChar"/>
    <w:rsid w:val="00141CA7"/>
    <w:rPr>
      <w:rFonts w:ascii="Segoe UI" w:hAnsi="Segoe UI" w:cs="Segoe UI"/>
      <w:sz w:val="18"/>
      <w:szCs w:val="18"/>
    </w:rPr>
  </w:style>
  <w:style w:type="character" w:customStyle="1" w:styleId="BalonMetniChar">
    <w:name w:val="Balon Metni Char"/>
    <w:basedOn w:val="VarsaylanParagrafYazTipi"/>
    <w:link w:val="BalonMetni"/>
    <w:rsid w:val="00141C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5109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2025-05-30T06:13:00Z</cp:lastPrinted>
  <dcterms:created xsi:type="dcterms:W3CDTF">2025-06-02T07:12:00Z</dcterms:created>
  <dcterms:modified xsi:type="dcterms:W3CDTF">2025-06-02T07:12:00Z</dcterms:modified>
</cp:coreProperties>
</file>