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E69AB" w:rsidRDefault="008E69AB" w:rsidP="00D47E12">
      <w:pPr>
        <w:spacing w:after="200"/>
        <w:ind w:right="283"/>
        <w:jc w:val="center"/>
        <w:textAlignment w:val="baseline"/>
        <w:rPr>
          <w:b/>
          <w:bCs/>
          <w:caps/>
          <w:color w:val="010000"/>
        </w:rPr>
      </w:pPr>
      <w:bookmarkStart w:id="0" w:name="_Hlk167364087"/>
      <w:r w:rsidRPr="00D47E12">
        <w:rPr>
          <w:b/>
          <w:bCs/>
          <w:caps/>
          <w:color w:val="010000"/>
        </w:rPr>
        <w:t>ANAYASA MAHKEMESİ KARARI</w:t>
      </w:r>
    </w:p>
    <w:p w:rsidR="00D47E12" w:rsidRPr="00D47E12" w:rsidRDefault="00D47E12" w:rsidP="00D47E12">
      <w:pPr>
        <w:spacing w:after="200"/>
        <w:ind w:right="283" w:firstLine="709"/>
        <w:jc w:val="center"/>
        <w:textAlignment w:val="baseline"/>
        <w:rPr>
          <w:b/>
          <w:bCs/>
          <w:caps/>
          <w:color w:val="010000"/>
        </w:rPr>
      </w:pPr>
    </w:p>
    <w:p w:rsidR="00D47E12" w:rsidRDefault="00D47E12" w:rsidP="00D47E12">
      <w:pPr>
        <w:rPr>
          <w:b/>
          <w:bCs/>
          <w:color w:val="010000"/>
        </w:rPr>
      </w:pPr>
      <w:bookmarkStart w:id="1" w:name="_Hlk141876816"/>
      <w:r>
        <w:rPr>
          <w:b/>
          <w:bCs/>
          <w:color w:val="010000"/>
        </w:rPr>
        <w:t xml:space="preserve">Esas </w:t>
      </w:r>
      <w:proofErr w:type="gramStart"/>
      <w:r>
        <w:rPr>
          <w:b/>
          <w:bCs/>
          <w:color w:val="010000"/>
        </w:rPr>
        <w:t>Sayısı :</w:t>
      </w:r>
      <w:proofErr w:type="gramEnd"/>
      <w:r>
        <w:rPr>
          <w:b/>
          <w:bCs/>
          <w:color w:val="010000"/>
        </w:rPr>
        <w:t xml:space="preserve"> 2025/74</w:t>
      </w:r>
    </w:p>
    <w:p w:rsidR="00D47E12" w:rsidRDefault="00D47E12" w:rsidP="00D47E12">
      <w:pPr>
        <w:rPr>
          <w:b/>
          <w:color w:val="010000"/>
        </w:rPr>
      </w:pPr>
      <w:r>
        <w:rPr>
          <w:b/>
          <w:color w:val="010000"/>
        </w:rPr>
        <w:t xml:space="preserve">Karar </w:t>
      </w:r>
      <w:proofErr w:type="gramStart"/>
      <w:r>
        <w:rPr>
          <w:b/>
          <w:color w:val="010000"/>
        </w:rPr>
        <w:t>Sayısı :</w:t>
      </w:r>
      <w:proofErr w:type="gramEnd"/>
      <w:r>
        <w:rPr>
          <w:b/>
          <w:color w:val="010000"/>
        </w:rPr>
        <w:t xml:space="preserve"> 2025/66</w:t>
      </w:r>
    </w:p>
    <w:p w:rsidR="00D47E12" w:rsidRDefault="00D47E12" w:rsidP="00D47E12">
      <w:pPr>
        <w:rPr>
          <w:b/>
          <w:color w:val="010000"/>
        </w:rPr>
      </w:pPr>
      <w:r>
        <w:rPr>
          <w:b/>
          <w:color w:val="010000"/>
        </w:rPr>
        <w:t xml:space="preserve">Karar </w:t>
      </w:r>
      <w:proofErr w:type="gramStart"/>
      <w:r>
        <w:rPr>
          <w:b/>
          <w:color w:val="010000"/>
        </w:rPr>
        <w:t>Tarihi :</w:t>
      </w:r>
      <w:proofErr w:type="gramEnd"/>
      <w:r>
        <w:rPr>
          <w:b/>
          <w:color w:val="010000"/>
        </w:rPr>
        <w:t xml:space="preserve"> 6/3/2025</w:t>
      </w:r>
    </w:p>
    <w:p w:rsidR="00D47E12" w:rsidRDefault="00D47E12" w:rsidP="00D47E12">
      <w:pPr>
        <w:rPr>
          <w:b/>
          <w:color w:val="010000"/>
        </w:rPr>
      </w:pPr>
      <w:r>
        <w:rPr>
          <w:b/>
          <w:color w:val="010000"/>
        </w:rPr>
        <w:t xml:space="preserve">R.G. </w:t>
      </w:r>
      <w:proofErr w:type="gramStart"/>
      <w:r>
        <w:rPr>
          <w:b/>
          <w:color w:val="010000"/>
        </w:rPr>
        <w:t>Tarih -</w:t>
      </w:r>
      <w:proofErr w:type="gramEnd"/>
      <w:r>
        <w:rPr>
          <w:b/>
          <w:color w:val="010000"/>
        </w:rPr>
        <w:t xml:space="preserve"> Sayı : Tebliğ edildi.</w:t>
      </w:r>
    </w:p>
    <w:p w:rsidR="002B1D75" w:rsidRPr="00D47E12" w:rsidRDefault="002B1D75" w:rsidP="00D47E12">
      <w:pPr>
        <w:rPr>
          <w:b/>
          <w:color w:val="010000"/>
        </w:rPr>
      </w:pPr>
    </w:p>
    <w:bookmarkEnd w:id="1"/>
    <w:p w:rsidR="008E69AB" w:rsidRPr="00D47E12" w:rsidRDefault="008E69AB" w:rsidP="00D47E12">
      <w:pPr>
        <w:spacing w:after="200"/>
        <w:ind w:right="283" w:firstLine="709"/>
        <w:jc w:val="both"/>
        <w:rPr>
          <w:color w:val="010000"/>
        </w:rPr>
      </w:pPr>
      <w:r w:rsidRPr="00D47E12">
        <w:rPr>
          <w:b/>
          <w:bCs/>
          <w:color w:val="010000"/>
        </w:rPr>
        <w:t xml:space="preserve">İTİRAZ YOLUNA BAŞVURAN: </w:t>
      </w:r>
      <w:r w:rsidRPr="00D47E12">
        <w:rPr>
          <w:color w:val="010000"/>
        </w:rPr>
        <w:t>Ankara 73. İş Mahkemesi</w:t>
      </w:r>
    </w:p>
    <w:p w:rsidR="008E69AB" w:rsidRPr="00D47E12" w:rsidRDefault="008E69AB" w:rsidP="00D47E12">
      <w:pPr>
        <w:spacing w:after="200"/>
        <w:ind w:right="283" w:firstLine="709"/>
        <w:jc w:val="both"/>
        <w:rPr>
          <w:color w:val="010000"/>
        </w:rPr>
      </w:pPr>
      <w:r w:rsidRPr="00D47E12">
        <w:rPr>
          <w:b/>
          <w:bCs/>
          <w:color w:val="010000"/>
        </w:rPr>
        <w:t>İTİRAZIN KONUSU:</w:t>
      </w:r>
      <w:r w:rsidRPr="00D47E12">
        <w:rPr>
          <w:iCs/>
          <w:color w:val="010000"/>
          <w:lang w:eastAsia="ar-SA"/>
        </w:rPr>
        <w:t xml:space="preserve"> </w:t>
      </w:r>
      <w:r w:rsidRPr="00D47E12">
        <w:rPr>
          <w:color w:val="010000"/>
        </w:rPr>
        <w:t>12/1/2011 tarihli ve 6100 sayılı Hukuk Muhakemeleri Kanunu’nun;</w:t>
      </w:r>
    </w:p>
    <w:p w:rsidR="008E69AB" w:rsidRPr="00D47E12" w:rsidRDefault="008E69AB" w:rsidP="00D47E12">
      <w:pPr>
        <w:overflowPunct w:val="0"/>
        <w:autoSpaceDE w:val="0"/>
        <w:autoSpaceDN w:val="0"/>
        <w:adjustRightInd w:val="0"/>
        <w:spacing w:after="200"/>
        <w:ind w:right="283" w:firstLine="709"/>
        <w:jc w:val="both"/>
        <w:textAlignment w:val="baseline"/>
        <w:rPr>
          <w:color w:val="010000"/>
        </w:rPr>
      </w:pPr>
      <w:r w:rsidRPr="00D47E12">
        <w:rPr>
          <w:b/>
          <w:color w:val="010000"/>
        </w:rPr>
        <w:t>A.</w:t>
      </w:r>
      <w:r w:rsidRPr="00D47E12">
        <w:rPr>
          <w:color w:val="010000"/>
        </w:rPr>
        <w:t xml:space="preserve"> 20. maddesinin (1) numaralı fıkrasının; </w:t>
      </w:r>
    </w:p>
    <w:p w:rsidR="008E69AB" w:rsidRPr="00D47E12" w:rsidRDefault="008E69AB" w:rsidP="00D47E12">
      <w:pPr>
        <w:overflowPunct w:val="0"/>
        <w:autoSpaceDE w:val="0"/>
        <w:autoSpaceDN w:val="0"/>
        <w:adjustRightInd w:val="0"/>
        <w:spacing w:after="200"/>
        <w:ind w:right="283" w:firstLine="709"/>
        <w:jc w:val="both"/>
        <w:textAlignment w:val="baseline"/>
        <w:rPr>
          <w:color w:val="010000"/>
        </w:rPr>
      </w:pPr>
      <w:r w:rsidRPr="00D47E12">
        <w:rPr>
          <w:b/>
          <w:color w:val="010000"/>
        </w:rPr>
        <w:t>1.</w:t>
      </w:r>
      <w:r w:rsidRPr="00D47E12">
        <w:rPr>
          <w:color w:val="010000"/>
        </w:rPr>
        <w:t xml:space="preserve"> Birinci cümlesinde yer alan “</w:t>
      </w:r>
      <w:r w:rsidRPr="00D47E12">
        <w:rPr>
          <w:i/>
          <w:color w:val="010000"/>
        </w:rPr>
        <w:t xml:space="preserve">…taraflardan </w:t>
      </w:r>
      <w:proofErr w:type="gramStart"/>
      <w:r w:rsidRPr="00D47E12">
        <w:rPr>
          <w:i/>
          <w:color w:val="010000"/>
        </w:rPr>
        <w:t>birinin,…</w:t>
      </w:r>
      <w:proofErr w:type="gramEnd"/>
      <w:r w:rsidRPr="00D47E12">
        <w:rPr>
          <w:color w:val="010000"/>
        </w:rPr>
        <w:t>”, “</w:t>
      </w:r>
      <w:r w:rsidRPr="00D47E12">
        <w:rPr>
          <w:i/>
          <w:color w:val="010000"/>
        </w:rPr>
        <w:t>…kararı veren mahkemeye başvurarak,…</w:t>
      </w:r>
      <w:r w:rsidRPr="00D47E12">
        <w:rPr>
          <w:color w:val="010000"/>
        </w:rPr>
        <w:t>” ve “</w:t>
      </w:r>
      <w:r w:rsidRPr="00D47E12">
        <w:rPr>
          <w:i/>
          <w:color w:val="010000"/>
        </w:rPr>
        <w:t>…talep etmesi…</w:t>
      </w:r>
      <w:r w:rsidRPr="00D47E12">
        <w:rPr>
          <w:color w:val="010000"/>
        </w:rPr>
        <w:t>”</w:t>
      </w:r>
      <w:r w:rsidRPr="00D47E12">
        <w:rPr>
          <w:i/>
          <w:color w:val="010000"/>
        </w:rPr>
        <w:t xml:space="preserve"> </w:t>
      </w:r>
      <w:r w:rsidRPr="00D47E12">
        <w:rPr>
          <w:color w:val="010000"/>
        </w:rPr>
        <w:t xml:space="preserve">ibarelerinin, </w:t>
      </w:r>
    </w:p>
    <w:p w:rsidR="008E69AB" w:rsidRPr="00D47E12" w:rsidRDefault="008E69AB" w:rsidP="00D47E12">
      <w:pPr>
        <w:overflowPunct w:val="0"/>
        <w:autoSpaceDE w:val="0"/>
        <w:autoSpaceDN w:val="0"/>
        <w:adjustRightInd w:val="0"/>
        <w:spacing w:after="200"/>
        <w:ind w:right="283" w:firstLine="709"/>
        <w:jc w:val="both"/>
        <w:textAlignment w:val="baseline"/>
        <w:rPr>
          <w:color w:val="010000"/>
        </w:rPr>
      </w:pPr>
      <w:r w:rsidRPr="00D47E12">
        <w:rPr>
          <w:b/>
          <w:color w:val="010000"/>
        </w:rPr>
        <w:t>2.</w:t>
      </w:r>
      <w:r w:rsidRPr="00D47E12">
        <w:rPr>
          <w:color w:val="010000"/>
        </w:rPr>
        <w:t xml:space="preserve"> İkinci cümlesinin,</w:t>
      </w:r>
    </w:p>
    <w:p w:rsidR="008E69AB" w:rsidRPr="00D47E12" w:rsidRDefault="008E69AB" w:rsidP="00D47E12">
      <w:pPr>
        <w:overflowPunct w:val="0"/>
        <w:autoSpaceDE w:val="0"/>
        <w:autoSpaceDN w:val="0"/>
        <w:adjustRightInd w:val="0"/>
        <w:spacing w:after="200"/>
        <w:ind w:right="283" w:firstLine="709"/>
        <w:jc w:val="both"/>
        <w:textAlignment w:val="baseline"/>
        <w:rPr>
          <w:color w:val="010000"/>
        </w:rPr>
      </w:pPr>
      <w:r w:rsidRPr="00D47E12">
        <w:rPr>
          <w:b/>
          <w:color w:val="010000"/>
        </w:rPr>
        <w:t>B.</w:t>
      </w:r>
      <w:r w:rsidRPr="00D47E12">
        <w:rPr>
          <w:color w:val="010000"/>
        </w:rPr>
        <w:t xml:space="preserve"> 331. maddesinin (2) numaralı fıkrasının ikinci cümlesinin,</w:t>
      </w:r>
    </w:p>
    <w:p w:rsidR="008E69AB" w:rsidRPr="00D47E12" w:rsidRDefault="008E69AB" w:rsidP="00D47E12">
      <w:pPr>
        <w:overflowPunct w:val="0"/>
        <w:autoSpaceDE w:val="0"/>
        <w:autoSpaceDN w:val="0"/>
        <w:adjustRightInd w:val="0"/>
        <w:spacing w:after="200"/>
        <w:ind w:right="283" w:firstLine="709"/>
        <w:jc w:val="both"/>
        <w:textAlignment w:val="baseline"/>
        <w:rPr>
          <w:iCs/>
          <w:color w:val="010000"/>
          <w:lang w:eastAsia="ar-SA"/>
        </w:rPr>
      </w:pPr>
      <w:r w:rsidRPr="00D47E12">
        <w:rPr>
          <w:color w:val="010000"/>
        </w:rPr>
        <w:t>Anayasa’nın 2., 5., 13., 36., 40 ve 141. maddelerine</w:t>
      </w:r>
      <w:r w:rsidRPr="00D47E12">
        <w:rPr>
          <w:iCs/>
          <w:color w:val="010000"/>
          <w:lang w:eastAsia="ar-SA"/>
        </w:rPr>
        <w:t xml:space="preserve"> aykırılığı ileri sürülerek iptallerine karar verilmesi talebidir.</w:t>
      </w:r>
    </w:p>
    <w:p w:rsidR="008E69AB" w:rsidRPr="00D47E12" w:rsidRDefault="008E69AB" w:rsidP="00D47E12">
      <w:pPr>
        <w:spacing w:after="200"/>
        <w:ind w:right="283" w:firstLine="709"/>
        <w:jc w:val="both"/>
        <w:rPr>
          <w:bCs/>
          <w:iCs/>
          <w:color w:val="010000"/>
        </w:rPr>
      </w:pPr>
      <w:r w:rsidRPr="00D47E12">
        <w:rPr>
          <w:b/>
          <w:bCs/>
          <w:iCs/>
          <w:color w:val="010000"/>
        </w:rPr>
        <w:t xml:space="preserve">OLAY: </w:t>
      </w:r>
      <w:bookmarkStart w:id="2" w:name="_Hlk100527495"/>
      <w:r w:rsidRPr="00D47E12">
        <w:rPr>
          <w:bCs/>
          <w:iCs/>
          <w:color w:val="010000"/>
        </w:rPr>
        <w:t>İşçilik alacağından kaynaklanan davada itiraz konusu kuralların Anayasa’ya aykırı olduğu kanısına varan Mahkeme, iptalleri için başvurmuştur.</w:t>
      </w:r>
    </w:p>
    <w:bookmarkEnd w:id="2"/>
    <w:p w:rsidR="008E69AB" w:rsidRPr="00D47E12" w:rsidRDefault="008E69AB" w:rsidP="00D47E12">
      <w:pPr>
        <w:spacing w:after="200"/>
        <w:ind w:right="283" w:firstLine="709"/>
        <w:jc w:val="both"/>
        <w:rPr>
          <w:b/>
          <w:bCs/>
          <w:color w:val="010000"/>
        </w:rPr>
      </w:pPr>
      <w:r w:rsidRPr="00D47E12">
        <w:rPr>
          <w:b/>
          <w:bCs/>
          <w:color w:val="010000"/>
        </w:rPr>
        <w:t>I. İPTALİ İSTENEN KANUN HÜKÜMLERİ</w:t>
      </w:r>
    </w:p>
    <w:p w:rsidR="008E69AB" w:rsidRPr="00D47E12" w:rsidRDefault="008E69AB" w:rsidP="00D47E12">
      <w:pPr>
        <w:spacing w:after="200"/>
        <w:ind w:right="283" w:firstLine="709"/>
        <w:jc w:val="both"/>
        <w:rPr>
          <w:iCs/>
          <w:color w:val="010000"/>
        </w:rPr>
      </w:pPr>
      <w:r w:rsidRPr="00D47E12">
        <w:rPr>
          <w:iCs/>
          <w:color w:val="010000"/>
        </w:rPr>
        <w:t>Kanun’un itiraz konusu kuralların da yer aldığı;</w:t>
      </w:r>
    </w:p>
    <w:p w:rsidR="008E69AB" w:rsidRPr="00D47E12" w:rsidRDefault="008E69AB" w:rsidP="00D47E12">
      <w:pPr>
        <w:spacing w:after="200"/>
        <w:ind w:right="283" w:firstLine="709"/>
        <w:jc w:val="both"/>
        <w:rPr>
          <w:iCs/>
          <w:color w:val="010000"/>
        </w:rPr>
      </w:pPr>
      <w:r w:rsidRPr="00D47E12">
        <w:rPr>
          <w:b/>
          <w:iCs/>
          <w:color w:val="010000"/>
        </w:rPr>
        <w:t>1.</w:t>
      </w:r>
      <w:r w:rsidR="00D47E12" w:rsidRPr="00D47E12">
        <w:rPr>
          <w:iCs/>
          <w:color w:val="010000"/>
        </w:rPr>
        <w:t xml:space="preserve"> </w:t>
      </w:r>
      <w:r w:rsidRPr="00D47E12">
        <w:rPr>
          <w:iCs/>
          <w:color w:val="010000"/>
        </w:rPr>
        <w:t xml:space="preserve">20. maddesi şöyledir: </w:t>
      </w:r>
    </w:p>
    <w:p w:rsidR="008E69AB" w:rsidRPr="00D47E12" w:rsidRDefault="00D47E12" w:rsidP="00D47E12">
      <w:pPr>
        <w:spacing w:after="200"/>
        <w:ind w:right="283" w:firstLine="709"/>
        <w:jc w:val="both"/>
        <w:rPr>
          <w:i/>
          <w:iCs/>
          <w:color w:val="010000"/>
          <w:szCs w:val="22"/>
        </w:rPr>
      </w:pPr>
      <w:r w:rsidRPr="00D47E12">
        <w:rPr>
          <w:bCs/>
          <w:iCs/>
          <w:color w:val="010000"/>
          <w:szCs w:val="22"/>
        </w:rPr>
        <w:t xml:space="preserve"> </w:t>
      </w:r>
      <w:r w:rsidR="008E69AB" w:rsidRPr="00D47E12">
        <w:rPr>
          <w:bCs/>
          <w:iCs/>
          <w:color w:val="010000"/>
          <w:szCs w:val="22"/>
        </w:rPr>
        <w:t>“</w:t>
      </w:r>
      <w:r w:rsidR="008E69AB" w:rsidRPr="00D47E12">
        <w:rPr>
          <w:bCs/>
          <w:i/>
          <w:iCs/>
          <w:color w:val="010000"/>
          <w:szCs w:val="22"/>
        </w:rPr>
        <w:t>Görevsizlik veya yetkisizlik kararı üzerine yapılacak işlemler</w:t>
      </w:r>
    </w:p>
    <w:p w:rsidR="008E69AB" w:rsidRPr="00D47E12" w:rsidRDefault="008E69AB" w:rsidP="00D47E12">
      <w:pPr>
        <w:spacing w:after="200"/>
        <w:ind w:right="283" w:firstLine="709"/>
        <w:jc w:val="both"/>
        <w:rPr>
          <w:b/>
          <w:i/>
          <w:iCs/>
          <w:color w:val="010000"/>
          <w:szCs w:val="22"/>
          <w:u w:val="single"/>
        </w:rPr>
      </w:pPr>
      <w:r w:rsidRPr="00D47E12">
        <w:rPr>
          <w:bCs/>
          <w:i/>
          <w:iCs/>
          <w:color w:val="010000"/>
          <w:szCs w:val="22"/>
        </w:rPr>
        <w:t>MADDE 20-</w:t>
      </w:r>
      <w:r w:rsidR="00D47E12" w:rsidRPr="00D47E12">
        <w:rPr>
          <w:i/>
          <w:iCs/>
          <w:color w:val="010000"/>
          <w:szCs w:val="22"/>
        </w:rPr>
        <w:t xml:space="preserve"> </w:t>
      </w:r>
      <w:r w:rsidRPr="00D47E12">
        <w:rPr>
          <w:i/>
          <w:iCs/>
          <w:color w:val="010000"/>
          <w:szCs w:val="22"/>
        </w:rPr>
        <w:t>(1) Görevsizlik veya yetkisizlik kararı verilmesi hâlinde</w:t>
      </w:r>
      <w:r w:rsidRPr="00D47E12">
        <w:rPr>
          <w:i/>
          <w:iCs/>
          <w:color w:val="010000"/>
          <w:szCs w:val="22"/>
          <w:u w:val="single"/>
        </w:rPr>
        <w:t xml:space="preserve">, </w:t>
      </w:r>
      <w:r w:rsidRPr="00D47E12">
        <w:rPr>
          <w:b/>
          <w:i/>
          <w:iCs/>
          <w:color w:val="010000"/>
          <w:szCs w:val="22"/>
          <w:u w:val="single"/>
        </w:rPr>
        <w:t>taraflardan birinin,</w:t>
      </w:r>
      <w:r w:rsidRPr="00D47E12">
        <w:rPr>
          <w:i/>
          <w:iCs/>
          <w:color w:val="010000"/>
          <w:szCs w:val="22"/>
        </w:rPr>
        <w:t xml:space="preserve"> bu karar verildiği anda kesin ise tebliğ tarihinden, (…)</w:t>
      </w:r>
      <w:r w:rsidR="00D47E12" w:rsidRPr="00D47E12">
        <w:rPr>
          <w:i/>
          <w:iCs/>
          <w:color w:val="010000"/>
          <w:szCs w:val="22"/>
        </w:rPr>
        <w:t xml:space="preserve"> </w:t>
      </w:r>
      <w:r w:rsidRPr="00D47E12">
        <w:rPr>
          <w:i/>
          <w:iCs/>
          <w:color w:val="010000"/>
          <w:szCs w:val="22"/>
        </w:rPr>
        <w:t xml:space="preserve">süresi içinde kanun </w:t>
      </w:r>
      <w:proofErr w:type="gramStart"/>
      <w:r w:rsidRPr="00D47E12">
        <w:rPr>
          <w:i/>
          <w:iCs/>
          <w:color w:val="010000"/>
          <w:szCs w:val="22"/>
        </w:rPr>
        <w:t>yoluna</w:t>
      </w:r>
      <w:proofErr w:type="gramEnd"/>
      <w:r w:rsidRPr="00D47E12">
        <w:rPr>
          <w:i/>
          <w:iCs/>
          <w:color w:val="010000"/>
          <w:szCs w:val="22"/>
        </w:rPr>
        <w:t xml:space="preserve"> başvurulmayarak kesinleşmiş ise kararın kesinleştiği tarihten; kanun yoluna başvurulmuşsa bu başvurunun reddi kararının tebliğ tarihinden itibaren iki hafta içinde </w:t>
      </w:r>
      <w:r w:rsidRPr="00D47E12">
        <w:rPr>
          <w:b/>
          <w:i/>
          <w:iCs/>
          <w:color w:val="010000"/>
          <w:szCs w:val="22"/>
          <w:u w:val="single"/>
        </w:rPr>
        <w:t>kararı veren mahkemeye başvurarak,</w:t>
      </w:r>
      <w:r w:rsidRPr="00D47E12">
        <w:rPr>
          <w:i/>
          <w:iCs/>
          <w:color w:val="010000"/>
          <w:szCs w:val="22"/>
        </w:rPr>
        <w:t xml:space="preserve"> dava dosyasının görevli ya da yetkili mahkemeye gönderilmesini </w:t>
      </w:r>
      <w:r w:rsidRPr="00D47E12">
        <w:rPr>
          <w:b/>
          <w:i/>
          <w:iCs/>
          <w:color w:val="010000"/>
          <w:szCs w:val="22"/>
          <w:u w:val="single"/>
        </w:rPr>
        <w:t>talep etmesi</w:t>
      </w:r>
      <w:r w:rsidRPr="00D47E12">
        <w:rPr>
          <w:i/>
          <w:iCs/>
          <w:color w:val="010000"/>
          <w:szCs w:val="22"/>
        </w:rPr>
        <w:t xml:space="preserve"> gerekir. </w:t>
      </w:r>
      <w:r w:rsidRPr="00D47E12">
        <w:rPr>
          <w:b/>
          <w:i/>
          <w:iCs/>
          <w:color w:val="010000"/>
          <w:szCs w:val="22"/>
          <w:u w:val="single"/>
        </w:rPr>
        <w:t>Aksi takdirde dava açılmamış sayılır ve görevsizlik veya yetkisizlik kararı veren mahkemece bu konuda resen karar verilir.</w:t>
      </w:r>
    </w:p>
    <w:p w:rsidR="008E69AB" w:rsidRPr="00D47E12" w:rsidRDefault="008E69AB" w:rsidP="00D47E12">
      <w:pPr>
        <w:spacing w:after="200"/>
        <w:ind w:right="283" w:firstLine="709"/>
        <w:jc w:val="both"/>
        <w:rPr>
          <w:iCs/>
          <w:color w:val="010000"/>
          <w:szCs w:val="22"/>
        </w:rPr>
      </w:pPr>
      <w:r w:rsidRPr="00D47E12">
        <w:rPr>
          <w:i/>
          <w:iCs/>
          <w:color w:val="010000"/>
          <w:szCs w:val="22"/>
        </w:rPr>
        <w:t>(2) Dosya kendisine gönderilen mahkeme, kendiliğinden taraflara davetiye gönderir.</w:t>
      </w:r>
      <w:r w:rsidRPr="00D47E12">
        <w:rPr>
          <w:iCs/>
          <w:color w:val="010000"/>
          <w:szCs w:val="22"/>
        </w:rPr>
        <w:t>”</w:t>
      </w:r>
      <w:r w:rsidR="00D47E12" w:rsidRPr="00D47E12">
        <w:rPr>
          <w:b/>
          <w:i/>
          <w:iCs/>
          <w:color w:val="010000"/>
          <w:szCs w:val="22"/>
        </w:rPr>
        <w:t xml:space="preserve"> </w:t>
      </w:r>
    </w:p>
    <w:p w:rsidR="008E69AB" w:rsidRPr="00D47E12" w:rsidRDefault="008E69AB" w:rsidP="00D47E12">
      <w:pPr>
        <w:spacing w:after="200"/>
        <w:ind w:right="283" w:firstLine="709"/>
        <w:jc w:val="both"/>
        <w:rPr>
          <w:bCs/>
          <w:color w:val="010000"/>
        </w:rPr>
      </w:pPr>
      <w:r w:rsidRPr="00D47E12">
        <w:rPr>
          <w:b/>
          <w:bCs/>
          <w:color w:val="010000"/>
        </w:rPr>
        <w:t xml:space="preserve">2. </w:t>
      </w:r>
      <w:r w:rsidRPr="00D47E12">
        <w:rPr>
          <w:bCs/>
          <w:color w:val="010000"/>
        </w:rPr>
        <w:t>331. maddesi şöyledir:</w:t>
      </w:r>
    </w:p>
    <w:p w:rsidR="008E69AB" w:rsidRPr="00D47E12" w:rsidRDefault="008E69AB" w:rsidP="00D47E12">
      <w:pPr>
        <w:spacing w:after="200"/>
        <w:ind w:right="283" w:firstLine="709"/>
        <w:jc w:val="both"/>
        <w:rPr>
          <w:bCs/>
          <w:i/>
          <w:color w:val="010000"/>
          <w:szCs w:val="22"/>
        </w:rPr>
      </w:pPr>
      <w:r w:rsidRPr="00D47E12">
        <w:rPr>
          <w:bCs/>
          <w:color w:val="010000"/>
          <w:szCs w:val="22"/>
        </w:rPr>
        <w:t>“</w:t>
      </w:r>
      <w:r w:rsidRPr="00D47E12">
        <w:rPr>
          <w:bCs/>
          <w:i/>
          <w:color w:val="010000"/>
          <w:szCs w:val="22"/>
        </w:rPr>
        <w:t>Esastan sonuçlanmayan davada yargılama gideri</w:t>
      </w:r>
    </w:p>
    <w:p w:rsidR="008E69AB" w:rsidRPr="00D47E12" w:rsidRDefault="008E69AB" w:rsidP="00D47E12">
      <w:pPr>
        <w:spacing w:after="200"/>
        <w:ind w:right="283" w:firstLine="709"/>
        <w:jc w:val="both"/>
        <w:rPr>
          <w:bCs/>
          <w:i/>
          <w:color w:val="010000"/>
          <w:szCs w:val="22"/>
        </w:rPr>
      </w:pPr>
      <w:r w:rsidRPr="00D47E12">
        <w:rPr>
          <w:bCs/>
          <w:i/>
          <w:color w:val="010000"/>
          <w:szCs w:val="22"/>
        </w:rPr>
        <w:t>MADDE 331-</w:t>
      </w:r>
      <w:r w:rsidR="00D47E12" w:rsidRPr="00D47E12">
        <w:rPr>
          <w:bCs/>
          <w:i/>
          <w:color w:val="010000"/>
          <w:szCs w:val="22"/>
        </w:rPr>
        <w:t xml:space="preserve"> </w:t>
      </w:r>
      <w:r w:rsidRPr="00D47E12">
        <w:rPr>
          <w:bCs/>
          <w:i/>
          <w:color w:val="010000"/>
          <w:szCs w:val="22"/>
        </w:rPr>
        <w:t>(1) Davanın konusuz kalması sebebiyle davanın esası hakkında bir karar verilmesine gerek bulunmayan hâllerde, hâkim, davanın açıldığı tarihteki tarafların haklılık durumuna göre yargılama giderlerini takdir ve hükmeder.</w:t>
      </w:r>
    </w:p>
    <w:p w:rsidR="008E69AB" w:rsidRPr="00D47E12" w:rsidRDefault="008E69AB" w:rsidP="00D47E12">
      <w:pPr>
        <w:spacing w:after="200"/>
        <w:ind w:right="283" w:firstLine="709"/>
        <w:jc w:val="both"/>
        <w:rPr>
          <w:bCs/>
          <w:i/>
          <w:color w:val="010000"/>
          <w:szCs w:val="22"/>
        </w:rPr>
      </w:pPr>
      <w:r w:rsidRPr="00D47E12">
        <w:rPr>
          <w:bCs/>
          <w:i/>
          <w:color w:val="010000"/>
          <w:szCs w:val="22"/>
        </w:rPr>
        <w:lastRenderedPageBreak/>
        <w:t xml:space="preserve">(2) Görevsizlik veya yetkisizlik kararından sonra davaya bir başka mahkemede devam edilmesi hâlinde, yargılama giderlerine o mahkeme hükmeder. </w:t>
      </w:r>
      <w:r w:rsidRPr="00D47E12">
        <w:rPr>
          <w:b/>
          <w:bCs/>
          <w:i/>
          <w:color w:val="010000"/>
          <w:szCs w:val="22"/>
          <w:u w:val="single"/>
        </w:rPr>
        <w:t>Görevsizlik veya yetkisizlik kararından sonra davaya bir başka mahkemede devam edilmemiş ise talep üzerine davanın açıldığı mahkeme dosya üzerinden bu durumu tespit ile davacıyı yargılama giderlerini ödemeye mahkûm eder.</w:t>
      </w:r>
    </w:p>
    <w:p w:rsidR="008E69AB" w:rsidRPr="00D47E12" w:rsidRDefault="008E69AB" w:rsidP="00D47E12">
      <w:pPr>
        <w:spacing w:after="200"/>
        <w:ind w:right="283" w:firstLine="709"/>
        <w:jc w:val="both"/>
        <w:rPr>
          <w:bCs/>
          <w:color w:val="010000"/>
          <w:szCs w:val="22"/>
        </w:rPr>
      </w:pPr>
      <w:r w:rsidRPr="00D47E12">
        <w:rPr>
          <w:bCs/>
          <w:i/>
          <w:color w:val="010000"/>
          <w:szCs w:val="22"/>
        </w:rPr>
        <w:t>(3) Davanın açılmamış sayılmasına karar verilen hâllerde yargılama giderleri davacıya yükletilir.</w:t>
      </w:r>
      <w:r w:rsidRPr="00D47E12">
        <w:rPr>
          <w:bCs/>
          <w:color w:val="010000"/>
          <w:szCs w:val="22"/>
        </w:rPr>
        <w:t>”</w:t>
      </w:r>
    </w:p>
    <w:p w:rsidR="008E69AB" w:rsidRPr="00D47E12" w:rsidRDefault="008E69AB" w:rsidP="00D47E12">
      <w:pPr>
        <w:spacing w:after="200"/>
        <w:ind w:right="283" w:firstLine="709"/>
        <w:jc w:val="both"/>
        <w:rPr>
          <w:color w:val="010000"/>
        </w:rPr>
      </w:pPr>
      <w:r w:rsidRPr="00D47E12">
        <w:rPr>
          <w:b/>
          <w:bCs/>
          <w:color w:val="010000"/>
        </w:rPr>
        <w:t xml:space="preserve"> II. İLK İNCELEME</w:t>
      </w:r>
    </w:p>
    <w:p w:rsidR="008E69AB" w:rsidRPr="00D47E12" w:rsidRDefault="008E69AB" w:rsidP="00D47E12">
      <w:pPr>
        <w:spacing w:after="200"/>
        <w:ind w:right="283" w:firstLine="709"/>
        <w:jc w:val="both"/>
        <w:rPr>
          <w:color w:val="010000"/>
        </w:rPr>
      </w:pPr>
      <w:r w:rsidRPr="00D47E12">
        <w:rPr>
          <w:color w:val="010000"/>
        </w:rPr>
        <w:t>1. Anayasa Mahkemesi İçtüzüğü hükümleri uyarınca yapılan ilk inceleme toplantısında başvuru kararı ve ekleri, Raportör Hilal YAZICI tarafından hazırlanan ilk inceleme raporu ve itiraz konusu kanun hükümleri okunup incelendikten sonra gereği görüşülüp düşünüldü:</w:t>
      </w:r>
    </w:p>
    <w:p w:rsidR="008E69AB" w:rsidRPr="00D47E12" w:rsidRDefault="008E69AB" w:rsidP="00D47E12">
      <w:pPr>
        <w:spacing w:after="200"/>
        <w:ind w:right="283" w:firstLine="709"/>
        <w:jc w:val="both"/>
        <w:rPr>
          <w:bCs/>
          <w:color w:val="010000"/>
          <w:shd w:val="clear" w:color="auto" w:fill="FFFFFF"/>
        </w:rPr>
      </w:pPr>
      <w:r w:rsidRPr="00D47E12">
        <w:rPr>
          <w:bCs/>
          <w:color w:val="010000"/>
          <w:shd w:val="clear" w:color="auto" w:fill="FFFFFF"/>
        </w:rPr>
        <w:t>2.</w:t>
      </w:r>
      <w:r w:rsidR="00D47E12" w:rsidRPr="00D47E12">
        <w:rPr>
          <w:bCs/>
          <w:color w:val="010000"/>
          <w:shd w:val="clear" w:color="auto" w:fill="FFFFFF"/>
        </w:rPr>
        <w:t xml:space="preserve"> </w:t>
      </w:r>
      <w:r w:rsidRPr="00D47E12">
        <w:rPr>
          <w:bCs/>
          <w:color w:val="010000"/>
          <w:shd w:val="clear" w:color="auto" w:fill="FFFFFF"/>
        </w:rPr>
        <w:t>30/3/2011 tarihli ve 6216 sayılı Anayasa Mahkemesinin Kuruluşu ve Yargılama Usulleri Hakkında Kanun'un “</w:t>
      </w:r>
      <w:r w:rsidRPr="00D47E12">
        <w:rPr>
          <w:bCs/>
          <w:i/>
          <w:iCs/>
          <w:color w:val="010000"/>
          <w:shd w:val="clear" w:color="auto" w:fill="FFFFFF"/>
        </w:rPr>
        <w:t>Anayasaya aykırılığın mahkemelerce ileri sürülmesi</w:t>
      </w:r>
      <w:r w:rsidRPr="00D47E12">
        <w:rPr>
          <w:bCs/>
          <w:color w:val="010000"/>
          <w:shd w:val="clear" w:color="auto" w:fill="FFFFFF"/>
        </w:rPr>
        <w:t>” başlıklı 40. maddesinde Anayasa Mahkemesine itiraz yoluyla yapılacak başvurularda izlenecek yöntem belirtilmiştir. Söz konusu maddenin (1) numaralı fıkrasında bir davaya bakmakta olan mahkemenin bu davada uygulanacak bir kanun veya Cumhurbaşkanlığı kararnamesinin hükümlerini Anayasa'ya aykırı görmesi hâlinde veya taraflardan birinin ileri sürdüğü aykırılık iddiasının ciddi olduğu kanısına varması durumunda anılan fıkrada sayılan belgeleri dizi listesine bağlayarak Anayasa Mahkemesine göndereceği kurala bağlanmış; anılan fıkranın (a) bendinde “</w:t>
      </w:r>
      <w:r w:rsidRPr="00D47E12">
        <w:rPr>
          <w:bCs/>
          <w:i/>
          <w:iCs/>
          <w:color w:val="010000"/>
          <w:shd w:val="clear" w:color="auto" w:fill="FFFFFF"/>
        </w:rPr>
        <w:t>İptali istenen kuralların Anayasanın hangi maddelerine aykırı olduklarını açıklayan gerekçeli başvuru kararının aslı</w:t>
      </w:r>
      <w:r w:rsidRPr="00D47E12">
        <w:rPr>
          <w:bCs/>
          <w:color w:val="010000"/>
          <w:shd w:val="clear" w:color="auto" w:fill="FFFFFF"/>
        </w:rPr>
        <w:t>”, (b) bendinde “</w:t>
      </w:r>
      <w:r w:rsidRPr="00D47E12">
        <w:rPr>
          <w:bCs/>
          <w:i/>
          <w:iCs/>
          <w:color w:val="010000"/>
          <w:shd w:val="clear" w:color="auto" w:fill="FFFFFF"/>
        </w:rPr>
        <w:t>Başvuru kararına ilişkin tutanağın onaylı örneği</w:t>
      </w:r>
      <w:r w:rsidRPr="00D47E12">
        <w:rPr>
          <w:bCs/>
          <w:color w:val="010000"/>
          <w:shd w:val="clear" w:color="auto" w:fill="FFFFFF"/>
        </w:rPr>
        <w:t>” ve (c) bendinde “</w:t>
      </w:r>
      <w:r w:rsidRPr="00D47E12">
        <w:rPr>
          <w:bCs/>
          <w:i/>
          <w:iCs/>
          <w:color w:val="010000"/>
          <w:shd w:val="clear" w:color="auto" w:fill="FFFFFF"/>
        </w:rPr>
        <w:t>Dava dilekçesi, iddianame veya davayı açan belgeler ile dosyanın ilgili bölümlerinin onaylı örnekleri</w:t>
      </w:r>
      <w:r w:rsidRPr="00D47E12">
        <w:rPr>
          <w:bCs/>
          <w:color w:val="010000"/>
          <w:shd w:val="clear" w:color="auto" w:fill="FFFFFF"/>
        </w:rPr>
        <w:t>” Anayasa Mahkemesine gönderilecek belgeler arasında sayılmıştır. Maddenin (4) numaralı fıkrasında ise açık bir şekilde dayanaktan yoksun veya yöntemine uygun olmayan itiraz başvurularının Anayasa Mahkemesi tarafından esas incelemeye geçilmeksizin gerekçeleriyle reddedileceği hükme bağlanmıştır.</w:t>
      </w:r>
    </w:p>
    <w:p w:rsidR="008E69AB" w:rsidRPr="00D47E12" w:rsidRDefault="008E69AB" w:rsidP="00D47E12">
      <w:pPr>
        <w:spacing w:after="200"/>
        <w:ind w:right="283" w:firstLine="709"/>
        <w:jc w:val="both"/>
        <w:rPr>
          <w:bCs/>
          <w:color w:val="010000"/>
          <w:shd w:val="clear" w:color="auto" w:fill="FFFFFF"/>
        </w:rPr>
      </w:pPr>
      <w:r w:rsidRPr="00D47E12">
        <w:rPr>
          <w:bCs/>
          <w:color w:val="010000"/>
          <w:shd w:val="clear" w:color="auto" w:fill="FFFFFF"/>
        </w:rPr>
        <w:t xml:space="preserve">3. Anılan </w:t>
      </w:r>
      <w:proofErr w:type="spellStart"/>
      <w:r w:rsidRPr="00D47E12">
        <w:rPr>
          <w:bCs/>
          <w:color w:val="010000"/>
          <w:shd w:val="clear" w:color="auto" w:fill="FFFFFF"/>
        </w:rPr>
        <w:t>İçtüzük’ün</w:t>
      </w:r>
      <w:proofErr w:type="spellEnd"/>
      <w:r w:rsidRPr="00D47E12">
        <w:rPr>
          <w:bCs/>
          <w:color w:val="010000"/>
          <w:shd w:val="clear" w:color="auto" w:fill="FFFFFF"/>
        </w:rPr>
        <w:t xml:space="preserve"> 46. maddesinin (2) numaralı fıkrasının</w:t>
      </w:r>
      <w:r w:rsidR="00D47E12" w:rsidRPr="00D47E12">
        <w:rPr>
          <w:bCs/>
          <w:color w:val="010000"/>
          <w:shd w:val="clear" w:color="auto" w:fill="FFFFFF"/>
        </w:rPr>
        <w:t xml:space="preserve"> </w:t>
      </w:r>
      <w:r w:rsidRPr="00D47E12">
        <w:rPr>
          <w:bCs/>
          <w:color w:val="010000"/>
          <w:shd w:val="clear" w:color="auto" w:fill="FFFFFF"/>
        </w:rPr>
        <w:t>(a) bendinde “</w:t>
      </w:r>
      <w:r w:rsidRPr="00D47E12">
        <w:rPr>
          <w:bCs/>
          <w:i/>
          <w:iCs/>
          <w:color w:val="010000"/>
          <w:shd w:val="clear" w:color="auto" w:fill="FFFFFF"/>
        </w:rPr>
        <w:t>Başvuru kararına ilişkin tutanağın onaylı örneği</w:t>
      </w:r>
      <w:r w:rsidRPr="00D47E12">
        <w:rPr>
          <w:bCs/>
          <w:color w:val="010000"/>
          <w:shd w:val="clear" w:color="auto" w:fill="FFFFFF"/>
        </w:rPr>
        <w:t>”, (b) bendinde “</w:t>
      </w:r>
      <w:r w:rsidRPr="00D47E12">
        <w:rPr>
          <w:bCs/>
          <w:i/>
          <w:iCs/>
          <w:color w:val="010000"/>
          <w:shd w:val="clear" w:color="auto" w:fill="FFFFFF"/>
        </w:rPr>
        <w:t>Dava dilekçesi, iddianame veya davayı açan belgeler ile dosyanın ilgili bölümlerinin onaylı örnekleri</w:t>
      </w:r>
      <w:r w:rsidRPr="00D47E12">
        <w:rPr>
          <w:bCs/>
          <w:color w:val="010000"/>
          <w:shd w:val="clear" w:color="auto" w:fill="FFFFFF"/>
        </w:rPr>
        <w:t>” ve (c) bendinde “</w:t>
      </w:r>
      <w:r w:rsidRPr="00D47E12">
        <w:rPr>
          <w:bCs/>
          <w:i/>
          <w:iCs/>
          <w:color w:val="010000"/>
          <w:shd w:val="clear" w:color="auto" w:fill="FFFFFF"/>
        </w:rPr>
        <w:t>Dava dosyasında sunulan belgelerin tarih sırasına göre başlıklar hâlinde sıralandığı dizi pusulası</w:t>
      </w:r>
      <w:r w:rsidRPr="00D47E12">
        <w:rPr>
          <w:bCs/>
          <w:color w:val="010000"/>
          <w:shd w:val="clear" w:color="auto" w:fill="FFFFFF"/>
        </w:rPr>
        <w:t>” Anayasa Mahkemesine sunulacak belgeler arasında sayılmıştır.</w:t>
      </w:r>
    </w:p>
    <w:p w:rsidR="008E69AB" w:rsidRPr="00D47E12" w:rsidRDefault="008E69AB" w:rsidP="00D47E12">
      <w:pPr>
        <w:spacing w:after="200"/>
        <w:ind w:right="283" w:firstLine="709"/>
        <w:jc w:val="both"/>
        <w:rPr>
          <w:bCs/>
          <w:color w:val="010000"/>
          <w:shd w:val="clear" w:color="auto" w:fill="FFFFFF"/>
        </w:rPr>
      </w:pPr>
      <w:r w:rsidRPr="00D47E12">
        <w:rPr>
          <w:bCs/>
          <w:color w:val="010000"/>
          <w:shd w:val="clear" w:color="auto" w:fill="FFFFFF"/>
        </w:rPr>
        <w:t xml:space="preserve">4. </w:t>
      </w:r>
      <w:proofErr w:type="spellStart"/>
      <w:r w:rsidRPr="00D47E12">
        <w:rPr>
          <w:bCs/>
          <w:color w:val="010000"/>
          <w:shd w:val="clear" w:color="auto" w:fill="FFFFFF"/>
        </w:rPr>
        <w:t>İçtüzük’ün</w:t>
      </w:r>
      <w:proofErr w:type="spellEnd"/>
      <w:r w:rsidRPr="00D47E12">
        <w:rPr>
          <w:bCs/>
          <w:color w:val="010000"/>
          <w:shd w:val="clear" w:color="auto" w:fill="FFFFFF"/>
        </w:rPr>
        <w:t xml:space="preserve"> 49. maddesinin (1) numaralı fıkrasının (b) bendinde ise Anayasa Mahkemesince yapılan ilk incelemede başvuruda eksikliklerin bulunduğunun tespit edilmesi hâlinde itiraz yoluna ilişkin işlerde esas incelemeye geçilmeksizin başvurunun reddine karar verileceği belirtilmiştir.</w:t>
      </w:r>
    </w:p>
    <w:p w:rsidR="008E69AB" w:rsidRPr="00D47E12" w:rsidRDefault="008E69AB" w:rsidP="00D47E12">
      <w:pPr>
        <w:spacing w:after="200"/>
        <w:ind w:right="283" w:firstLine="709"/>
        <w:jc w:val="both"/>
        <w:rPr>
          <w:color w:val="010000"/>
          <w:shd w:val="clear" w:color="auto" w:fill="FFFFFF"/>
        </w:rPr>
      </w:pPr>
      <w:r w:rsidRPr="00D47E12">
        <w:rPr>
          <w:bCs/>
          <w:iCs/>
          <w:color w:val="010000"/>
          <w:shd w:val="clear" w:color="auto" w:fill="FFFFFF"/>
        </w:rPr>
        <w:t xml:space="preserve">5. Yapılan incelemede itiraz yoluna başvuran Mahkemece gerekçeli başvuru kararının ekinde fiziki olarak gönderilen belgelerin onaylı örnek niteliğinde olmadığı ve bu suretle </w:t>
      </w:r>
      <w:r w:rsidRPr="00D47E12">
        <w:rPr>
          <w:bCs/>
          <w:i/>
          <w:iCs/>
          <w:color w:val="010000"/>
          <w:shd w:val="clear" w:color="auto" w:fill="FFFFFF"/>
        </w:rPr>
        <w:t>dosyanın ilgili bölümlerinin onaylı örneklerine</w:t>
      </w:r>
      <w:r w:rsidR="00D47E12" w:rsidRPr="00D47E12">
        <w:rPr>
          <w:bCs/>
          <w:i/>
          <w:iCs/>
          <w:color w:val="010000"/>
          <w:shd w:val="clear" w:color="auto" w:fill="FFFFFF"/>
        </w:rPr>
        <w:t xml:space="preserve"> </w:t>
      </w:r>
      <w:r w:rsidRPr="00D47E12">
        <w:rPr>
          <w:bCs/>
          <w:color w:val="010000"/>
          <w:shd w:val="clear" w:color="auto" w:fill="FFFFFF"/>
        </w:rPr>
        <w:t xml:space="preserve">yer verilmediği anlaşılmıştır. Ayrıca söz konusu belgelerin </w:t>
      </w:r>
      <w:r w:rsidRPr="00D47E12">
        <w:rPr>
          <w:bCs/>
          <w:i/>
          <w:iCs/>
          <w:color w:val="010000"/>
          <w:shd w:val="clear" w:color="auto" w:fill="FFFFFF"/>
        </w:rPr>
        <w:t xml:space="preserve">tarih sırasına göre başlıklar hâlinde sıralandığı dizi pusulasının </w:t>
      </w:r>
      <w:r w:rsidRPr="00D47E12">
        <w:rPr>
          <w:bCs/>
          <w:iCs/>
          <w:color w:val="010000"/>
          <w:shd w:val="clear" w:color="auto" w:fill="FFFFFF"/>
        </w:rPr>
        <w:t xml:space="preserve">da düzenlenmediği tespit edilmiştir. </w:t>
      </w:r>
      <w:r w:rsidRPr="00D47E12">
        <w:rPr>
          <w:bCs/>
          <w:color w:val="010000"/>
          <w:shd w:val="clear" w:color="auto" w:fill="FFFFFF"/>
        </w:rPr>
        <w:t>Bu itibarla başvurunun yöntemine uygun olmadığı sonucuna ulaşılmıştır.</w:t>
      </w:r>
    </w:p>
    <w:p w:rsidR="008E69AB" w:rsidRPr="00D47E12" w:rsidRDefault="008E69AB" w:rsidP="00D47E12">
      <w:pPr>
        <w:spacing w:after="200"/>
        <w:ind w:right="283" w:firstLine="709"/>
        <w:jc w:val="both"/>
        <w:rPr>
          <w:bCs/>
          <w:color w:val="010000"/>
          <w:shd w:val="clear" w:color="auto" w:fill="FFFFFF"/>
        </w:rPr>
      </w:pPr>
      <w:r w:rsidRPr="00D47E12">
        <w:rPr>
          <w:color w:val="010000"/>
          <w:shd w:val="clear" w:color="auto" w:fill="FFFFFF"/>
        </w:rPr>
        <w:t xml:space="preserve">6. </w:t>
      </w:r>
      <w:bookmarkStart w:id="3" w:name="_Hlk191988110"/>
      <w:r w:rsidRPr="00D47E12">
        <w:rPr>
          <w:color w:val="010000"/>
          <w:shd w:val="clear" w:color="auto" w:fill="FFFFFF"/>
        </w:rPr>
        <w:t xml:space="preserve">Kaldı ki Anayasa Mahkemesi 28/9/2022 tarihli ve E.2021/107, K.2022/109 sayılı kararında 6100 sayılı Kanun’un 20. maddesinin (1) numaralı fıkrasının ikinci cümlesi ile 331. maddesinin (2) numaralı fıkrasının ikinci cümlesinin esasını inceleyerek anılan hükümlerin Anayasa’ya aykırı olmadıklarına ve itirazın reddine karar vermiştir. Söz konusu karar </w:t>
      </w:r>
      <w:r w:rsidRPr="00D47E12">
        <w:rPr>
          <w:bCs/>
          <w:color w:val="010000"/>
          <w:shd w:val="clear" w:color="auto" w:fill="FFFFFF"/>
        </w:rPr>
        <w:t xml:space="preserve">22/11/2022 tarihli ve 32021 sayılı Resmî </w:t>
      </w:r>
      <w:proofErr w:type="spellStart"/>
      <w:r w:rsidRPr="00D47E12">
        <w:rPr>
          <w:bCs/>
          <w:color w:val="010000"/>
          <w:shd w:val="clear" w:color="auto" w:fill="FFFFFF"/>
        </w:rPr>
        <w:t>Gazete’de</w:t>
      </w:r>
      <w:proofErr w:type="spellEnd"/>
      <w:r w:rsidRPr="00D47E12">
        <w:rPr>
          <w:bCs/>
          <w:color w:val="010000"/>
          <w:shd w:val="clear" w:color="auto" w:fill="FFFFFF"/>
        </w:rPr>
        <w:t xml:space="preserve"> yayımlanmıştır. </w:t>
      </w:r>
      <w:r w:rsidRPr="00D47E12">
        <w:rPr>
          <w:color w:val="010000"/>
          <w:shd w:val="clear" w:color="auto" w:fill="FFFFFF"/>
        </w:rPr>
        <w:t xml:space="preserve">Anayasa Mahkemesince itiraz başvurusu </w:t>
      </w:r>
      <w:r w:rsidRPr="00D47E12">
        <w:rPr>
          <w:color w:val="010000"/>
          <w:shd w:val="clear" w:color="auto" w:fill="FFFFFF"/>
        </w:rPr>
        <w:lastRenderedPageBreak/>
        <w:t xml:space="preserve">üzerine işin esasına girilerek reddedilen kurallar hakkında yeni bir başvurunun yapılabilmesi için önceki kararın Resmî </w:t>
      </w:r>
      <w:proofErr w:type="spellStart"/>
      <w:r w:rsidRPr="00D47E12">
        <w:rPr>
          <w:color w:val="010000"/>
          <w:shd w:val="clear" w:color="auto" w:fill="FFFFFF"/>
        </w:rPr>
        <w:t>Gazete’de</w:t>
      </w:r>
      <w:proofErr w:type="spellEnd"/>
      <w:r w:rsidRPr="00D47E12">
        <w:rPr>
          <w:color w:val="010000"/>
          <w:shd w:val="clear" w:color="auto" w:fill="FFFFFF"/>
        </w:rPr>
        <w:t xml:space="preserve"> yayımlandığı 22/11/2022 tarihinden başlayarak geçmesi gereken</w:t>
      </w:r>
      <w:r w:rsidR="00D47E12" w:rsidRPr="00D47E12">
        <w:rPr>
          <w:color w:val="010000"/>
          <w:shd w:val="clear" w:color="auto" w:fill="FFFFFF"/>
        </w:rPr>
        <w:t xml:space="preserve"> </w:t>
      </w:r>
      <w:r w:rsidRPr="00D47E12">
        <w:rPr>
          <w:color w:val="010000"/>
          <w:shd w:val="clear" w:color="auto" w:fill="FFFFFF"/>
        </w:rPr>
        <w:t>on yıllık</w:t>
      </w:r>
      <w:r w:rsidR="00D47E12" w:rsidRPr="00D47E12">
        <w:rPr>
          <w:color w:val="010000"/>
          <w:shd w:val="clear" w:color="auto" w:fill="FFFFFF"/>
        </w:rPr>
        <w:t xml:space="preserve"> </w:t>
      </w:r>
      <w:r w:rsidRPr="00D47E12">
        <w:rPr>
          <w:color w:val="010000"/>
          <w:shd w:val="clear" w:color="auto" w:fill="FFFFFF"/>
        </w:rPr>
        <w:t>süre de henüz dolmamıştır.</w:t>
      </w:r>
      <w:bookmarkEnd w:id="3"/>
    </w:p>
    <w:p w:rsidR="008E69AB" w:rsidRPr="00D47E12" w:rsidRDefault="008E69AB" w:rsidP="00D47E12">
      <w:pPr>
        <w:spacing w:after="200"/>
        <w:ind w:right="283" w:firstLine="709"/>
        <w:jc w:val="both"/>
        <w:rPr>
          <w:color w:val="010000"/>
          <w:shd w:val="clear" w:color="auto" w:fill="FFFFFF"/>
        </w:rPr>
      </w:pPr>
      <w:r w:rsidRPr="00D47E12">
        <w:rPr>
          <w:color w:val="010000"/>
          <w:shd w:val="clear" w:color="auto" w:fill="FFFFFF"/>
        </w:rPr>
        <w:t xml:space="preserve">7. Açıklanan nedenlerle 6216 sayılı Kanun’un 40. maddesinin (1) numaralı fıkrasının (c) bendi ile </w:t>
      </w:r>
      <w:proofErr w:type="spellStart"/>
      <w:r w:rsidRPr="00D47E12">
        <w:rPr>
          <w:color w:val="010000"/>
          <w:shd w:val="clear" w:color="auto" w:fill="FFFFFF"/>
        </w:rPr>
        <w:t>İçtüzük’ün</w:t>
      </w:r>
      <w:proofErr w:type="spellEnd"/>
      <w:r w:rsidRPr="00D47E12">
        <w:rPr>
          <w:color w:val="010000"/>
          <w:shd w:val="clear" w:color="auto" w:fill="FFFFFF"/>
        </w:rPr>
        <w:t xml:space="preserve"> 46. maddesinin (2) numaralı fıkrasının (b) ve (c) bentlerine aykırı olduğu anlaşılan başvurunun 6216 sayılı Kanun’un 40. maddesinin (4) numaralı fıkrası gereğince yöntemine uygun olmadığından reddi gerekir.</w:t>
      </w:r>
    </w:p>
    <w:p w:rsidR="008E69AB" w:rsidRPr="00D47E12" w:rsidRDefault="008E69AB" w:rsidP="00D47E12">
      <w:pPr>
        <w:pStyle w:val="KonuBal"/>
        <w:widowControl/>
        <w:spacing w:after="200"/>
        <w:ind w:right="283" w:firstLine="709"/>
        <w:jc w:val="both"/>
        <w:rPr>
          <w:b/>
          <w:bCs/>
          <w:color w:val="010000"/>
          <w:shd w:val="clear" w:color="auto" w:fill="FFFFFF"/>
        </w:rPr>
      </w:pPr>
      <w:r w:rsidRPr="00D47E12">
        <w:rPr>
          <w:b/>
          <w:bCs/>
          <w:color w:val="010000"/>
          <w:shd w:val="clear" w:color="auto" w:fill="FFFFFF"/>
        </w:rPr>
        <w:t>III. HÜKÜM</w:t>
      </w:r>
    </w:p>
    <w:bookmarkEnd w:id="0"/>
    <w:p w:rsidR="008E69AB" w:rsidRPr="00D47E12" w:rsidRDefault="008E69AB" w:rsidP="00D47E12">
      <w:pPr>
        <w:pStyle w:val="KonuBal"/>
        <w:widowControl/>
        <w:spacing w:after="200"/>
        <w:ind w:right="283" w:firstLine="709"/>
        <w:jc w:val="both"/>
        <w:rPr>
          <w:color w:val="010000"/>
          <w:szCs w:val="24"/>
        </w:rPr>
      </w:pPr>
      <w:r w:rsidRPr="00D47E12">
        <w:rPr>
          <w:color w:val="010000"/>
          <w:szCs w:val="24"/>
        </w:rPr>
        <w:t>12/1/2011 tarihli ve 6100 sayılı Hukuk Muhakemeleri Kanunu’nun;</w:t>
      </w:r>
    </w:p>
    <w:p w:rsidR="008E69AB" w:rsidRPr="00D47E12" w:rsidRDefault="008E69AB" w:rsidP="00D47E12">
      <w:pPr>
        <w:pStyle w:val="KonuBal"/>
        <w:widowControl/>
        <w:spacing w:after="200"/>
        <w:ind w:right="283" w:firstLine="709"/>
        <w:jc w:val="both"/>
        <w:rPr>
          <w:color w:val="010000"/>
          <w:szCs w:val="24"/>
        </w:rPr>
      </w:pPr>
      <w:r w:rsidRPr="00D47E12">
        <w:rPr>
          <w:b/>
          <w:color w:val="010000"/>
          <w:szCs w:val="24"/>
        </w:rPr>
        <w:t>A.</w:t>
      </w:r>
      <w:r w:rsidRPr="00D47E12">
        <w:rPr>
          <w:color w:val="010000"/>
          <w:szCs w:val="24"/>
        </w:rPr>
        <w:t xml:space="preserve"> 20. maddesinin (1) numaralı fıkrasının; </w:t>
      </w:r>
    </w:p>
    <w:p w:rsidR="008E69AB" w:rsidRPr="00D47E12" w:rsidRDefault="008E69AB" w:rsidP="00D47E12">
      <w:pPr>
        <w:pStyle w:val="KonuBal"/>
        <w:widowControl/>
        <w:spacing w:after="200"/>
        <w:ind w:right="283" w:firstLine="709"/>
        <w:jc w:val="both"/>
        <w:rPr>
          <w:color w:val="010000"/>
          <w:szCs w:val="24"/>
        </w:rPr>
      </w:pPr>
      <w:r w:rsidRPr="00D47E12">
        <w:rPr>
          <w:b/>
          <w:color w:val="010000"/>
          <w:szCs w:val="24"/>
        </w:rPr>
        <w:t>1.</w:t>
      </w:r>
      <w:r w:rsidRPr="00D47E12">
        <w:rPr>
          <w:color w:val="010000"/>
          <w:szCs w:val="24"/>
        </w:rPr>
        <w:t xml:space="preserve"> Birinci cümlesinde yer alan </w:t>
      </w:r>
      <w:r w:rsidRPr="00D47E12">
        <w:rPr>
          <w:i/>
          <w:color w:val="010000"/>
          <w:szCs w:val="24"/>
        </w:rPr>
        <w:t xml:space="preserve">“…taraflardan </w:t>
      </w:r>
      <w:proofErr w:type="gramStart"/>
      <w:r w:rsidRPr="00D47E12">
        <w:rPr>
          <w:i/>
          <w:color w:val="010000"/>
          <w:szCs w:val="24"/>
        </w:rPr>
        <w:t>birinin,…</w:t>
      </w:r>
      <w:proofErr w:type="gramEnd"/>
      <w:r w:rsidRPr="00D47E12">
        <w:rPr>
          <w:i/>
          <w:color w:val="010000"/>
          <w:szCs w:val="24"/>
        </w:rPr>
        <w:t>”</w:t>
      </w:r>
      <w:r w:rsidRPr="00D47E12">
        <w:rPr>
          <w:color w:val="010000"/>
          <w:szCs w:val="24"/>
        </w:rPr>
        <w:t xml:space="preserve">, </w:t>
      </w:r>
      <w:r w:rsidRPr="00D47E12">
        <w:rPr>
          <w:i/>
          <w:color w:val="010000"/>
          <w:szCs w:val="24"/>
        </w:rPr>
        <w:t>“…kararı veren mahkemeye başvurarak,…”</w:t>
      </w:r>
      <w:r w:rsidRPr="00D47E12">
        <w:rPr>
          <w:color w:val="010000"/>
          <w:szCs w:val="24"/>
        </w:rPr>
        <w:t xml:space="preserve"> ve </w:t>
      </w:r>
      <w:r w:rsidRPr="00D47E12">
        <w:rPr>
          <w:i/>
          <w:color w:val="010000"/>
          <w:szCs w:val="24"/>
        </w:rPr>
        <w:t xml:space="preserve">“…talep etmesi…” </w:t>
      </w:r>
      <w:r w:rsidRPr="00D47E12">
        <w:rPr>
          <w:color w:val="010000"/>
          <w:szCs w:val="24"/>
        </w:rPr>
        <w:t xml:space="preserve">ibarelerinin, </w:t>
      </w:r>
    </w:p>
    <w:p w:rsidR="008E69AB" w:rsidRPr="00D47E12" w:rsidRDefault="008E69AB" w:rsidP="00D47E12">
      <w:pPr>
        <w:pStyle w:val="KonuBal"/>
        <w:widowControl/>
        <w:spacing w:after="200"/>
        <w:ind w:right="283" w:firstLine="709"/>
        <w:jc w:val="both"/>
        <w:rPr>
          <w:color w:val="010000"/>
          <w:szCs w:val="24"/>
        </w:rPr>
      </w:pPr>
      <w:r w:rsidRPr="00D47E12">
        <w:rPr>
          <w:b/>
          <w:color w:val="010000"/>
          <w:szCs w:val="24"/>
        </w:rPr>
        <w:t>2.</w:t>
      </w:r>
      <w:r w:rsidRPr="00D47E12">
        <w:rPr>
          <w:color w:val="010000"/>
          <w:szCs w:val="24"/>
        </w:rPr>
        <w:t xml:space="preserve"> İkinci cümlesinin,</w:t>
      </w:r>
    </w:p>
    <w:p w:rsidR="008E69AB" w:rsidRPr="00D47E12" w:rsidRDefault="008E69AB" w:rsidP="00D47E12">
      <w:pPr>
        <w:pStyle w:val="KonuBal"/>
        <w:widowControl/>
        <w:spacing w:after="200"/>
        <w:ind w:right="283" w:firstLine="709"/>
        <w:jc w:val="both"/>
        <w:rPr>
          <w:color w:val="010000"/>
          <w:szCs w:val="24"/>
        </w:rPr>
      </w:pPr>
      <w:r w:rsidRPr="00D47E12">
        <w:rPr>
          <w:b/>
          <w:color w:val="010000"/>
          <w:szCs w:val="24"/>
        </w:rPr>
        <w:t>B.</w:t>
      </w:r>
      <w:r w:rsidRPr="00D47E12">
        <w:rPr>
          <w:color w:val="010000"/>
          <w:szCs w:val="24"/>
        </w:rPr>
        <w:t xml:space="preserve"> 331. maddesinin (2) numaralı fıkrasının ikinci cümlesinin,</w:t>
      </w:r>
    </w:p>
    <w:p w:rsidR="008E69AB" w:rsidRPr="00D47E12" w:rsidRDefault="008E69AB" w:rsidP="00D47E12">
      <w:pPr>
        <w:spacing w:after="200"/>
        <w:ind w:right="283" w:firstLine="709"/>
        <w:jc w:val="both"/>
        <w:rPr>
          <w:color w:val="010000"/>
        </w:rPr>
      </w:pPr>
      <w:proofErr w:type="gramStart"/>
      <w:r w:rsidRPr="00D47E12">
        <w:rPr>
          <w:color w:val="010000"/>
        </w:rPr>
        <w:t>iptallerine</w:t>
      </w:r>
      <w:proofErr w:type="gramEnd"/>
      <w:r w:rsidRPr="00D47E12">
        <w:rPr>
          <w:color w:val="010000"/>
        </w:rPr>
        <w:t xml:space="preserve"> karar verilmesi talebiyle yapılan itiraz başvurusunun 30/3/2011 tarihli ve 6216 sayılı Anayasa Mahkemesinin Kuruluşu ve Yargılama Usulleri Hakkında Kanun’un 40. maddesinin (4) numaralı fıkrası gereğince yöntemine uygun olmadığından REDDİNE </w:t>
      </w:r>
      <w:r w:rsidRPr="00D47E12">
        <w:rPr>
          <w:rFonts w:eastAsia="ヒラギノ明朝 Pro W3"/>
          <w:color w:val="010000"/>
          <w:lang w:eastAsia="en-US"/>
        </w:rPr>
        <w:t xml:space="preserve">6/3/2025 </w:t>
      </w:r>
      <w:r w:rsidRPr="00D47E12">
        <w:rPr>
          <w:color w:val="010000"/>
        </w:rPr>
        <w:t>tarihinde OYBİRLİĞİYLE karar verildi.</w:t>
      </w:r>
    </w:p>
    <w:p w:rsidR="00D47E12" w:rsidRDefault="00D47E12">
      <w:bookmarkStart w:id="4" w:name="_GoBack"/>
      <w:bookmarkEnd w:id="4"/>
    </w:p>
    <w:tbl>
      <w:tblPr>
        <w:tblW w:w="5000" w:type="pct"/>
        <w:jc w:val="center"/>
        <w:tblCellMar>
          <w:left w:w="70" w:type="dxa"/>
          <w:right w:w="70" w:type="dxa"/>
        </w:tblCellMar>
        <w:tblLook w:val="00A0" w:firstRow="1" w:lastRow="0" w:firstColumn="1" w:lastColumn="0" w:noHBand="0" w:noVBand="0"/>
      </w:tblPr>
      <w:tblGrid>
        <w:gridCol w:w="3212"/>
        <w:gridCol w:w="3284"/>
        <w:gridCol w:w="3284"/>
      </w:tblGrid>
      <w:tr w:rsidR="008E69AB" w:rsidRPr="00D47E12" w:rsidTr="00D47E12">
        <w:trPr>
          <w:trHeight w:val="1600"/>
          <w:jc w:val="center"/>
        </w:trPr>
        <w:tc>
          <w:tcPr>
            <w:tcW w:w="1642" w:type="pct"/>
            <w:vAlign w:val="center"/>
            <w:hideMark/>
          </w:tcPr>
          <w:p w:rsidR="008E69AB" w:rsidRPr="00D47E12" w:rsidRDefault="008E69AB" w:rsidP="00D47E12">
            <w:pPr>
              <w:spacing w:after="120"/>
              <w:jc w:val="center"/>
              <w:rPr>
                <w:color w:val="010000"/>
              </w:rPr>
            </w:pPr>
            <w:r w:rsidRPr="00D47E12">
              <w:rPr>
                <w:color w:val="010000"/>
              </w:rPr>
              <w:t>Başkan</w:t>
            </w:r>
          </w:p>
          <w:p w:rsidR="008E69AB" w:rsidRPr="00D47E12" w:rsidRDefault="008E69AB" w:rsidP="00D47E12">
            <w:pPr>
              <w:spacing w:after="120"/>
              <w:jc w:val="center"/>
              <w:rPr>
                <w:color w:val="010000"/>
              </w:rPr>
            </w:pPr>
            <w:r w:rsidRPr="00D47E12">
              <w:rPr>
                <w:color w:val="010000"/>
              </w:rPr>
              <w:t>Kadir ÖZKAYA</w:t>
            </w:r>
          </w:p>
        </w:tc>
        <w:tc>
          <w:tcPr>
            <w:tcW w:w="1679" w:type="pct"/>
            <w:vAlign w:val="center"/>
            <w:hideMark/>
          </w:tcPr>
          <w:p w:rsidR="008E69AB" w:rsidRPr="00D47E12" w:rsidRDefault="008E69AB" w:rsidP="00D47E12">
            <w:pPr>
              <w:spacing w:after="120"/>
              <w:jc w:val="center"/>
              <w:rPr>
                <w:color w:val="010000"/>
              </w:rPr>
            </w:pPr>
            <w:r w:rsidRPr="00D47E12">
              <w:rPr>
                <w:color w:val="010000"/>
              </w:rPr>
              <w:t>Başkanvekili</w:t>
            </w:r>
          </w:p>
          <w:p w:rsidR="008E69AB" w:rsidRPr="00D47E12" w:rsidRDefault="008E69AB" w:rsidP="00D47E12">
            <w:pPr>
              <w:spacing w:after="120"/>
              <w:jc w:val="center"/>
              <w:rPr>
                <w:color w:val="010000"/>
              </w:rPr>
            </w:pPr>
            <w:r w:rsidRPr="00D47E12">
              <w:rPr>
                <w:color w:val="010000"/>
              </w:rPr>
              <w:t>Hasan Tahsin GÖKCAN</w:t>
            </w:r>
          </w:p>
        </w:tc>
        <w:tc>
          <w:tcPr>
            <w:tcW w:w="1679" w:type="pct"/>
            <w:vAlign w:val="center"/>
            <w:hideMark/>
          </w:tcPr>
          <w:p w:rsidR="008E69AB" w:rsidRPr="00D47E12" w:rsidRDefault="008E69AB" w:rsidP="00D47E12">
            <w:pPr>
              <w:spacing w:after="120"/>
              <w:jc w:val="center"/>
              <w:rPr>
                <w:color w:val="010000"/>
              </w:rPr>
            </w:pPr>
            <w:r w:rsidRPr="00D47E12">
              <w:rPr>
                <w:color w:val="010000"/>
              </w:rPr>
              <w:t xml:space="preserve">Başkanvekili </w:t>
            </w:r>
          </w:p>
          <w:p w:rsidR="008E69AB" w:rsidRPr="00D47E12" w:rsidRDefault="008E69AB" w:rsidP="00D47E12">
            <w:pPr>
              <w:spacing w:after="120"/>
              <w:jc w:val="center"/>
              <w:rPr>
                <w:color w:val="010000"/>
              </w:rPr>
            </w:pPr>
            <w:r w:rsidRPr="00D47E12">
              <w:rPr>
                <w:color w:val="010000"/>
              </w:rPr>
              <w:t>Basri BAĞCI</w:t>
            </w:r>
          </w:p>
        </w:tc>
      </w:tr>
      <w:tr w:rsidR="008E69AB" w:rsidRPr="00D47E12" w:rsidTr="00D47E12">
        <w:trPr>
          <w:trHeight w:val="1600"/>
          <w:jc w:val="center"/>
        </w:trPr>
        <w:tc>
          <w:tcPr>
            <w:tcW w:w="1642" w:type="pct"/>
            <w:vAlign w:val="center"/>
            <w:hideMark/>
          </w:tcPr>
          <w:p w:rsidR="008E69AB" w:rsidRPr="00D47E12" w:rsidRDefault="008E69AB" w:rsidP="00D47E12">
            <w:pPr>
              <w:spacing w:after="120"/>
              <w:jc w:val="center"/>
              <w:rPr>
                <w:color w:val="010000"/>
              </w:rPr>
            </w:pPr>
            <w:r w:rsidRPr="00D47E12">
              <w:rPr>
                <w:color w:val="010000"/>
              </w:rPr>
              <w:t xml:space="preserve">Üye </w:t>
            </w:r>
          </w:p>
          <w:p w:rsidR="008E69AB" w:rsidRPr="00D47E12" w:rsidRDefault="008E69AB" w:rsidP="00D47E12">
            <w:pPr>
              <w:spacing w:after="120"/>
              <w:jc w:val="center"/>
              <w:rPr>
                <w:color w:val="010000"/>
              </w:rPr>
            </w:pPr>
            <w:r w:rsidRPr="00D47E12">
              <w:rPr>
                <w:color w:val="010000"/>
              </w:rPr>
              <w:t>Engin YILDIRIM</w:t>
            </w:r>
          </w:p>
        </w:tc>
        <w:tc>
          <w:tcPr>
            <w:tcW w:w="1679" w:type="pct"/>
            <w:vAlign w:val="center"/>
            <w:hideMark/>
          </w:tcPr>
          <w:p w:rsidR="008E69AB" w:rsidRPr="00D47E12" w:rsidRDefault="008E69AB" w:rsidP="00D47E12">
            <w:pPr>
              <w:spacing w:after="120"/>
              <w:jc w:val="center"/>
              <w:rPr>
                <w:color w:val="010000"/>
              </w:rPr>
            </w:pPr>
            <w:r w:rsidRPr="00D47E12">
              <w:rPr>
                <w:color w:val="010000"/>
              </w:rPr>
              <w:t>Üye</w:t>
            </w:r>
          </w:p>
          <w:p w:rsidR="008E69AB" w:rsidRPr="00D47E12" w:rsidRDefault="008E69AB" w:rsidP="00D47E12">
            <w:pPr>
              <w:spacing w:after="120"/>
              <w:jc w:val="center"/>
              <w:rPr>
                <w:color w:val="010000"/>
              </w:rPr>
            </w:pPr>
            <w:r w:rsidRPr="00D47E12">
              <w:rPr>
                <w:color w:val="010000"/>
              </w:rPr>
              <w:t>Rıdvan GÜLEÇ</w:t>
            </w:r>
          </w:p>
        </w:tc>
        <w:tc>
          <w:tcPr>
            <w:tcW w:w="1679" w:type="pct"/>
            <w:vAlign w:val="center"/>
            <w:hideMark/>
          </w:tcPr>
          <w:p w:rsidR="008E69AB" w:rsidRPr="00D47E12" w:rsidRDefault="008E69AB" w:rsidP="00D47E12">
            <w:pPr>
              <w:spacing w:after="120"/>
              <w:jc w:val="center"/>
              <w:rPr>
                <w:color w:val="010000"/>
              </w:rPr>
            </w:pPr>
            <w:r w:rsidRPr="00D47E12">
              <w:rPr>
                <w:color w:val="010000"/>
              </w:rPr>
              <w:t>Üye</w:t>
            </w:r>
          </w:p>
          <w:p w:rsidR="008E69AB" w:rsidRPr="00D47E12" w:rsidRDefault="008E69AB" w:rsidP="00D47E12">
            <w:pPr>
              <w:spacing w:after="120"/>
              <w:jc w:val="center"/>
              <w:rPr>
                <w:color w:val="010000"/>
              </w:rPr>
            </w:pPr>
            <w:r w:rsidRPr="00D47E12">
              <w:rPr>
                <w:bCs/>
                <w:color w:val="010000"/>
              </w:rPr>
              <w:t>Recai AKYEL</w:t>
            </w:r>
          </w:p>
        </w:tc>
      </w:tr>
      <w:tr w:rsidR="008E69AB" w:rsidRPr="00D47E12" w:rsidTr="00D47E12">
        <w:trPr>
          <w:trHeight w:val="1600"/>
          <w:jc w:val="center"/>
        </w:trPr>
        <w:tc>
          <w:tcPr>
            <w:tcW w:w="1642" w:type="pct"/>
            <w:vAlign w:val="center"/>
            <w:hideMark/>
          </w:tcPr>
          <w:p w:rsidR="008E69AB" w:rsidRPr="00D47E12" w:rsidRDefault="008E69AB" w:rsidP="00D47E12">
            <w:pPr>
              <w:spacing w:after="120"/>
              <w:jc w:val="center"/>
              <w:rPr>
                <w:color w:val="010000"/>
              </w:rPr>
            </w:pPr>
            <w:r w:rsidRPr="00D47E12">
              <w:rPr>
                <w:color w:val="010000"/>
              </w:rPr>
              <w:t xml:space="preserve">Üye </w:t>
            </w:r>
          </w:p>
          <w:p w:rsidR="008E69AB" w:rsidRPr="00D47E12" w:rsidRDefault="008E69AB" w:rsidP="00D47E12">
            <w:pPr>
              <w:spacing w:after="120"/>
              <w:jc w:val="center"/>
              <w:rPr>
                <w:color w:val="010000"/>
              </w:rPr>
            </w:pPr>
            <w:r w:rsidRPr="00D47E12">
              <w:rPr>
                <w:bCs/>
                <w:color w:val="010000"/>
              </w:rPr>
              <w:t>Yusuf Şevki HAKYEMEZ</w:t>
            </w:r>
          </w:p>
        </w:tc>
        <w:tc>
          <w:tcPr>
            <w:tcW w:w="1679" w:type="pct"/>
            <w:vAlign w:val="center"/>
            <w:hideMark/>
          </w:tcPr>
          <w:p w:rsidR="008E69AB" w:rsidRPr="00D47E12" w:rsidRDefault="008E69AB" w:rsidP="00D47E12">
            <w:pPr>
              <w:spacing w:after="120"/>
              <w:jc w:val="center"/>
              <w:rPr>
                <w:color w:val="010000"/>
              </w:rPr>
            </w:pPr>
            <w:r w:rsidRPr="00D47E12">
              <w:rPr>
                <w:color w:val="010000"/>
              </w:rPr>
              <w:t>Üye</w:t>
            </w:r>
          </w:p>
          <w:p w:rsidR="008E69AB" w:rsidRPr="00D47E12" w:rsidRDefault="008E69AB" w:rsidP="00D47E12">
            <w:pPr>
              <w:spacing w:after="120"/>
              <w:jc w:val="center"/>
              <w:rPr>
                <w:color w:val="010000"/>
              </w:rPr>
            </w:pPr>
            <w:r w:rsidRPr="00D47E12">
              <w:rPr>
                <w:bCs/>
                <w:color w:val="010000"/>
              </w:rPr>
              <w:t>Yıldız SEFERİNOĞLU</w:t>
            </w:r>
          </w:p>
        </w:tc>
        <w:tc>
          <w:tcPr>
            <w:tcW w:w="1679" w:type="pct"/>
            <w:vAlign w:val="center"/>
            <w:hideMark/>
          </w:tcPr>
          <w:p w:rsidR="008E69AB" w:rsidRPr="00D47E12" w:rsidRDefault="008E69AB" w:rsidP="00D47E12">
            <w:pPr>
              <w:spacing w:after="120"/>
              <w:jc w:val="center"/>
              <w:rPr>
                <w:color w:val="010000"/>
              </w:rPr>
            </w:pPr>
            <w:r w:rsidRPr="00D47E12">
              <w:rPr>
                <w:color w:val="010000"/>
              </w:rPr>
              <w:t>Üye</w:t>
            </w:r>
          </w:p>
          <w:p w:rsidR="008E69AB" w:rsidRPr="00D47E12" w:rsidRDefault="008E69AB" w:rsidP="00D47E12">
            <w:pPr>
              <w:spacing w:after="120"/>
              <w:jc w:val="center"/>
              <w:rPr>
                <w:color w:val="010000"/>
              </w:rPr>
            </w:pPr>
            <w:r w:rsidRPr="00D47E12">
              <w:rPr>
                <w:color w:val="010000"/>
              </w:rPr>
              <w:t>Selahaddin MENTEŞ</w:t>
            </w:r>
          </w:p>
        </w:tc>
      </w:tr>
      <w:tr w:rsidR="008E69AB" w:rsidRPr="00D47E12" w:rsidTr="00D47E12">
        <w:trPr>
          <w:trHeight w:val="1600"/>
          <w:jc w:val="center"/>
        </w:trPr>
        <w:tc>
          <w:tcPr>
            <w:tcW w:w="1642" w:type="pct"/>
            <w:vAlign w:val="center"/>
            <w:hideMark/>
          </w:tcPr>
          <w:p w:rsidR="008E69AB" w:rsidRPr="00D47E12" w:rsidRDefault="008E69AB" w:rsidP="00D47E12">
            <w:pPr>
              <w:spacing w:after="120"/>
              <w:jc w:val="center"/>
              <w:rPr>
                <w:color w:val="010000"/>
              </w:rPr>
            </w:pPr>
            <w:r w:rsidRPr="00D47E12">
              <w:rPr>
                <w:color w:val="010000"/>
              </w:rPr>
              <w:t xml:space="preserve">Üye </w:t>
            </w:r>
          </w:p>
          <w:p w:rsidR="008E69AB" w:rsidRPr="00D47E12" w:rsidRDefault="008E69AB" w:rsidP="00D47E12">
            <w:pPr>
              <w:spacing w:after="120"/>
              <w:jc w:val="center"/>
              <w:rPr>
                <w:color w:val="010000"/>
              </w:rPr>
            </w:pPr>
            <w:r w:rsidRPr="00D47E12">
              <w:rPr>
                <w:bCs/>
                <w:color w:val="010000"/>
              </w:rPr>
              <w:t>İrfan FİDAN</w:t>
            </w:r>
          </w:p>
        </w:tc>
        <w:tc>
          <w:tcPr>
            <w:tcW w:w="1679" w:type="pct"/>
            <w:vAlign w:val="center"/>
            <w:hideMark/>
          </w:tcPr>
          <w:p w:rsidR="008E69AB" w:rsidRPr="00D47E12" w:rsidRDefault="008E69AB" w:rsidP="00D47E12">
            <w:pPr>
              <w:spacing w:after="120"/>
              <w:jc w:val="center"/>
              <w:rPr>
                <w:color w:val="010000"/>
              </w:rPr>
            </w:pPr>
            <w:r w:rsidRPr="00D47E12">
              <w:rPr>
                <w:color w:val="010000"/>
              </w:rPr>
              <w:t>Üye</w:t>
            </w:r>
          </w:p>
          <w:p w:rsidR="008E69AB" w:rsidRPr="00D47E12" w:rsidRDefault="008E69AB" w:rsidP="00D47E12">
            <w:pPr>
              <w:spacing w:after="120"/>
              <w:jc w:val="center"/>
              <w:rPr>
                <w:color w:val="010000"/>
              </w:rPr>
            </w:pPr>
            <w:r w:rsidRPr="00D47E12">
              <w:rPr>
                <w:color w:val="010000"/>
              </w:rPr>
              <w:t>Kenan YAŞAR</w:t>
            </w:r>
          </w:p>
        </w:tc>
        <w:tc>
          <w:tcPr>
            <w:tcW w:w="1679" w:type="pct"/>
            <w:vAlign w:val="center"/>
            <w:hideMark/>
          </w:tcPr>
          <w:p w:rsidR="008E69AB" w:rsidRPr="00D47E12" w:rsidRDefault="008E69AB" w:rsidP="00D47E12">
            <w:pPr>
              <w:spacing w:after="120"/>
              <w:jc w:val="center"/>
              <w:rPr>
                <w:color w:val="010000"/>
              </w:rPr>
            </w:pPr>
            <w:r w:rsidRPr="00D47E12">
              <w:rPr>
                <w:color w:val="010000"/>
              </w:rPr>
              <w:t>Üye</w:t>
            </w:r>
          </w:p>
          <w:p w:rsidR="008E69AB" w:rsidRPr="00D47E12" w:rsidRDefault="008E69AB" w:rsidP="00D47E12">
            <w:pPr>
              <w:spacing w:after="120"/>
              <w:jc w:val="center"/>
              <w:rPr>
                <w:color w:val="010000"/>
              </w:rPr>
            </w:pPr>
            <w:r w:rsidRPr="00D47E12">
              <w:rPr>
                <w:color w:val="010000"/>
              </w:rPr>
              <w:t>Muhterem İNCE</w:t>
            </w:r>
          </w:p>
        </w:tc>
      </w:tr>
      <w:tr w:rsidR="008E69AB" w:rsidRPr="00D47E12" w:rsidTr="00D47E12">
        <w:trPr>
          <w:trHeight w:val="1600"/>
          <w:jc w:val="center"/>
        </w:trPr>
        <w:tc>
          <w:tcPr>
            <w:tcW w:w="1642" w:type="pct"/>
            <w:vAlign w:val="center"/>
            <w:hideMark/>
          </w:tcPr>
          <w:p w:rsidR="008E69AB" w:rsidRPr="00D47E12" w:rsidRDefault="008E69AB" w:rsidP="00D47E12">
            <w:pPr>
              <w:spacing w:after="120"/>
              <w:jc w:val="center"/>
              <w:rPr>
                <w:color w:val="010000"/>
              </w:rPr>
            </w:pPr>
            <w:r w:rsidRPr="00D47E12">
              <w:rPr>
                <w:color w:val="010000"/>
              </w:rPr>
              <w:lastRenderedPageBreak/>
              <w:t xml:space="preserve">Üye </w:t>
            </w:r>
          </w:p>
          <w:p w:rsidR="008E69AB" w:rsidRPr="00D47E12" w:rsidRDefault="008E69AB" w:rsidP="00D47E12">
            <w:pPr>
              <w:spacing w:after="120"/>
              <w:jc w:val="center"/>
              <w:rPr>
                <w:color w:val="010000"/>
              </w:rPr>
            </w:pPr>
            <w:r w:rsidRPr="00D47E12">
              <w:rPr>
                <w:bCs/>
                <w:color w:val="010000"/>
              </w:rPr>
              <w:t>Yılmaz AKÇİL</w:t>
            </w:r>
          </w:p>
        </w:tc>
        <w:tc>
          <w:tcPr>
            <w:tcW w:w="1679" w:type="pct"/>
            <w:vAlign w:val="center"/>
            <w:hideMark/>
          </w:tcPr>
          <w:p w:rsidR="008E69AB" w:rsidRPr="00D47E12" w:rsidRDefault="008E69AB" w:rsidP="00D47E12">
            <w:pPr>
              <w:spacing w:after="120"/>
              <w:jc w:val="center"/>
              <w:rPr>
                <w:color w:val="010000"/>
              </w:rPr>
            </w:pPr>
            <w:r w:rsidRPr="00D47E12">
              <w:rPr>
                <w:color w:val="010000"/>
              </w:rPr>
              <w:t>Üye</w:t>
            </w:r>
          </w:p>
          <w:p w:rsidR="008E69AB" w:rsidRPr="00D47E12" w:rsidRDefault="008E69AB" w:rsidP="00D47E12">
            <w:pPr>
              <w:spacing w:after="120"/>
              <w:jc w:val="center"/>
              <w:rPr>
                <w:bCs/>
                <w:color w:val="010000"/>
              </w:rPr>
            </w:pPr>
            <w:r w:rsidRPr="00D47E12">
              <w:rPr>
                <w:bCs/>
                <w:color w:val="010000"/>
              </w:rPr>
              <w:t>Ömer ÇINAR</w:t>
            </w:r>
          </w:p>
        </w:tc>
        <w:tc>
          <w:tcPr>
            <w:tcW w:w="1679" w:type="pct"/>
            <w:vAlign w:val="center"/>
            <w:hideMark/>
          </w:tcPr>
          <w:p w:rsidR="008E69AB" w:rsidRPr="00D47E12" w:rsidRDefault="008E69AB" w:rsidP="00D47E12">
            <w:pPr>
              <w:spacing w:after="120"/>
              <w:jc w:val="center"/>
              <w:rPr>
                <w:color w:val="010000"/>
              </w:rPr>
            </w:pPr>
            <w:r w:rsidRPr="00D47E12">
              <w:rPr>
                <w:color w:val="010000"/>
              </w:rPr>
              <w:t>Üye</w:t>
            </w:r>
          </w:p>
          <w:p w:rsidR="008E69AB" w:rsidRPr="00D47E12" w:rsidRDefault="008E69AB" w:rsidP="00D47E12">
            <w:pPr>
              <w:spacing w:after="120"/>
              <w:jc w:val="center"/>
              <w:rPr>
                <w:color w:val="010000"/>
              </w:rPr>
            </w:pPr>
            <w:r w:rsidRPr="00D47E12">
              <w:rPr>
                <w:color w:val="010000"/>
              </w:rPr>
              <w:t>Metin KIRATLI</w:t>
            </w:r>
          </w:p>
        </w:tc>
      </w:tr>
    </w:tbl>
    <w:p w:rsidR="008E69AB" w:rsidRPr="00D47E12" w:rsidRDefault="008E69AB" w:rsidP="00D47E12">
      <w:pPr>
        <w:spacing w:after="200"/>
        <w:ind w:right="283" w:firstLine="709"/>
        <w:jc w:val="both"/>
        <w:rPr>
          <w:color w:val="010000"/>
        </w:rPr>
      </w:pPr>
    </w:p>
    <w:sectPr w:rsidR="008E69AB" w:rsidRPr="00D47E12" w:rsidSect="00D47E12">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85075" w:rsidRDefault="00685075" w:rsidP="00FE2087">
      <w:r>
        <w:separator/>
      </w:r>
    </w:p>
  </w:endnote>
  <w:endnote w:type="continuationSeparator" w:id="0">
    <w:p w:rsidR="00685075" w:rsidRDefault="00685075" w:rsidP="00FE20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ヒラギノ明朝 Pro W3">
    <w:altName w:val="MS Gothic"/>
    <w:charset w:val="80"/>
    <w:family w:val="auto"/>
    <w:pitch w:val="variable"/>
    <w:sig w:usb0="00000001" w:usb1="08070000" w:usb2="01000417"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E12" w:rsidRDefault="00D47E12" w:rsidP="00293C09">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D47E12" w:rsidRDefault="00D47E12" w:rsidP="00D47E12">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E12" w:rsidRPr="00D47E12" w:rsidRDefault="00D47E12" w:rsidP="00293C09">
    <w:pPr>
      <w:pStyle w:val="AltBilgi"/>
      <w:framePr w:wrap="around" w:vAnchor="text" w:hAnchor="margin" w:xAlign="right" w:y="1"/>
      <w:rPr>
        <w:rStyle w:val="SayfaNumaras"/>
        <w:rFonts w:ascii="Times New Roman" w:hAnsi="Times New Roman"/>
        <w:sz w:val="24"/>
      </w:rPr>
    </w:pPr>
    <w:r w:rsidRPr="00D47E12">
      <w:rPr>
        <w:rStyle w:val="SayfaNumaras"/>
        <w:rFonts w:ascii="Times New Roman" w:hAnsi="Times New Roman"/>
        <w:sz w:val="24"/>
      </w:rPr>
      <w:fldChar w:fldCharType="begin"/>
    </w:r>
    <w:r w:rsidRPr="00D47E12">
      <w:rPr>
        <w:rStyle w:val="SayfaNumaras"/>
        <w:rFonts w:ascii="Times New Roman" w:hAnsi="Times New Roman"/>
        <w:sz w:val="24"/>
      </w:rPr>
      <w:instrText xml:space="preserve"> PAGE </w:instrText>
    </w:r>
    <w:r w:rsidRPr="00D47E12">
      <w:rPr>
        <w:rStyle w:val="SayfaNumaras"/>
        <w:rFonts w:ascii="Times New Roman" w:hAnsi="Times New Roman"/>
        <w:sz w:val="24"/>
      </w:rPr>
      <w:fldChar w:fldCharType="separate"/>
    </w:r>
    <w:r w:rsidRPr="00D47E12">
      <w:rPr>
        <w:rStyle w:val="SayfaNumaras"/>
        <w:rFonts w:ascii="Times New Roman" w:hAnsi="Times New Roman"/>
        <w:noProof/>
        <w:sz w:val="24"/>
      </w:rPr>
      <w:t>1</w:t>
    </w:r>
    <w:r w:rsidRPr="00D47E12">
      <w:rPr>
        <w:rStyle w:val="SayfaNumaras"/>
        <w:rFonts w:ascii="Times New Roman" w:hAnsi="Times New Roman"/>
        <w:sz w:val="24"/>
      </w:rPr>
      <w:fldChar w:fldCharType="end"/>
    </w:r>
  </w:p>
  <w:p w:rsidR="002661CE" w:rsidRDefault="002661CE" w:rsidP="00D47E12">
    <w:pPr>
      <w:pStyle w:val="AltBilgi"/>
      <w:ind w:right="360"/>
      <w:jc w:val="right"/>
    </w:pPr>
  </w:p>
  <w:p w:rsidR="002661CE" w:rsidRDefault="002661CE">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85075" w:rsidRDefault="00685075" w:rsidP="00FE2087">
      <w:r>
        <w:separator/>
      </w:r>
    </w:p>
  </w:footnote>
  <w:footnote w:type="continuationSeparator" w:id="0">
    <w:p w:rsidR="00685075" w:rsidRDefault="00685075" w:rsidP="00FE20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7E12" w:rsidRPr="00D47E12" w:rsidRDefault="00D47E12" w:rsidP="00D47E12">
    <w:pPr>
      <w:pStyle w:val="stBilgi"/>
      <w:rPr>
        <w:b/>
      </w:rPr>
    </w:pPr>
    <w:r w:rsidRPr="00D47E12">
      <w:rPr>
        <w:b/>
      </w:rPr>
      <w:t xml:space="preserve">Esas </w:t>
    </w:r>
    <w:proofErr w:type="gramStart"/>
    <w:r w:rsidRPr="00D47E12">
      <w:rPr>
        <w:b/>
      </w:rPr>
      <w:t>Sayısı :</w:t>
    </w:r>
    <w:proofErr w:type="gramEnd"/>
    <w:r w:rsidRPr="00D47E12">
      <w:rPr>
        <w:b/>
      </w:rPr>
      <w:t xml:space="preserve"> 2025/74</w:t>
    </w:r>
  </w:p>
  <w:p w:rsidR="00D47E12" w:rsidRDefault="00D47E12" w:rsidP="00D47E12">
    <w:pPr>
      <w:pStyle w:val="stBilgi"/>
      <w:rPr>
        <w:b/>
      </w:rPr>
    </w:pPr>
    <w:r>
      <w:rPr>
        <w:b/>
      </w:rPr>
      <w:t xml:space="preserve">Karar </w:t>
    </w:r>
    <w:proofErr w:type="gramStart"/>
    <w:r>
      <w:rPr>
        <w:b/>
      </w:rPr>
      <w:t>Sayısı :</w:t>
    </w:r>
    <w:proofErr w:type="gramEnd"/>
    <w:r>
      <w:rPr>
        <w:b/>
      </w:rPr>
      <w:t xml:space="preserve"> 2025/66</w:t>
    </w:r>
  </w:p>
  <w:p w:rsidR="00FE2087" w:rsidRPr="00D47E12" w:rsidRDefault="00FE2087" w:rsidP="00D47E12">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2661CE"/>
    <w:rsid w:val="002B1D75"/>
    <w:rsid w:val="00302AA5"/>
    <w:rsid w:val="0031179D"/>
    <w:rsid w:val="004B6328"/>
    <w:rsid w:val="0062459C"/>
    <w:rsid w:val="00685075"/>
    <w:rsid w:val="008E69AB"/>
    <w:rsid w:val="00952B5F"/>
    <w:rsid w:val="00BE4436"/>
    <w:rsid w:val="00D47E12"/>
    <w:rsid w:val="00EB22D9"/>
    <w:rsid w:val="00EE2C23"/>
    <w:rsid w:val="00EF1B36"/>
    <w:rsid w:val="00FE208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76EAE00-217F-4F43-B453-CFE62512EF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uiPriority w:val="99"/>
    <w:unhideWhenUsed/>
    <w:rsid w:val="00FE2087"/>
    <w:pPr>
      <w:tabs>
        <w:tab w:val="center" w:pos="4536"/>
        <w:tab w:val="right" w:pos="9072"/>
      </w:tabs>
    </w:pPr>
    <w:rPr>
      <w:rFonts w:ascii="Calibri" w:eastAsia="Calibri" w:hAnsi="Calibri"/>
      <w:sz w:val="22"/>
      <w:szCs w:val="22"/>
      <w:lang w:eastAsia="en-US"/>
    </w:rPr>
  </w:style>
  <w:style w:type="character" w:customStyle="1" w:styleId="AltBilgiChar">
    <w:name w:val="Alt Bilgi Char"/>
    <w:link w:val="AltBilgi"/>
    <w:uiPriority w:val="99"/>
    <w:rsid w:val="00FE2087"/>
    <w:rPr>
      <w:rFonts w:ascii="Calibri" w:eastAsia="Calibri" w:hAnsi="Calibri"/>
      <w:sz w:val="22"/>
      <w:szCs w:val="22"/>
      <w:lang w:eastAsia="en-US"/>
    </w:rPr>
  </w:style>
  <w:style w:type="paragraph" w:styleId="stBilgi">
    <w:name w:val="header"/>
    <w:basedOn w:val="Normal"/>
    <w:link w:val="stBilgiChar"/>
    <w:rsid w:val="00FE2087"/>
    <w:pPr>
      <w:tabs>
        <w:tab w:val="center" w:pos="4536"/>
        <w:tab w:val="right" w:pos="9072"/>
      </w:tabs>
    </w:pPr>
  </w:style>
  <w:style w:type="character" w:customStyle="1" w:styleId="stBilgiChar">
    <w:name w:val="Üst Bilgi Char"/>
    <w:link w:val="stBilgi"/>
    <w:rsid w:val="00FE2087"/>
    <w:rPr>
      <w:sz w:val="24"/>
      <w:szCs w:val="24"/>
    </w:rPr>
  </w:style>
  <w:style w:type="paragraph" w:styleId="KonuBal">
    <w:name w:val="Title"/>
    <w:basedOn w:val="Normal"/>
    <w:link w:val="KonuBalChar"/>
    <w:qFormat/>
    <w:rsid w:val="00FE2087"/>
    <w:pPr>
      <w:widowControl w:val="0"/>
      <w:overflowPunct w:val="0"/>
      <w:autoSpaceDE w:val="0"/>
      <w:autoSpaceDN w:val="0"/>
      <w:adjustRightInd w:val="0"/>
      <w:jc w:val="center"/>
    </w:pPr>
    <w:rPr>
      <w:szCs w:val="20"/>
    </w:rPr>
  </w:style>
  <w:style w:type="character" w:customStyle="1" w:styleId="TitleChar">
    <w:name w:val="Title Char"/>
    <w:rsid w:val="00FE2087"/>
    <w:rPr>
      <w:rFonts w:ascii="Calibri Light" w:eastAsia="Times New Roman" w:hAnsi="Calibri Light" w:cs="Times New Roman"/>
      <w:b/>
      <w:bCs/>
      <w:kern w:val="28"/>
      <w:sz w:val="32"/>
      <w:szCs w:val="32"/>
    </w:rPr>
  </w:style>
  <w:style w:type="character" w:customStyle="1" w:styleId="KonuBalChar">
    <w:name w:val="Konu Başlığı Char"/>
    <w:link w:val="KonuBal"/>
    <w:rsid w:val="00FE2087"/>
    <w:rPr>
      <w:sz w:val="24"/>
    </w:rPr>
  </w:style>
  <w:style w:type="paragraph" w:styleId="BalonMetni">
    <w:name w:val="Balloon Text"/>
    <w:basedOn w:val="Normal"/>
    <w:link w:val="BalonMetniChar"/>
    <w:rsid w:val="008E69AB"/>
    <w:rPr>
      <w:rFonts w:ascii="Segoe UI" w:hAnsi="Segoe UI" w:cs="Segoe UI"/>
      <w:sz w:val="18"/>
      <w:szCs w:val="18"/>
    </w:rPr>
  </w:style>
  <w:style w:type="character" w:customStyle="1" w:styleId="BalonMetniChar">
    <w:name w:val="Balon Metni Char"/>
    <w:link w:val="BalonMetni"/>
    <w:rsid w:val="008E69AB"/>
    <w:rPr>
      <w:rFonts w:ascii="Segoe UI" w:hAnsi="Segoe UI" w:cs="Segoe UI"/>
      <w:sz w:val="18"/>
      <w:szCs w:val="18"/>
    </w:rPr>
  </w:style>
  <w:style w:type="character" w:styleId="SayfaNumaras">
    <w:name w:val="page number"/>
    <w:basedOn w:val="VarsaylanParagrafYazTipi"/>
    <w:rsid w:val="00D47E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1058</Words>
  <Characters>6032</Characters>
  <Application>Microsoft Office Word</Application>
  <DocSecurity>0</DocSecurity>
  <Lines>50</Lines>
  <Paragraphs>14</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ANAYASA MAHKEMESI</Company>
  <LinksUpToDate>false</LinksUpToDate>
  <CharactersWithSpaces>7076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cp:lastPrinted>2025-05-30T07:47:00Z</cp:lastPrinted>
  <dcterms:created xsi:type="dcterms:W3CDTF">2025-06-02T07:06:00Z</dcterms:created>
  <dcterms:modified xsi:type="dcterms:W3CDTF">2025-06-02T07:06:00Z</dcterms:modified>
</cp:coreProperties>
</file>