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A76" w:rsidRDefault="00F21A76" w:rsidP="00BE4370">
      <w:pPr>
        <w:spacing w:after="200"/>
        <w:ind w:right="283"/>
        <w:jc w:val="center"/>
        <w:rPr>
          <w:b/>
          <w:bCs/>
          <w:caps/>
          <w:color w:val="010000"/>
          <w:lang w:eastAsia="zh-CN"/>
        </w:rPr>
      </w:pPr>
      <w:r w:rsidRPr="00BE4370">
        <w:rPr>
          <w:b/>
          <w:bCs/>
          <w:caps/>
          <w:color w:val="010000"/>
          <w:lang w:eastAsia="zh-CN"/>
        </w:rPr>
        <w:t>ANAYASA MAHKEMESİ KARARI</w:t>
      </w:r>
    </w:p>
    <w:p w:rsidR="00BE4370" w:rsidRPr="00BE4370" w:rsidRDefault="00BE4370" w:rsidP="00BE4370">
      <w:pPr>
        <w:spacing w:after="200"/>
        <w:ind w:right="283" w:firstLine="709"/>
        <w:jc w:val="center"/>
        <w:rPr>
          <w:b/>
          <w:bCs/>
          <w:caps/>
          <w:color w:val="010000"/>
          <w:lang w:eastAsia="zh-CN"/>
        </w:rPr>
      </w:pPr>
    </w:p>
    <w:p w:rsidR="00BE4370" w:rsidRDefault="00BE4370" w:rsidP="00BE4370">
      <w:pPr>
        <w:rPr>
          <w:b/>
          <w:bCs/>
          <w:color w:val="010000"/>
          <w:lang w:eastAsia="zh-CN"/>
        </w:rPr>
      </w:pPr>
      <w:bookmarkStart w:id="0"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2025/76</w:t>
      </w:r>
    </w:p>
    <w:p w:rsidR="00BE4370" w:rsidRDefault="00BE4370" w:rsidP="00BE4370">
      <w:pPr>
        <w:rPr>
          <w:b/>
          <w:color w:val="010000"/>
        </w:rPr>
      </w:pPr>
      <w:r>
        <w:rPr>
          <w:b/>
          <w:color w:val="010000"/>
        </w:rPr>
        <w:t xml:space="preserve">Karar </w:t>
      </w:r>
      <w:proofErr w:type="gramStart"/>
      <w:r>
        <w:rPr>
          <w:b/>
          <w:color w:val="010000"/>
        </w:rPr>
        <w:t>Sayısı :</w:t>
      </w:r>
      <w:proofErr w:type="gramEnd"/>
      <w:r>
        <w:rPr>
          <w:b/>
          <w:color w:val="010000"/>
        </w:rPr>
        <w:t xml:space="preserve"> 2025/64</w:t>
      </w:r>
    </w:p>
    <w:p w:rsidR="00BE4370" w:rsidRDefault="00BE4370" w:rsidP="00BE4370">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BE4370" w:rsidRDefault="00BE4370" w:rsidP="00BE4370">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66237" w:rsidRPr="00BE4370" w:rsidRDefault="00C66237" w:rsidP="00BE4370">
      <w:pPr>
        <w:rPr>
          <w:b/>
          <w:color w:val="010000"/>
        </w:rPr>
      </w:pPr>
    </w:p>
    <w:bookmarkEnd w:id="0"/>
    <w:p w:rsidR="00F21A76" w:rsidRPr="00BE4370" w:rsidRDefault="00F21A76" w:rsidP="00BE4370">
      <w:pPr>
        <w:spacing w:after="200"/>
        <w:ind w:right="283" w:firstLine="709"/>
        <w:jc w:val="both"/>
        <w:rPr>
          <w:color w:val="010000"/>
        </w:rPr>
      </w:pPr>
      <w:r w:rsidRPr="00BE4370">
        <w:rPr>
          <w:rFonts w:eastAsia="Calibri"/>
          <w:b/>
          <w:bCs/>
          <w:color w:val="010000"/>
          <w:lang w:eastAsia="en-US"/>
        </w:rPr>
        <w:t xml:space="preserve">İTİRAZ YOLUNA BAŞVURAN: </w:t>
      </w:r>
      <w:r w:rsidRPr="00BE4370">
        <w:rPr>
          <w:color w:val="010000"/>
        </w:rPr>
        <w:t>Ankara 73. İş Mahkemesi</w:t>
      </w:r>
    </w:p>
    <w:p w:rsidR="00F21A76" w:rsidRPr="00BE4370" w:rsidRDefault="00F21A76" w:rsidP="00BE4370">
      <w:pPr>
        <w:spacing w:after="200"/>
        <w:ind w:right="283" w:firstLine="709"/>
        <w:jc w:val="both"/>
        <w:rPr>
          <w:color w:val="010000"/>
          <w:lang w:eastAsia="zh-CN"/>
        </w:rPr>
      </w:pPr>
      <w:r w:rsidRPr="00BE4370">
        <w:rPr>
          <w:rFonts w:eastAsia="Calibri"/>
          <w:b/>
          <w:bCs/>
          <w:color w:val="010000"/>
          <w:lang w:eastAsia="en-US"/>
        </w:rPr>
        <w:t xml:space="preserve">İTİRAZIN KONUSU: </w:t>
      </w:r>
      <w:r w:rsidRPr="00BE4370">
        <w:rPr>
          <w:color w:val="010000"/>
        </w:rPr>
        <w:t>12/1/2011 tarihli ve 6100 sayılı Hukuk Muhakemeleri Kanunu’nun 107. maddesinin (1) numaralı fıkrasında yer alan “</w:t>
      </w:r>
      <w:r w:rsidRPr="00BE4370">
        <w:rPr>
          <w:i/>
          <w:color w:val="010000"/>
        </w:rPr>
        <w:t>…asgari bir…</w:t>
      </w:r>
      <w:r w:rsidRPr="00BE4370">
        <w:rPr>
          <w:color w:val="010000"/>
        </w:rPr>
        <w:t xml:space="preserve">” ibaresinin </w:t>
      </w:r>
      <w:r w:rsidRPr="00BE4370">
        <w:rPr>
          <w:color w:val="010000"/>
          <w:lang w:eastAsia="zh-CN"/>
        </w:rPr>
        <w:t>Anayasa’nın 2., 5., 10., 13., 36., 40. ve 141. maddelerine aykırılığı ileri sürülerek iptaline karar verilmesi talebidir.</w:t>
      </w:r>
    </w:p>
    <w:p w:rsidR="00F21A76" w:rsidRPr="00BE4370" w:rsidRDefault="00F21A76" w:rsidP="00BE4370">
      <w:pPr>
        <w:spacing w:after="200"/>
        <w:ind w:right="283" w:firstLine="709"/>
        <w:jc w:val="both"/>
        <w:rPr>
          <w:color w:val="010000"/>
          <w:lang w:eastAsia="en-US"/>
        </w:rPr>
      </w:pPr>
      <w:r w:rsidRPr="00BE4370">
        <w:rPr>
          <w:rFonts w:eastAsia="Calibri"/>
          <w:b/>
          <w:bCs/>
          <w:color w:val="010000"/>
          <w:lang w:eastAsia="en-US"/>
        </w:rPr>
        <w:t>OLAY:</w:t>
      </w:r>
      <w:r w:rsidRPr="00BE4370">
        <w:rPr>
          <w:rFonts w:eastAsia="Calibri"/>
          <w:color w:val="010000"/>
          <w:lang w:eastAsia="en-US"/>
        </w:rPr>
        <w:t xml:space="preserve"> </w:t>
      </w:r>
      <w:bookmarkStart w:id="1" w:name="_Hlk187326928"/>
      <w:r w:rsidRPr="00BE4370">
        <w:rPr>
          <w:color w:val="010000"/>
          <w:lang w:eastAsia="en-US"/>
        </w:rPr>
        <w:t>İşçilik alacağından kaynaklanan davada itiraz konusu kuralın Anayasa’ya aykırı olduğu kanısına varan Mahkeme, iptali için başvurmuştur.</w:t>
      </w:r>
      <w:bookmarkEnd w:id="1"/>
    </w:p>
    <w:p w:rsidR="00F21A76" w:rsidRPr="00BE4370" w:rsidRDefault="00F21A76" w:rsidP="00BE4370">
      <w:pPr>
        <w:spacing w:after="200"/>
        <w:ind w:right="283" w:firstLine="709"/>
        <w:jc w:val="both"/>
        <w:rPr>
          <w:rFonts w:eastAsia="Calibri"/>
          <w:b/>
          <w:bCs/>
          <w:color w:val="010000"/>
          <w:lang w:eastAsia="en-US"/>
        </w:rPr>
      </w:pPr>
      <w:r w:rsidRPr="00BE4370">
        <w:rPr>
          <w:rFonts w:eastAsia="Calibri"/>
          <w:b/>
          <w:bCs/>
          <w:color w:val="010000"/>
          <w:lang w:eastAsia="en-US"/>
        </w:rPr>
        <w:t xml:space="preserve">I. İPTALİ İSTENEN KANUN HÜKMÜ </w:t>
      </w:r>
    </w:p>
    <w:p w:rsidR="00F21A76" w:rsidRPr="00BE4370" w:rsidRDefault="00F21A76" w:rsidP="00BE4370">
      <w:pPr>
        <w:spacing w:after="200"/>
        <w:ind w:right="283" w:firstLine="709"/>
        <w:jc w:val="both"/>
        <w:rPr>
          <w:color w:val="010000"/>
        </w:rPr>
      </w:pPr>
      <w:r w:rsidRPr="00BE4370">
        <w:rPr>
          <w:color w:val="010000"/>
        </w:rPr>
        <w:t xml:space="preserve">Kanun’un </w:t>
      </w:r>
      <w:r w:rsidRPr="00BE4370">
        <w:rPr>
          <w:rFonts w:eastAsia="Calibri"/>
          <w:color w:val="010000"/>
        </w:rPr>
        <w:t>itiraz konusu kuralın da yer aldığı 107</w:t>
      </w:r>
      <w:r w:rsidRPr="00BE4370">
        <w:rPr>
          <w:color w:val="010000"/>
        </w:rPr>
        <w:t>. maddesi şöyledir:</w:t>
      </w:r>
    </w:p>
    <w:p w:rsidR="00F21A76" w:rsidRPr="00BE4370" w:rsidRDefault="00BE4370" w:rsidP="00BE4370">
      <w:pPr>
        <w:spacing w:after="200"/>
        <w:ind w:right="283" w:firstLine="709"/>
        <w:jc w:val="both"/>
        <w:rPr>
          <w:i/>
          <w:color w:val="010000"/>
          <w:szCs w:val="22"/>
        </w:rPr>
      </w:pPr>
      <w:r w:rsidRPr="00BE4370">
        <w:rPr>
          <w:color w:val="010000"/>
          <w:szCs w:val="22"/>
        </w:rPr>
        <w:t xml:space="preserve"> </w:t>
      </w:r>
      <w:r w:rsidR="00F21A76" w:rsidRPr="00BE4370">
        <w:rPr>
          <w:color w:val="010000"/>
          <w:szCs w:val="22"/>
        </w:rPr>
        <w:t>“</w:t>
      </w:r>
      <w:r w:rsidR="00F21A76" w:rsidRPr="00BE4370">
        <w:rPr>
          <w:i/>
          <w:color w:val="010000"/>
          <w:szCs w:val="22"/>
        </w:rPr>
        <w:t>Belirsiz alacak davası</w:t>
      </w:r>
    </w:p>
    <w:p w:rsidR="00F21A76" w:rsidRPr="00BE4370" w:rsidRDefault="00F21A76" w:rsidP="00BE4370">
      <w:pPr>
        <w:spacing w:after="200"/>
        <w:ind w:right="283" w:firstLine="709"/>
        <w:jc w:val="both"/>
        <w:rPr>
          <w:i/>
          <w:color w:val="010000"/>
          <w:szCs w:val="22"/>
        </w:rPr>
      </w:pPr>
      <w:r w:rsidRPr="00BE4370">
        <w:rPr>
          <w:i/>
          <w:color w:val="010000"/>
          <w:szCs w:val="22"/>
        </w:rPr>
        <w:t xml:space="preserve">MADDE 107– (1) Davanın açıldığı tarihte alacağın miktarını yahut değerini tam ve kesin olarak belirleyebilmesinin kendisinden beklenemeyeceği veya bunun imkânsız olduğu hâllerde, alacaklı, hukuki ilişkiyi ve </w:t>
      </w:r>
      <w:r w:rsidRPr="00BE4370">
        <w:rPr>
          <w:b/>
          <w:i/>
          <w:color w:val="010000"/>
          <w:szCs w:val="22"/>
          <w:u w:val="single"/>
        </w:rPr>
        <w:t>asgari bir</w:t>
      </w:r>
      <w:r w:rsidRPr="00BE4370">
        <w:rPr>
          <w:i/>
          <w:color w:val="010000"/>
          <w:szCs w:val="22"/>
        </w:rPr>
        <w:t xml:space="preserve"> miktar ya da değeri belirtmek suretiyle belirsiz alacak davası açabilir.</w:t>
      </w:r>
    </w:p>
    <w:p w:rsidR="00F21A76" w:rsidRPr="00BE4370" w:rsidRDefault="00BE4370" w:rsidP="00BE4370">
      <w:pPr>
        <w:spacing w:after="200"/>
        <w:ind w:right="283" w:firstLine="709"/>
        <w:jc w:val="both"/>
        <w:rPr>
          <w:i/>
          <w:color w:val="010000"/>
          <w:szCs w:val="22"/>
        </w:rPr>
      </w:pPr>
      <w:r w:rsidRPr="00BE4370">
        <w:rPr>
          <w:i/>
          <w:color w:val="010000"/>
          <w:szCs w:val="22"/>
        </w:rPr>
        <w:t xml:space="preserve"> </w:t>
      </w:r>
      <w:r w:rsidR="00F21A76" w:rsidRPr="00BE4370">
        <w:rPr>
          <w:i/>
          <w:color w:val="010000"/>
          <w:szCs w:val="22"/>
        </w:rPr>
        <w:t xml:space="preserve">(2) (Değişik:22/7/2020-7251/7 </w:t>
      </w:r>
      <w:proofErr w:type="spellStart"/>
      <w:r w:rsidR="00F21A76" w:rsidRPr="00BE4370">
        <w:rPr>
          <w:i/>
          <w:color w:val="010000"/>
          <w:szCs w:val="22"/>
        </w:rPr>
        <w:t>md.</w:t>
      </w:r>
      <w:proofErr w:type="spellEnd"/>
      <w:r w:rsidR="00F21A76" w:rsidRPr="00BE4370">
        <w:rPr>
          <w:i/>
          <w:color w:val="010000"/>
          <w:szCs w:val="22"/>
        </w:rPr>
        <w:t>) Karşı tarafın verdiği bilgi veya tahkikat sonucu alacağın miktarı veya değerinin tam ve kesin olarak belirlenebilmesi mümkün olduğunda, hâkim tarafından tahkikat sona ermeden verilecek iki haftalık kesin süre içinde davacı, iddianın genişletilmesi yasağına tabi olmaksızın talebini tam ve kesin olarak belirleyebilir. Aksi takdirde dava, talep sonucunda belirtilen miktar veya değer üzerinden görülüp karara bağlanır.</w:t>
      </w:r>
    </w:p>
    <w:p w:rsidR="00F21A76" w:rsidRPr="00BE4370" w:rsidRDefault="00BE4370" w:rsidP="00BE4370">
      <w:pPr>
        <w:spacing w:after="200"/>
        <w:ind w:right="283" w:firstLine="709"/>
        <w:jc w:val="both"/>
        <w:rPr>
          <w:rFonts w:eastAsia="Calibri"/>
          <w:b/>
          <w:color w:val="010000"/>
        </w:rPr>
      </w:pPr>
      <w:r w:rsidRPr="00BE4370">
        <w:rPr>
          <w:i/>
          <w:color w:val="010000"/>
          <w:szCs w:val="22"/>
        </w:rPr>
        <w:t xml:space="preserve"> </w:t>
      </w:r>
      <w:r w:rsidR="00F21A76" w:rsidRPr="00BE4370">
        <w:rPr>
          <w:i/>
          <w:color w:val="010000"/>
          <w:szCs w:val="22"/>
        </w:rPr>
        <w:t xml:space="preserve">(3) (Mülga:22/7/2020-7251/7 </w:t>
      </w:r>
      <w:proofErr w:type="spellStart"/>
      <w:r w:rsidR="00F21A76" w:rsidRPr="00BE4370">
        <w:rPr>
          <w:i/>
          <w:color w:val="010000"/>
          <w:szCs w:val="22"/>
        </w:rPr>
        <w:t>md.</w:t>
      </w:r>
      <w:proofErr w:type="spellEnd"/>
      <w:r w:rsidR="00F21A76" w:rsidRPr="00BE4370">
        <w:rPr>
          <w:i/>
          <w:color w:val="010000"/>
          <w:szCs w:val="22"/>
        </w:rPr>
        <w:t>)</w:t>
      </w:r>
      <w:r w:rsidR="00F21A76" w:rsidRPr="00BE4370">
        <w:rPr>
          <w:color w:val="010000"/>
          <w:szCs w:val="22"/>
        </w:rPr>
        <w:t>”</w:t>
      </w:r>
    </w:p>
    <w:p w:rsidR="00F21A76" w:rsidRPr="00BE4370" w:rsidRDefault="00F21A76" w:rsidP="00BE4370">
      <w:pPr>
        <w:spacing w:after="200"/>
        <w:ind w:right="283" w:firstLine="709"/>
        <w:jc w:val="both"/>
        <w:rPr>
          <w:rFonts w:eastAsia="Calibri"/>
          <w:b/>
          <w:bCs/>
          <w:color w:val="010000"/>
          <w:lang w:eastAsia="en-US"/>
        </w:rPr>
      </w:pPr>
      <w:r w:rsidRPr="00BE4370">
        <w:rPr>
          <w:rFonts w:eastAsia="Calibri"/>
          <w:b/>
          <w:bCs/>
          <w:color w:val="010000"/>
          <w:lang w:eastAsia="en-US"/>
        </w:rPr>
        <w:t>II. İLK İNCELEME</w:t>
      </w:r>
    </w:p>
    <w:p w:rsidR="00F21A76" w:rsidRPr="00BE4370" w:rsidRDefault="00F21A76" w:rsidP="00BE4370">
      <w:pPr>
        <w:spacing w:after="200"/>
        <w:ind w:right="283" w:firstLine="709"/>
        <w:jc w:val="both"/>
        <w:rPr>
          <w:rFonts w:eastAsia="Calibri"/>
          <w:color w:val="010000"/>
          <w:lang w:eastAsia="en-US"/>
        </w:rPr>
      </w:pPr>
      <w:r w:rsidRPr="00BE4370">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F21A76" w:rsidRPr="00BE4370" w:rsidRDefault="00F21A76" w:rsidP="00BE4370">
      <w:pPr>
        <w:spacing w:after="200"/>
        <w:ind w:right="283" w:firstLine="709"/>
        <w:jc w:val="both"/>
        <w:rPr>
          <w:bCs/>
          <w:color w:val="010000"/>
          <w:shd w:val="clear" w:color="auto" w:fill="FFFFFF"/>
        </w:rPr>
      </w:pPr>
      <w:r w:rsidRPr="00BE4370">
        <w:rPr>
          <w:bCs/>
          <w:color w:val="010000"/>
          <w:shd w:val="clear" w:color="auto" w:fill="FFFFFF"/>
        </w:rPr>
        <w:t>2.</w:t>
      </w:r>
      <w:r w:rsidR="00BE4370" w:rsidRPr="00BE4370">
        <w:rPr>
          <w:bCs/>
          <w:color w:val="010000"/>
          <w:shd w:val="clear" w:color="auto" w:fill="FFFFFF"/>
        </w:rPr>
        <w:t xml:space="preserve"> </w:t>
      </w:r>
      <w:r w:rsidRPr="00BE4370">
        <w:rPr>
          <w:bCs/>
          <w:color w:val="010000"/>
          <w:shd w:val="clear" w:color="auto" w:fill="FFFFFF"/>
        </w:rPr>
        <w:t>30/3/2011 tarihli ve 6216 sayılı Anayasa Mahkemesinin Kuruluşu ve Yargılama Usulleri Hakkında Kanun'un “</w:t>
      </w:r>
      <w:r w:rsidRPr="00BE4370">
        <w:rPr>
          <w:bCs/>
          <w:i/>
          <w:iCs/>
          <w:color w:val="010000"/>
          <w:shd w:val="clear" w:color="auto" w:fill="FFFFFF"/>
        </w:rPr>
        <w:t>Anayasaya aykırılığın mahkemelerce ileri sürülmesi</w:t>
      </w:r>
      <w:r w:rsidRPr="00BE4370">
        <w:rPr>
          <w:bCs/>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BE4370">
        <w:rPr>
          <w:bCs/>
          <w:i/>
          <w:iCs/>
          <w:color w:val="010000"/>
          <w:shd w:val="clear" w:color="auto" w:fill="FFFFFF"/>
        </w:rPr>
        <w:t>İptali istenen kuralların Anayasanın hangi maddelerine aykırı olduklarını açıklayan gerekçeli başvuru kararının aslı</w:t>
      </w:r>
      <w:r w:rsidRPr="00BE4370">
        <w:rPr>
          <w:bCs/>
          <w:color w:val="010000"/>
          <w:shd w:val="clear" w:color="auto" w:fill="FFFFFF"/>
        </w:rPr>
        <w:t>”, (b) bendinde “</w:t>
      </w:r>
      <w:r w:rsidRPr="00BE4370">
        <w:rPr>
          <w:bCs/>
          <w:i/>
          <w:iCs/>
          <w:color w:val="010000"/>
          <w:shd w:val="clear" w:color="auto" w:fill="FFFFFF"/>
        </w:rPr>
        <w:t>Başvuru kararına ilişkin tutanağın onaylı örneği</w:t>
      </w:r>
      <w:r w:rsidRPr="00BE4370">
        <w:rPr>
          <w:bCs/>
          <w:color w:val="010000"/>
          <w:shd w:val="clear" w:color="auto" w:fill="FFFFFF"/>
        </w:rPr>
        <w:t>” ve (c) bendinde “</w:t>
      </w:r>
      <w:r w:rsidRPr="00BE4370">
        <w:rPr>
          <w:bCs/>
          <w:i/>
          <w:iCs/>
          <w:color w:val="010000"/>
          <w:shd w:val="clear" w:color="auto" w:fill="FFFFFF"/>
        </w:rPr>
        <w:t>Dava dilekçesi, iddianame veya davayı açan belgeler ile dosyanın ilgili bölümlerinin onaylı örnekleri</w:t>
      </w:r>
      <w:r w:rsidRPr="00BE4370">
        <w:rPr>
          <w:bCs/>
          <w:color w:val="010000"/>
          <w:shd w:val="clear" w:color="auto" w:fill="FFFFFF"/>
        </w:rPr>
        <w:t xml:space="preserve">” Anayasa Mahkemesine </w:t>
      </w:r>
      <w:r w:rsidRPr="00BE4370">
        <w:rPr>
          <w:bCs/>
          <w:color w:val="010000"/>
          <w:shd w:val="clear" w:color="auto" w:fill="FFFFFF"/>
        </w:rPr>
        <w:lastRenderedPageBreak/>
        <w:t>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F21A76" w:rsidRPr="00BE4370" w:rsidRDefault="00F21A76" w:rsidP="00BE4370">
      <w:pPr>
        <w:spacing w:after="200"/>
        <w:ind w:right="283" w:firstLine="709"/>
        <w:jc w:val="both"/>
        <w:rPr>
          <w:bCs/>
          <w:color w:val="010000"/>
          <w:shd w:val="clear" w:color="auto" w:fill="FFFFFF"/>
        </w:rPr>
      </w:pPr>
      <w:r w:rsidRPr="00BE4370">
        <w:rPr>
          <w:bCs/>
          <w:color w:val="010000"/>
          <w:shd w:val="clear" w:color="auto" w:fill="FFFFFF"/>
        </w:rPr>
        <w:t xml:space="preserve">3. Anılan </w:t>
      </w:r>
      <w:proofErr w:type="spellStart"/>
      <w:r w:rsidRPr="00BE4370">
        <w:rPr>
          <w:bCs/>
          <w:color w:val="010000"/>
          <w:shd w:val="clear" w:color="auto" w:fill="FFFFFF"/>
        </w:rPr>
        <w:t>İçtüzük’ün</w:t>
      </w:r>
      <w:proofErr w:type="spellEnd"/>
      <w:r w:rsidRPr="00BE4370">
        <w:rPr>
          <w:bCs/>
          <w:color w:val="010000"/>
          <w:shd w:val="clear" w:color="auto" w:fill="FFFFFF"/>
        </w:rPr>
        <w:t xml:space="preserve"> 46. maddesinin (2) numaralı fıkrasının</w:t>
      </w:r>
      <w:r w:rsidR="00BE4370" w:rsidRPr="00BE4370">
        <w:rPr>
          <w:bCs/>
          <w:color w:val="010000"/>
          <w:shd w:val="clear" w:color="auto" w:fill="FFFFFF"/>
        </w:rPr>
        <w:t xml:space="preserve"> </w:t>
      </w:r>
      <w:r w:rsidRPr="00BE4370">
        <w:rPr>
          <w:bCs/>
          <w:color w:val="010000"/>
          <w:shd w:val="clear" w:color="auto" w:fill="FFFFFF"/>
        </w:rPr>
        <w:t>(a) bendinde “</w:t>
      </w:r>
      <w:r w:rsidRPr="00BE4370">
        <w:rPr>
          <w:bCs/>
          <w:i/>
          <w:iCs/>
          <w:color w:val="010000"/>
          <w:shd w:val="clear" w:color="auto" w:fill="FFFFFF"/>
        </w:rPr>
        <w:t>Başvuru kararına ilişkin tutanağın onaylı örneği</w:t>
      </w:r>
      <w:r w:rsidRPr="00BE4370">
        <w:rPr>
          <w:bCs/>
          <w:color w:val="010000"/>
          <w:shd w:val="clear" w:color="auto" w:fill="FFFFFF"/>
        </w:rPr>
        <w:t>”, (b) bendinde “</w:t>
      </w:r>
      <w:r w:rsidRPr="00BE4370">
        <w:rPr>
          <w:bCs/>
          <w:i/>
          <w:iCs/>
          <w:color w:val="010000"/>
          <w:shd w:val="clear" w:color="auto" w:fill="FFFFFF"/>
        </w:rPr>
        <w:t>Dava dilekçesi, iddianame veya davayı açan belgeler ile dosyanın ilgili bölümlerinin onaylı örnekleri</w:t>
      </w:r>
      <w:r w:rsidRPr="00BE4370">
        <w:rPr>
          <w:bCs/>
          <w:color w:val="010000"/>
          <w:shd w:val="clear" w:color="auto" w:fill="FFFFFF"/>
        </w:rPr>
        <w:t>” ve (c) bendinde “</w:t>
      </w:r>
      <w:r w:rsidRPr="00BE4370">
        <w:rPr>
          <w:bCs/>
          <w:i/>
          <w:iCs/>
          <w:color w:val="010000"/>
          <w:shd w:val="clear" w:color="auto" w:fill="FFFFFF"/>
        </w:rPr>
        <w:t>Dava dosyasında sunulan belgelerin tarih sırasına göre başlıklar hâlinde sıralandığı dizi pusulası</w:t>
      </w:r>
      <w:r w:rsidRPr="00BE4370">
        <w:rPr>
          <w:bCs/>
          <w:color w:val="010000"/>
          <w:shd w:val="clear" w:color="auto" w:fill="FFFFFF"/>
        </w:rPr>
        <w:t>” Anayasa Mahkemesine sunulacak belgeler arasında sayılmıştır.</w:t>
      </w:r>
    </w:p>
    <w:p w:rsidR="00F21A76" w:rsidRPr="00BE4370" w:rsidRDefault="00F21A76" w:rsidP="00BE4370">
      <w:pPr>
        <w:spacing w:after="200"/>
        <w:ind w:right="283" w:firstLine="709"/>
        <w:jc w:val="both"/>
        <w:rPr>
          <w:bCs/>
          <w:color w:val="010000"/>
          <w:shd w:val="clear" w:color="auto" w:fill="FFFFFF"/>
        </w:rPr>
      </w:pPr>
      <w:r w:rsidRPr="00BE4370">
        <w:rPr>
          <w:bCs/>
          <w:color w:val="010000"/>
          <w:shd w:val="clear" w:color="auto" w:fill="FFFFFF"/>
        </w:rPr>
        <w:t xml:space="preserve">4. </w:t>
      </w:r>
      <w:proofErr w:type="spellStart"/>
      <w:r w:rsidRPr="00BE4370">
        <w:rPr>
          <w:bCs/>
          <w:color w:val="010000"/>
          <w:shd w:val="clear" w:color="auto" w:fill="FFFFFF"/>
        </w:rPr>
        <w:t>İçtüzük’ün</w:t>
      </w:r>
      <w:proofErr w:type="spellEnd"/>
      <w:r w:rsidRPr="00BE4370">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F21A76" w:rsidRPr="00BE4370" w:rsidRDefault="00F21A76" w:rsidP="00BE4370">
      <w:pPr>
        <w:spacing w:after="200"/>
        <w:ind w:right="283" w:firstLine="709"/>
        <w:jc w:val="both"/>
        <w:rPr>
          <w:bCs/>
          <w:color w:val="010000"/>
          <w:shd w:val="clear" w:color="auto" w:fill="FFFFFF"/>
        </w:rPr>
      </w:pPr>
      <w:r w:rsidRPr="00BE4370">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BE4370">
        <w:rPr>
          <w:bCs/>
          <w:i/>
          <w:iCs/>
          <w:color w:val="010000"/>
          <w:shd w:val="clear" w:color="auto" w:fill="FFFFFF"/>
        </w:rPr>
        <w:t>dosyanın ilgili bölümlerinin onaylı örneklerine</w:t>
      </w:r>
      <w:r w:rsidR="00BE4370" w:rsidRPr="00BE4370">
        <w:rPr>
          <w:bCs/>
          <w:i/>
          <w:iCs/>
          <w:color w:val="010000"/>
          <w:shd w:val="clear" w:color="auto" w:fill="FFFFFF"/>
        </w:rPr>
        <w:t xml:space="preserve"> </w:t>
      </w:r>
      <w:r w:rsidRPr="00BE4370">
        <w:rPr>
          <w:bCs/>
          <w:color w:val="010000"/>
          <w:shd w:val="clear" w:color="auto" w:fill="FFFFFF"/>
        </w:rPr>
        <w:t xml:space="preserve">yer verilmediği anlaşılmıştır. Ayrıca söz konusu belgelerin </w:t>
      </w:r>
      <w:r w:rsidRPr="00BE4370">
        <w:rPr>
          <w:bCs/>
          <w:i/>
          <w:iCs/>
          <w:color w:val="010000"/>
          <w:shd w:val="clear" w:color="auto" w:fill="FFFFFF"/>
        </w:rPr>
        <w:t xml:space="preserve">tarih sırasına göre başlıklar hâlinde sıralandığı dizi pusulasının </w:t>
      </w:r>
      <w:r w:rsidRPr="00BE4370">
        <w:rPr>
          <w:bCs/>
          <w:iCs/>
          <w:color w:val="010000"/>
          <w:shd w:val="clear" w:color="auto" w:fill="FFFFFF"/>
        </w:rPr>
        <w:t xml:space="preserve">da düzenlenmediği tespit edilmiştir. </w:t>
      </w:r>
      <w:r w:rsidRPr="00BE4370">
        <w:rPr>
          <w:bCs/>
          <w:color w:val="010000"/>
          <w:shd w:val="clear" w:color="auto" w:fill="FFFFFF"/>
        </w:rPr>
        <w:t xml:space="preserve">Bu itibarla başvurunun yöntemine uygun olmadığı sonucuna ulaşılmıştır. </w:t>
      </w:r>
    </w:p>
    <w:p w:rsidR="00F21A76" w:rsidRPr="00BE4370" w:rsidRDefault="00F21A76" w:rsidP="00BE4370">
      <w:pPr>
        <w:spacing w:after="200"/>
        <w:ind w:right="283" w:firstLine="709"/>
        <w:jc w:val="both"/>
        <w:rPr>
          <w:color w:val="010000"/>
          <w:shd w:val="clear" w:color="auto" w:fill="FFFFFF"/>
        </w:rPr>
      </w:pPr>
      <w:r w:rsidRPr="00BE4370">
        <w:rPr>
          <w:color w:val="010000"/>
          <w:shd w:val="clear" w:color="auto" w:fill="FFFFFF"/>
        </w:rPr>
        <w:t xml:space="preserve">6. </w:t>
      </w:r>
      <w:r w:rsidRPr="00BE4370">
        <w:rPr>
          <w:rFonts w:eastAsia="Calibri"/>
          <w:color w:val="010000"/>
          <w:lang w:eastAsia="en-US"/>
        </w:rPr>
        <w:t xml:space="preserve">Kaldı ki bakılmakta olan davanın 6100 sayılı Kanun’un 109. maddesinde düzenlenen kısmi dava olarak açıldığı gözetildiğinde belirsiz alacak davasına ilişkin düzenlemeler içeren itiraz konusu kuralın bakılmakta olan davada </w:t>
      </w:r>
      <w:r w:rsidRPr="00BE4370">
        <w:rPr>
          <w:color w:val="010000"/>
          <w:shd w:val="clear" w:color="auto" w:fill="FFFFFF"/>
        </w:rPr>
        <w:t>uygulanma imkânı bulunmamaktadır.</w:t>
      </w:r>
    </w:p>
    <w:p w:rsidR="00F21A76" w:rsidRPr="00BE4370" w:rsidRDefault="00F21A76" w:rsidP="00BE4370">
      <w:pPr>
        <w:spacing w:after="200"/>
        <w:ind w:right="283" w:firstLine="709"/>
        <w:jc w:val="both"/>
        <w:rPr>
          <w:color w:val="010000"/>
          <w:shd w:val="clear" w:color="auto" w:fill="FFFFFF"/>
        </w:rPr>
      </w:pPr>
      <w:r w:rsidRPr="00BE4370">
        <w:rPr>
          <w:color w:val="010000"/>
          <w:shd w:val="clear" w:color="auto" w:fill="FFFFFF"/>
        </w:rPr>
        <w:t xml:space="preserve">7. Açıklanan nedenlerle 6216 sayılı Kanun’un 40. maddesinin (1) numaralı fıkrasının (c) bendi ile </w:t>
      </w:r>
      <w:proofErr w:type="spellStart"/>
      <w:r w:rsidRPr="00BE4370">
        <w:rPr>
          <w:color w:val="010000"/>
          <w:shd w:val="clear" w:color="auto" w:fill="FFFFFF"/>
        </w:rPr>
        <w:t>İçtüzük’ün</w:t>
      </w:r>
      <w:proofErr w:type="spellEnd"/>
      <w:r w:rsidRPr="00BE4370">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F21A76" w:rsidRPr="00BE4370" w:rsidRDefault="00F21A76" w:rsidP="00BE4370">
      <w:pPr>
        <w:overflowPunct w:val="0"/>
        <w:autoSpaceDE w:val="0"/>
        <w:autoSpaceDN w:val="0"/>
        <w:adjustRightInd w:val="0"/>
        <w:spacing w:after="200"/>
        <w:ind w:right="283" w:firstLine="709"/>
        <w:jc w:val="both"/>
        <w:rPr>
          <w:rFonts w:eastAsia="Calibri"/>
          <w:b/>
          <w:color w:val="010000"/>
          <w:lang w:eastAsia="en-US"/>
        </w:rPr>
      </w:pPr>
      <w:r w:rsidRPr="00BE4370">
        <w:rPr>
          <w:rFonts w:eastAsia="Calibri"/>
          <w:b/>
          <w:color w:val="010000"/>
          <w:lang w:eastAsia="en-US"/>
        </w:rPr>
        <w:t>III. HÜKÜM</w:t>
      </w:r>
    </w:p>
    <w:p w:rsidR="00F21A76" w:rsidRPr="00BE4370" w:rsidRDefault="00F21A76" w:rsidP="00BE4370">
      <w:pPr>
        <w:spacing w:after="200"/>
        <w:ind w:right="283" w:firstLine="709"/>
        <w:jc w:val="both"/>
        <w:rPr>
          <w:color w:val="010000"/>
        </w:rPr>
      </w:pPr>
      <w:bookmarkStart w:id="2" w:name="_Hlk167364087"/>
      <w:r w:rsidRPr="00BE4370">
        <w:rPr>
          <w:color w:val="010000"/>
        </w:rPr>
        <w:t>12/1/2011 tarihli ve 6100 sayılı Hukuk Muhakemeleri Kanunu’nun 107. maddesinin (1) numaralı fıkrasında yer alan “</w:t>
      </w:r>
      <w:r w:rsidRPr="00BE4370">
        <w:rPr>
          <w:i/>
          <w:color w:val="010000"/>
        </w:rPr>
        <w:t>…asgari bir…</w:t>
      </w:r>
      <w:r w:rsidRPr="00BE4370">
        <w:rPr>
          <w:color w:val="010000"/>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BE4370">
        <w:rPr>
          <w:rFonts w:eastAsia="ヒラギノ明朝 Pro W3"/>
          <w:color w:val="010000"/>
          <w:lang w:eastAsia="en-US"/>
        </w:rPr>
        <w:t xml:space="preserve">6/3/2025 </w:t>
      </w:r>
      <w:r w:rsidRPr="00BE4370">
        <w:rPr>
          <w:color w:val="010000"/>
        </w:rPr>
        <w:t>tarihinde OYBİRLİĞİYLE karar verildi.</w:t>
      </w:r>
    </w:p>
    <w:p w:rsidR="00BE4370" w:rsidRDefault="00BE4370">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21A76" w:rsidRPr="00BE4370" w:rsidTr="00BE4370">
        <w:trPr>
          <w:trHeight w:val="1600"/>
          <w:jc w:val="center"/>
        </w:trPr>
        <w:tc>
          <w:tcPr>
            <w:tcW w:w="1642" w:type="pct"/>
            <w:vAlign w:val="center"/>
            <w:hideMark/>
          </w:tcPr>
          <w:bookmarkEnd w:id="2"/>
          <w:p w:rsidR="00F21A76" w:rsidRPr="00BE4370" w:rsidRDefault="00F21A76" w:rsidP="00BE4370">
            <w:pPr>
              <w:spacing w:after="120"/>
              <w:jc w:val="center"/>
              <w:rPr>
                <w:color w:val="010000"/>
              </w:rPr>
            </w:pPr>
            <w:r w:rsidRPr="00BE4370">
              <w:rPr>
                <w:color w:val="010000"/>
              </w:rPr>
              <w:t>Başkan</w:t>
            </w:r>
          </w:p>
          <w:p w:rsidR="00F21A76" w:rsidRPr="00BE4370" w:rsidRDefault="00F21A76" w:rsidP="00BE4370">
            <w:pPr>
              <w:spacing w:after="120"/>
              <w:jc w:val="center"/>
              <w:rPr>
                <w:color w:val="010000"/>
              </w:rPr>
            </w:pPr>
            <w:r w:rsidRPr="00BE4370">
              <w:rPr>
                <w:color w:val="010000"/>
              </w:rPr>
              <w:t>Kadir ÖZKAYA</w:t>
            </w:r>
          </w:p>
        </w:tc>
        <w:tc>
          <w:tcPr>
            <w:tcW w:w="1679" w:type="pct"/>
            <w:vAlign w:val="center"/>
            <w:hideMark/>
          </w:tcPr>
          <w:p w:rsidR="00F21A76" w:rsidRPr="00BE4370" w:rsidRDefault="00F21A76" w:rsidP="00BE4370">
            <w:pPr>
              <w:spacing w:after="120"/>
              <w:jc w:val="center"/>
              <w:rPr>
                <w:color w:val="010000"/>
              </w:rPr>
            </w:pPr>
            <w:r w:rsidRPr="00BE4370">
              <w:rPr>
                <w:color w:val="010000"/>
              </w:rPr>
              <w:t>Başkanvekili</w:t>
            </w:r>
          </w:p>
          <w:p w:rsidR="00F21A76" w:rsidRPr="00BE4370" w:rsidRDefault="00F21A76" w:rsidP="00BE4370">
            <w:pPr>
              <w:spacing w:after="120"/>
              <w:jc w:val="center"/>
              <w:rPr>
                <w:color w:val="010000"/>
              </w:rPr>
            </w:pPr>
            <w:r w:rsidRPr="00BE4370">
              <w:rPr>
                <w:color w:val="010000"/>
              </w:rPr>
              <w:t>Hasan Tahsin GÖKCAN</w:t>
            </w:r>
          </w:p>
        </w:tc>
        <w:tc>
          <w:tcPr>
            <w:tcW w:w="1679" w:type="pct"/>
            <w:vAlign w:val="center"/>
            <w:hideMark/>
          </w:tcPr>
          <w:p w:rsidR="00F21A76" w:rsidRPr="00BE4370" w:rsidRDefault="00F21A76" w:rsidP="00BE4370">
            <w:pPr>
              <w:spacing w:after="120"/>
              <w:jc w:val="center"/>
              <w:rPr>
                <w:color w:val="010000"/>
              </w:rPr>
            </w:pPr>
            <w:r w:rsidRPr="00BE4370">
              <w:rPr>
                <w:color w:val="010000"/>
              </w:rPr>
              <w:t xml:space="preserve">Başkanvekili </w:t>
            </w:r>
          </w:p>
          <w:p w:rsidR="00F21A76" w:rsidRPr="00BE4370" w:rsidRDefault="00F21A76" w:rsidP="00BE4370">
            <w:pPr>
              <w:spacing w:after="120"/>
              <w:jc w:val="center"/>
              <w:rPr>
                <w:color w:val="010000"/>
              </w:rPr>
            </w:pPr>
            <w:r w:rsidRPr="00BE4370">
              <w:rPr>
                <w:color w:val="010000"/>
              </w:rPr>
              <w:t>Basri BAĞCI</w:t>
            </w:r>
          </w:p>
        </w:tc>
      </w:tr>
      <w:tr w:rsidR="00F21A76" w:rsidRPr="00BE4370" w:rsidTr="00BE4370">
        <w:trPr>
          <w:trHeight w:val="1600"/>
          <w:jc w:val="center"/>
        </w:trPr>
        <w:tc>
          <w:tcPr>
            <w:tcW w:w="1642" w:type="pct"/>
            <w:vAlign w:val="center"/>
            <w:hideMark/>
          </w:tcPr>
          <w:p w:rsidR="00F21A76" w:rsidRPr="00BE4370" w:rsidRDefault="00F21A76" w:rsidP="00BE4370">
            <w:pPr>
              <w:spacing w:after="120"/>
              <w:jc w:val="center"/>
              <w:rPr>
                <w:color w:val="010000"/>
              </w:rPr>
            </w:pPr>
            <w:r w:rsidRPr="00BE4370">
              <w:rPr>
                <w:color w:val="010000"/>
              </w:rPr>
              <w:t xml:space="preserve">Üye </w:t>
            </w:r>
          </w:p>
          <w:p w:rsidR="00F21A76" w:rsidRPr="00BE4370" w:rsidRDefault="00F21A76" w:rsidP="00BE4370">
            <w:pPr>
              <w:spacing w:after="120"/>
              <w:jc w:val="center"/>
              <w:rPr>
                <w:color w:val="010000"/>
              </w:rPr>
            </w:pPr>
            <w:r w:rsidRPr="00BE4370">
              <w:rPr>
                <w:color w:val="010000"/>
              </w:rPr>
              <w:t>Engin YILDIRIM</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color w:val="010000"/>
              </w:rPr>
              <w:t>Rıdvan GÜLEÇ</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bCs/>
                <w:color w:val="010000"/>
              </w:rPr>
              <w:t>Recai AKYEL</w:t>
            </w:r>
          </w:p>
        </w:tc>
      </w:tr>
      <w:tr w:rsidR="00F21A76" w:rsidRPr="00BE4370" w:rsidTr="00BE4370">
        <w:trPr>
          <w:trHeight w:val="1600"/>
          <w:jc w:val="center"/>
        </w:trPr>
        <w:tc>
          <w:tcPr>
            <w:tcW w:w="1642" w:type="pct"/>
            <w:vAlign w:val="center"/>
            <w:hideMark/>
          </w:tcPr>
          <w:p w:rsidR="00F21A76" w:rsidRPr="00BE4370" w:rsidRDefault="00F21A76" w:rsidP="00BE4370">
            <w:pPr>
              <w:spacing w:after="120"/>
              <w:jc w:val="center"/>
              <w:rPr>
                <w:color w:val="010000"/>
              </w:rPr>
            </w:pPr>
            <w:r w:rsidRPr="00BE4370">
              <w:rPr>
                <w:color w:val="010000"/>
              </w:rPr>
              <w:lastRenderedPageBreak/>
              <w:t xml:space="preserve">Üye </w:t>
            </w:r>
          </w:p>
          <w:p w:rsidR="00F21A76" w:rsidRPr="00BE4370" w:rsidRDefault="00F21A76" w:rsidP="00BE4370">
            <w:pPr>
              <w:spacing w:after="120"/>
              <w:jc w:val="center"/>
              <w:rPr>
                <w:color w:val="010000"/>
              </w:rPr>
            </w:pPr>
            <w:r w:rsidRPr="00BE4370">
              <w:rPr>
                <w:bCs/>
                <w:color w:val="010000"/>
              </w:rPr>
              <w:t>Yusuf Şevki HAKYEMEZ</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bCs/>
                <w:color w:val="010000"/>
              </w:rPr>
              <w:t>Yıldız SEFERİNOĞLU</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color w:val="010000"/>
              </w:rPr>
              <w:t>Selahaddin MENTEŞ</w:t>
            </w:r>
          </w:p>
        </w:tc>
      </w:tr>
      <w:tr w:rsidR="00F21A76" w:rsidRPr="00BE4370" w:rsidTr="00BE4370">
        <w:trPr>
          <w:trHeight w:val="1600"/>
          <w:jc w:val="center"/>
        </w:trPr>
        <w:tc>
          <w:tcPr>
            <w:tcW w:w="1642" w:type="pct"/>
            <w:vAlign w:val="center"/>
            <w:hideMark/>
          </w:tcPr>
          <w:p w:rsidR="00F21A76" w:rsidRPr="00BE4370" w:rsidRDefault="00F21A76" w:rsidP="00BE4370">
            <w:pPr>
              <w:spacing w:after="120"/>
              <w:jc w:val="center"/>
              <w:rPr>
                <w:color w:val="010000"/>
              </w:rPr>
            </w:pPr>
            <w:r w:rsidRPr="00BE4370">
              <w:rPr>
                <w:color w:val="010000"/>
              </w:rPr>
              <w:t xml:space="preserve">Üye </w:t>
            </w:r>
          </w:p>
          <w:p w:rsidR="00F21A76" w:rsidRPr="00BE4370" w:rsidRDefault="00F21A76" w:rsidP="00BE4370">
            <w:pPr>
              <w:spacing w:after="120"/>
              <w:jc w:val="center"/>
              <w:rPr>
                <w:color w:val="010000"/>
              </w:rPr>
            </w:pPr>
            <w:r w:rsidRPr="00BE4370">
              <w:rPr>
                <w:bCs/>
                <w:color w:val="010000"/>
              </w:rPr>
              <w:t>İrfan FİDAN</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color w:val="010000"/>
              </w:rPr>
              <w:t>Kenan YAŞAR</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color w:val="010000"/>
              </w:rPr>
              <w:t>Muhterem İNCE</w:t>
            </w:r>
          </w:p>
        </w:tc>
      </w:tr>
      <w:tr w:rsidR="00F21A76" w:rsidRPr="00BE4370" w:rsidTr="00BE4370">
        <w:trPr>
          <w:trHeight w:val="1600"/>
          <w:jc w:val="center"/>
        </w:trPr>
        <w:tc>
          <w:tcPr>
            <w:tcW w:w="1642" w:type="pct"/>
            <w:vAlign w:val="center"/>
            <w:hideMark/>
          </w:tcPr>
          <w:p w:rsidR="00F21A76" w:rsidRPr="00BE4370" w:rsidRDefault="00F21A76" w:rsidP="00BE4370">
            <w:pPr>
              <w:spacing w:after="120"/>
              <w:jc w:val="center"/>
              <w:rPr>
                <w:color w:val="010000"/>
              </w:rPr>
            </w:pPr>
            <w:r w:rsidRPr="00BE4370">
              <w:rPr>
                <w:color w:val="010000"/>
              </w:rPr>
              <w:t xml:space="preserve">Üye </w:t>
            </w:r>
          </w:p>
          <w:p w:rsidR="00F21A76" w:rsidRPr="00BE4370" w:rsidRDefault="00F21A76" w:rsidP="00BE4370">
            <w:pPr>
              <w:spacing w:after="120"/>
              <w:jc w:val="center"/>
              <w:rPr>
                <w:color w:val="010000"/>
              </w:rPr>
            </w:pPr>
            <w:r w:rsidRPr="00BE4370">
              <w:rPr>
                <w:bCs/>
                <w:color w:val="010000"/>
              </w:rPr>
              <w:t>Yılmaz AKÇİL</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bCs/>
                <w:color w:val="010000"/>
              </w:rPr>
            </w:pPr>
            <w:r w:rsidRPr="00BE4370">
              <w:rPr>
                <w:bCs/>
                <w:color w:val="010000"/>
              </w:rPr>
              <w:t>Ömer ÇINAR</w:t>
            </w:r>
          </w:p>
        </w:tc>
        <w:tc>
          <w:tcPr>
            <w:tcW w:w="1679" w:type="pct"/>
            <w:vAlign w:val="center"/>
            <w:hideMark/>
          </w:tcPr>
          <w:p w:rsidR="00F21A76" w:rsidRPr="00BE4370" w:rsidRDefault="00F21A76" w:rsidP="00BE4370">
            <w:pPr>
              <w:spacing w:after="120"/>
              <w:jc w:val="center"/>
              <w:rPr>
                <w:color w:val="010000"/>
              </w:rPr>
            </w:pPr>
            <w:r w:rsidRPr="00BE4370">
              <w:rPr>
                <w:color w:val="010000"/>
              </w:rPr>
              <w:t>Üye</w:t>
            </w:r>
          </w:p>
          <w:p w:rsidR="00F21A76" w:rsidRPr="00BE4370" w:rsidRDefault="00F21A76" w:rsidP="00BE4370">
            <w:pPr>
              <w:spacing w:after="120"/>
              <w:jc w:val="center"/>
              <w:rPr>
                <w:color w:val="010000"/>
              </w:rPr>
            </w:pPr>
            <w:r w:rsidRPr="00BE4370">
              <w:rPr>
                <w:color w:val="010000"/>
              </w:rPr>
              <w:t>Metin KIRATLI</w:t>
            </w:r>
          </w:p>
        </w:tc>
      </w:tr>
    </w:tbl>
    <w:p w:rsidR="00F21A76" w:rsidRPr="00BE4370" w:rsidRDefault="00F21A76" w:rsidP="00BE4370">
      <w:pPr>
        <w:spacing w:after="200"/>
        <w:ind w:right="283" w:firstLine="709"/>
        <w:jc w:val="both"/>
        <w:rPr>
          <w:color w:val="010000"/>
        </w:rPr>
      </w:pPr>
    </w:p>
    <w:sectPr w:rsidR="00F21A76" w:rsidRPr="00BE4370" w:rsidSect="00BE437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3BD" w:rsidRDefault="008963BD">
      <w:r>
        <w:separator/>
      </w:r>
    </w:p>
  </w:endnote>
  <w:endnote w:type="continuationSeparator" w:id="0">
    <w:p w:rsidR="008963BD" w:rsidRDefault="0089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7A" w:rsidRDefault="009D0C7A" w:rsidP="009D0C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0C7A" w:rsidRDefault="009D0C7A" w:rsidP="009D0C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C7A" w:rsidRPr="00BE4370" w:rsidRDefault="009D0C7A" w:rsidP="009D0C7A">
    <w:pPr>
      <w:pStyle w:val="AltBilgi"/>
      <w:framePr w:wrap="around" w:vAnchor="text" w:hAnchor="margin" w:xAlign="right" w:y="1"/>
      <w:rPr>
        <w:rStyle w:val="SayfaNumaras"/>
      </w:rPr>
    </w:pPr>
    <w:r w:rsidRPr="00BE4370">
      <w:rPr>
        <w:rStyle w:val="SayfaNumaras"/>
      </w:rPr>
      <w:fldChar w:fldCharType="begin"/>
    </w:r>
    <w:r w:rsidRPr="00BE4370">
      <w:rPr>
        <w:rStyle w:val="SayfaNumaras"/>
      </w:rPr>
      <w:instrText xml:space="preserve"> PAGE </w:instrText>
    </w:r>
    <w:r w:rsidRPr="00BE4370">
      <w:rPr>
        <w:rStyle w:val="SayfaNumaras"/>
      </w:rPr>
      <w:fldChar w:fldCharType="separate"/>
    </w:r>
    <w:r w:rsidR="00F21A76" w:rsidRPr="00BE4370">
      <w:rPr>
        <w:rStyle w:val="SayfaNumaras"/>
        <w:noProof/>
      </w:rPr>
      <w:t>3</w:t>
    </w:r>
    <w:r w:rsidRPr="00BE4370">
      <w:rPr>
        <w:rStyle w:val="SayfaNumaras"/>
      </w:rPr>
      <w:fldChar w:fldCharType="end"/>
    </w:r>
  </w:p>
  <w:p w:rsidR="009D0C7A" w:rsidRDefault="009D0C7A" w:rsidP="009D0C7A">
    <w:pPr>
      <w:pStyle w:val="AltBilgi"/>
      <w:ind w:right="360"/>
      <w:jc w:val="right"/>
    </w:pPr>
  </w:p>
  <w:p w:rsidR="009D0C7A" w:rsidRDefault="009D0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3BD" w:rsidRDefault="008963BD">
      <w:r>
        <w:separator/>
      </w:r>
    </w:p>
  </w:footnote>
  <w:footnote w:type="continuationSeparator" w:id="0">
    <w:p w:rsidR="008963BD" w:rsidRDefault="0089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70" w:rsidRPr="00BE4370" w:rsidRDefault="00BE4370" w:rsidP="00BE4370">
    <w:pPr>
      <w:pStyle w:val="stBilgi"/>
      <w:rPr>
        <w:b/>
      </w:rPr>
    </w:pPr>
    <w:r w:rsidRPr="00BE4370">
      <w:rPr>
        <w:b/>
      </w:rPr>
      <w:t xml:space="preserve">Esas </w:t>
    </w:r>
    <w:proofErr w:type="gramStart"/>
    <w:r w:rsidRPr="00BE4370">
      <w:rPr>
        <w:b/>
      </w:rPr>
      <w:t>Sayısı :</w:t>
    </w:r>
    <w:proofErr w:type="gramEnd"/>
    <w:r w:rsidRPr="00BE4370">
      <w:rPr>
        <w:b/>
      </w:rPr>
      <w:t xml:space="preserve"> 2025/76</w:t>
    </w:r>
  </w:p>
  <w:p w:rsidR="00BE4370" w:rsidRDefault="00BE4370" w:rsidP="00BE4370">
    <w:pPr>
      <w:pStyle w:val="stBilgi"/>
      <w:rPr>
        <w:b/>
      </w:rPr>
    </w:pPr>
    <w:r>
      <w:rPr>
        <w:b/>
      </w:rPr>
      <w:t xml:space="preserve">Karar </w:t>
    </w:r>
    <w:proofErr w:type="gramStart"/>
    <w:r>
      <w:rPr>
        <w:b/>
      </w:rPr>
      <w:t>Sayısı :</w:t>
    </w:r>
    <w:proofErr w:type="gramEnd"/>
    <w:r>
      <w:rPr>
        <w:b/>
      </w:rPr>
      <w:t xml:space="preserve"> 2025/64</w:t>
    </w:r>
  </w:p>
  <w:p w:rsidR="009D0C7A" w:rsidRPr="00BE4370" w:rsidRDefault="009D0C7A" w:rsidP="00BE437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E1E2B"/>
    <w:rsid w:val="002F79F0"/>
    <w:rsid w:val="004560D0"/>
    <w:rsid w:val="008963BD"/>
    <w:rsid w:val="009258E3"/>
    <w:rsid w:val="00952B5F"/>
    <w:rsid w:val="009D0C7A"/>
    <w:rsid w:val="00BE4370"/>
    <w:rsid w:val="00C66237"/>
    <w:rsid w:val="00E264A5"/>
    <w:rsid w:val="00F21A76"/>
    <w:rsid w:val="00F37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68744-8BC9-452B-8E6D-8F6C78C5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F79F0"/>
    <w:pPr>
      <w:tabs>
        <w:tab w:val="center" w:pos="4536"/>
        <w:tab w:val="right" w:pos="9072"/>
      </w:tabs>
    </w:pPr>
  </w:style>
  <w:style w:type="character" w:customStyle="1" w:styleId="stBilgiChar">
    <w:name w:val="Üst Bilgi Char"/>
    <w:link w:val="stBilgi"/>
    <w:rsid w:val="002F79F0"/>
    <w:rPr>
      <w:sz w:val="24"/>
      <w:szCs w:val="24"/>
    </w:rPr>
  </w:style>
  <w:style w:type="paragraph" w:styleId="AltBilgi">
    <w:name w:val="footer"/>
    <w:basedOn w:val="Normal"/>
    <w:link w:val="AltBilgiChar"/>
    <w:uiPriority w:val="99"/>
    <w:rsid w:val="002F79F0"/>
    <w:pPr>
      <w:tabs>
        <w:tab w:val="center" w:pos="4536"/>
        <w:tab w:val="right" w:pos="9072"/>
      </w:tabs>
    </w:pPr>
  </w:style>
  <w:style w:type="character" w:customStyle="1" w:styleId="AltBilgiChar">
    <w:name w:val="Alt Bilgi Char"/>
    <w:link w:val="AltBilgi"/>
    <w:uiPriority w:val="99"/>
    <w:rsid w:val="002F79F0"/>
    <w:rPr>
      <w:sz w:val="24"/>
      <w:szCs w:val="24"/>
    </w:rPr>
  </w:style>
  <w:style w:type="character" w:styleId="SayfaNumaras">
    <w:name w:val="page number"/>
    <w:rsid w:val="002F79F0"/>
  </w:style>
  <w:style w:type="paragraph" w:styleId="BalonMetni">
    <w:name w:val="Balloon Text"/>
    <w:basedOn w:val="Normal"/>
    <w:link w:val="BalonMetniChar"/>
    <w:rsid w:val="00C66237"/>
    <w:rPr>
      <w:rFonts w:ascii="Segoe UI" w:hAnsi="Segoe UI" w:cs="Segoe UI"/>
      <w:sz w:val="18"/>
      <w:szCs w:val="18"/>
    </w:rPr>
  </w:style>
  <w:style w:type="character" w:customStyle="1" w:styleId="BalonMetniChar">
    <w:name w:val="Balon Metni Char"/>
    <w:basedOn w:val="VarsaylanParagrafYazTipi"/>
    <w:link w:val="BalonMetni"/>
    <w:rsid w:val="00C66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4754</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2025-06-02T11:54:00Z</cp:lastPrinted>
  <dcterms:created xsi:type="dcterms:W3CDTF">2025-06-03T05:57:00Z</dcterms:created>
  <dcterms:modified xsi:type="dcterms:W3CDTF">2025-06-03T05:57:00Z</dcterms:modified>
</cp:coreProperties>
</file>