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EB7" w:rsidRDefault="00336EB7" w:rsidP="000819B2">
      <w:pPr>
        <w:spacing w:after="200"/>
        <w:ind w:right="283"/>
        <w:jc w:val="center"/>
        <w:textAlignment w:val="baseline"/>
        <w:rPr>
          <w:b/>
          <w:bCs/>
          <w:caps/>
          <w:color w:val="010000"/>
        </w:rPr>
      </w:pPr>
      <w:bookmarkStart w:id="0" w:name="_Hlk167364087"/>
      <w:r w:rsidRPr="000819B2">
        <w:rPr>
          <w:b/>
          <w:bCs/>
          <w:caps/>
          <w:color w:val="010000"/>
        </w:rPr>
        <w:t>ANAYASA MAHKEMESİ KARARI</w:t>
      </w:r>
    </w:p>
    <w:p w:rsidR="000819B2" w:rsidRPr="000819B2" w:rsidRDefault="000819B2" w:rsidP="000819B2">
      <w:pPr>
        <w:spacing w:after="200"/>
        <w:ind w:right="283" w:firstLine="709"/>
        <w:jc w:val="center"/>
        <w:textAlignment w:val="baseline"/>
        <w:rPr>
          <w:b/>
          <w:bCs/>
          <w:caps/>
          <w:color w:val="010000"/>
        </w:rPr>
      </w:pPr>
    </w:p>
    <w:p w:rsidR="000819B2" w:rsidRDefault="000819B2" w:rsidP="000819B2">
      <w:pPr>
        <w:rPr>
          <w:b/>
          <w:bCs/>
          <w:color w:val="010000"/>
        </w:rPr>
      </w:pPr>
      <w:bookmarkStart w:id="1" w:name="_Hlk141876816"/>
      <w:r>
        <w:rPr>
          <w:b/>
          <w:bCs/>
          <w:color w:val="010000"/>
        </w:rPr>
        <w:t xml:space="preserve">Esas </w:t>
      </w:r>
      <w:proofErr w:type="gramStart"/>
      <w:r>
        <w:rPr>
          <w:b/>
          <w:bCs/>
          <w:color w:val="010000"/>
        </w:rPr>
        <w:t>Sayısı :</w:t>
      </w:r>
      <w:proofErr w:type="gramEnd"/>
      <w:r>
        <w:rPr>
          <w:b/>
          <w:bCs/>
          <w:color w:val="010000"/>
        </w:rPr>
        <w:t xml:space="preserve"> 2025/53</w:t>
      </w:r>
    </w:p>
    <w:p w:rsidR="000819B2" w:rsidRDefault="000819B2" w:rsidP="000819B2">
      <w:pPr>
        <w:rPr>
          <w:b/>
          <w:color w:val="010000"/>
        </w:rPr>
      </w:pPr>
      <w:r>
        <w:rPr>
          <w:b/>
          <w:color w:val="010000"/>
        </w:rPr>
        <w:t xml:space="preserve">Karar </w:t>
      </w:r>
      <w:proofErr w:type="gramStart"/>
      <w:r>
        <w:rPr>
          <w:b/>
          <w:color w:val="010000"/>
        </w:rPr>
        <w:t>Sayısı :</w:t>
      </w:r>
      <w:proofErr w:type="gramEnd"/>
      <w:r>
        <w:rPr>
          <w:b/>
          <w:color w:val="010000"/>
        </w:rPr>
        <w:t xml:space="preserve"> 2025/49</w:t>
      </w:r>
    </w:p>
    <w:p w:rsidR="000819B2" w:rsidRDefault="000819B2" w:rsidP="000819B2">
      <w:pPr>
        <w:rPr>
          <w:b/>
          <w:color w:val="010000"/>
        </w:rPr>
      </w:pPr>
      <w:r>
        <w:rPr>
          <w:b/>
          <w:color w:val="010000"/>
        </w:rPr>
        <w:t xml:space="preserve">Karar </w:t>
      </w:r>
      <w:proofErr w:type="gramStart"/>
      <w:r>
        <w:rPr>
          <w:b/>
          <w:color w:val="010000"/>
        </w:rPr>
        <w:t>Tarihi :</w:t>
      </w:r>
      <w:proofErr w:type="gramEnd"/>
      <w:r>
        <w:rPr>
          <w:b/>
          <w:color w:val="010000"/>
        </w:rPr>
        <w:t xml:space="preserve"> 6/3/2025</w:t>
      </w:r>
    </w:p>
    <w:p w:rsidR="000819B2" w:rsidRDefault="000819B2" w:rsidP="000819B2">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2D1B3F" w:rsidRPr="000819B2" w:rsidRDefault="002D1B3F" w:rsidP="000819B2">
      <w:pPr>
        <w:rPr>
          <w:b/>
          <w:color w:val="010000"/>
        </w:rPr>
      </w:pPr>
    </w:p>
    <w:bookmarkEnd w:id="1"/>
    <w:p w:rsidR="00336EB7" w:rsidRPr="000819B2" w:rsidRDefault="00336EB7" w:rsidP="000819B2">
      <w:pPr>
        <w:spacing w:after="200"/>
        <w:ind w:right="283" w:firstLine="709"/>
        <w:jc w:val="both"/>
        <w:rPr>
          <w:color w:val="010000"/>
        </w:rPr>
      </w:pPr>
      <w:r w:rsidRPr="000819B2">
        <w:rPr>
          <w:b/>
          <w:bCs/>
          <w:color w:val="010000"/>
        </w:rPr>
        <w:t xml:space="preserve">İTİRAZ YOLUNA BAŞVURAN: </w:t>
      </w:r>
      <w:r w:rsidRPr="000819B2">
        <w:rPr>
          <w:color w:val="010000"/>
        </w:rPr>
        <w:t>İstanbul Anadolu 90. Asliye Ceza Mahkemesi</w:t>
      </w:r>
    </w:p>
    <w:p w:rsidR="00336EB7" w:rsidRPr="000819B2" w:rsidRDefault="00336EB7" w:rsidP="000819B2">
      <w:pPr>
        <w:spacing w:after="200"/>
        <w:ind w:right="283" w:firstLine="709"/>
        <w:jc w:val="both"/>
        <w:rPr>
          <w:bCs/>
          <w:color w:val="010000"/>
        </w:rPr>
      </w:pPr>
      <w:r w:rsidRPr="000819B2">
        <w:rPr>
          <w:b/>
          <w:bCs/>
          <w:color w:val="010000"/>
        </w:rPr>
        <w:t xml:space="preserve">İTİRAZIN KONUSU: </w:t>
      </w:r>
      <w:r w:rsidRPr="000819B2">
        <w:rPr>
          <w:bCs/>
          <w:color w:val="010000"/>
        </w:rPr>
        <w:t>4/12/2004 tarihli ve 5271 sayılı Ceza Muhakemesi Kanunu’nun;</w:t>
      </w:r>
    </w:p>
    <w:p w:rsidR="00336EB7" w:rsidRPr="000819B2" w:rsidRDefault="00336EB7" w:rsidP="000819B2">
      <w:pPr>
        <w:numPr>
          <w:ilvl w:val="0"/>
          <w:numId w:val="1"/>
        </w:numPr>
        <w:spacing w:after="200"/>
        <w:ind w:left="0" w:right="283" w:firstLine="709"/>
        <w:jc w:val="both"/>
        <w:rPr>
          <w:bCs/>
          <w:color w:val="010000"/>
        </w:rPr>
      </w:pPr>
      <w:r w:rsidRPr="000819B2">
        <w:rPr>
          <w:bCs/>
          <w:color w:val="010000"/>
        </w:rPr>
        <w:t>25/5/2005 tarihli ve 5353 sayılı Kanun’un 4. maddesiyle değiştirilen 80. maddesinin (2) numaralı fıkrasının,</w:t>
      </w:r>
    </w:p>
    <w:p w:rsidR="00336EB7" w:rsidRPr="000819B2" w:rsidRDefault="00336EB7" w:rsidP="000819B2">
      <w:pPr>
        <w:numPr>
          <w:ilvl w:val="0"/>
          <w:numId w:val="1"/>
        </w:numPr>
        <w:spacing w:after="200"/>
        <w:ind w:left="0" w:right="283" w:firstLine="709"/>
        <w:jc w:val="both"/>
        <w:rPr>
          <w:bCs/>
          <w:color w:val="010000"/>
        </w:rPr>
      </w:pPr>
      <w:r w:rsidRPr="000819B2">
        <w:rPr>
          <w:bCs/>
          <w:color w:val="010000"/>
        </w:rPr>
        <w:t>82. maddesinin,</w:t>
      </w:r>
    </w:p>
    <w:p w:rsidR="00336EB7" w:rsidRPr="000819B2" w:rsidRDefault="00336EB7" w:rsidP="000819B2">
      <w:pPr>
        <w:spacing w:after="200"/>
        <w:ind w:right="283" w:firstLine="709"/>
        <w:jc w:val="both"/>
        <w:rPr>
          <w:bCs/>
          <w:color w:val="010000"/>
        </w:rPr>
      </w:pPr>
      <w:r w:rsidRPr="000819B2">
        <w:rPr>
          <w:bCs/>
          <w:color w:val="010000"/>
        </w:rPr>
        <w:t>Anayasa’nın 2., 13., 17., 20. ve 40. maddelerine aykırılığı ileri sürülerek iptallerine karar verilmesi talebidir.</w:t>
      </w:r>
    </w:p>
    <w:p w:rsidR="00336EB7" w:rsidRPr="000819B2" w:rsidRDefault="00336EB7" w:rsidP="000819B2">
      <w:pPr>
        <w:spacing w:after="200"/>
        <w:ind w:right="283" w:firstLine="709"/>
        <w:jc w:val="both"/>
        <w:rPr>
          <w:color w:val="010000"/>
          <w:shd w:val="clear" w:color="auto" w:fill="FFFFFF"/>
        </w:rPr>
      </w:pPr>
      <w:r w:rsidRPr="000819B2">
        <w:rPr>
          <w:b/>
          <w:bCs/>
          <w:color w:val="010000"/>
        </w:rPr>
        <w:t xml:space="preserve">OLAY: </w:t>
      </w:r>
      <w:r w:rsidRPr="000819B2">
        <w:rPr>
          <w:color w:val="010000"/>
          <w:shd w:val="clear" w:color="auto" w:fill="FFFFFF"/>
        </w:rPr>
        <w:t>Konut dokunulmazlığının ihlali, nitelikli hırsızlık ve mala zarar verme suçlarından açılan ceza davasında itiraz konusu kuralların Anayasa’ya aykırı olduğu kanısına varan Mahkeme, iptalleri için başvurmuştur.</w:t>
      </w:r>
    </w:p>
    <w:p w:rsidR="00336EB7" w:rsidRPr="000819B2" w:rsidRDefault="00336EB7" w:rsidP="000819B2">
      <w:pPr>
        <w:numPr>
          <w:ilvl w:val="0"/>
          <w:numId w:val="2"/>
        </w:numPr>
        <w:spacing w:after="200"/>
        <w:ind w:left="0" w:right="283" w:firstLine="709"/>
        <w:jc w:val="both"/>
        <w:rPr>
          <w:b/>
          <w:bCs/>
          <w:color w:val="010000"/>
        </w:rPr>
      </w:pPr>
      <w:r w:rsidRPr="000819B2">
        <w:rPr>
          <w:b/>
          <w:bCs/>
          <w:color w:val="010000"/>
        </w:rPr>
        <w:t>İPTALİ İSTENEN KANUN HÜKÜMLERİ</w:t>
      </w:r>
    </w:p>
    <w:p w:rsidR="00336EB7" w:rsidRPr="000819B2" w:rsidRDefault="00336EB7" w:rsidP="000819B2">
      <w:pPr>
        <w:spacing w:after="200"/>
        <w:ind w:right="283" w:firstLine="709"/>
        <w:jc w:val="both"/>
        <w:rPr>
          <w:color w:val="010000"/>
        </w:rPr>
      </w:pPr>
      <w:r w:rsidRPr="000819B2">
        <w:rPr>
          <w:color w:val="010000"/>
        </w:rPr>
        <w:t>Kanun’un itiraz konusu kuralların da yer aldığı;</w:t>
      </w:r>
    </w:p>
    <w:p w:rsidR="00336EB7" w:rsidRPr="000819B2" w:rsidRDefault="00336EB7" w:rsidP="000819B2">
      <w:pPr>
        <w:spacing w:after="200"/>
        <w:ind w:right="283" w:firstLine="709"/>
        <w:jc w:val="both"/>
        <w:rPr>
          <w:color w:val="010000"/>
        </w:rPr>
      </w:pPr>
      <w:r w:rsidRPr="000819B2">
        <w:rPr>
          <w:b/>
          <w:bCs/>
          <w:color w:val="010000"/>
        </w:rPr>
        <w:t>1.</w:t>
      </w:r>
      <w:r w:rsidR="000819B2" w:rsidRPr="000819B2">
        <w:rPr>
          <w:color w:val="010000"/>
        </w:rPr>
        <w:t xml:space="preserve"> </w:t>
      </w:r>
      <w:r w:rsidRPr="000819B2">
        <w:rPr>
          <w:color w:val="010000"/>
        </w:rPr>
        <w:t>80. maddesi şöyledir:</w:t>
      </w:r>
    </w:p>
    <w:p w:rsidR="00336EB7" w:rsidRPr="000819B2" w:rsidRDefault="00336EB7" w:rsidP="000819B2">
      <w:pPr>
        <w:spacing w:after="200"/>
        <w:ind w:right="283" w:firstLine="709"/>
        <w:jc w:val="both"/>
        <w:rPr>
          <w:color w:val="010000"/>
        </w:rPr>
      </w:pPr>
      <w:r w:rsidRPr="000819B2">
        <w:rPr>
          <w:iCs/>
          <w:color w:val="010000"/>
        </w:rPr>
        <w:t>“</w:t>
      </w:r>
      <w:r w:rsidRPr="000819B2">
        <w:rPr>
          <w:i/>
          <w:iCs/>
          <w:color w:val="010000"/>
        </w:rPr>
        <w:t>Genetik inceleme sonuçlarının gizliliği</w:t>
      </w:r>
    </w:p>
    <w:p w:rsidR="00336EB7" w:rsidRPr="000819B2" w:rsidRDefault="00336EB7" w:rsidP="000819B2">
      <w:pPr>
        <w:spacing w:after="200"/>
        <w:ind w:right="283" w:firstLine="709"/>
        <w:jc w:val="both"/>
        <w:rPr>
          <w:color w:val="010000"/>
        </w:rPr>
      </w:pPr>
      <w:r w:rsidRPr="000819B2">
        <w:rPr>
          <w:i/>
          <w:iCs/>
          <w:color w:val="010000"/>
        </w:rPr>
        <w:t>Madde 80 –</w:t>
      </w:r>
      <w:r w:rsidR="000819B2" w:rsidRPr="000819B2">
        <w:rPr>
          <w:i/>
          <w:iCs/>
          <w:color w:val="010000"/>
        </w:rPr>
        <w:t xml:space="preserve"> </w:t>
      </w:r>
      <w:r w:rsidRPr="000819B2">
        <w:rPr>
          <w:i/>
          <w:iCs/>
          <w:color w:val="010000"/>
        </w:rPr>
        <w:t xml:space="preserve">(Değişik: 25/5/2005 – 5353/4 </w:t>
      </w:r>
      <w:proofErr w:type="spellStart"/>
      <w:r w:rsidRPr="000819B2">
        <w:rPr>
          <w:i/>
          <w:iCs/>
          <w:color w:val="010000"/>
        </w:rPr>
        <w:t>md.</w:t>
      </w:r>
      <w:proofErr w:type="spellEnd"/>
      <w:r w:rsidRPr="000819B2">
        <w:rPr>
          <w:i/>
          <w:iCs/>
          <w:color w:val="010000"/>
        </w:rPr>
        <w:t>)</w:t>
      </w:r>
    </w:p>
    <w:p w:rsidR="00336EB7" w:rsidRPr="000819B2" w:rsidRDefault="00336EB7" w:rsidP="000819B2">
      <w:pPr>
        <w:spacing w:after="200"/>
        <w:ind w:right="283" w:firstLine="709"/>
        <w:jc w:val="both"/>
        <w:rPr>
          <w:color w:val="010000"/>
        </w:rPr>
      </w:pPr>
      <w:r w:rsidRPr="000819B2">
        <w:rPr>
          <w:i/>
          <w:iCs/>
          <w:color w:val="010000"/>
        </w:rPr>
        <w:t>(1) 75, 76 ve 78 inci madde hükümlerine göre alınan örnekler üzerinde</w:t>
      </w:r>
      <w:r w:rsidR="000819B2" w:rsidRPr="000819B2">
        <w:rPr>
          <w:i/>
          <w:iCs/>
          <w:color w:val="010000"/>
        </w:rPr>
        <w:t xml:space="preserve"> </w:t>
      </w:r>
      <w:r w:rsidRPr="000819B2">
        <w:rPr>
          <w:i/>
          <w:iCs/>
          <w:color w:val="010000"/>
        </w:rPr>
        <w:t>yapılan inceleme sonuçları, kişisel veri niteliğinde olup, başka bir amaçla kullanılamaz;</w:t>
      </w:r>
      <w:r w:rsidR="000819B2" w:rsidRPr="000819B2">
        <w:rPr>
          <w:i/>
          <w:iCs/>
          <w:color w:val="010000"/>
        </w:rPr>
        <w:t xml:space="preserve"> </w:t>
      </w:r>
      <w:r w:rsidRPr="000819B2">
        <w:rPr>
          <w:i/>
          <w:iCs/>
          <w:color w:val="010000"/>
        </w:rPr>
        <w:t xml:space="preserve">dosya </w:t>
      </w:r>
      <w:proofErr w:type="gramStart"/>
      <w:r w:rsidRPr="000819B2">
        <w:rPr>
          <w:i/>
          <w:iCs/>
          <w:color w:val="010000"/>
        </w:rPr>
        <w:t>içeriğini</w:t>
      </w:r>
      <w:proofErr w:type="gramEnd"/>
      <w:r w:rsidRPr="000819B2">
        <w:rPr>
          <w:i/>
          <w:iCs/>
          <w:color w:val="010000"/>
        </w:rPr>
        <w:t xml:space="preserve"> öğrenme yetkisine sahip bulunan kişiler tarafından bir başkasına verilemez.</w:t>
      </w:r>
    </w:p>
    <w:p w:rsidR="00336EB7" w:rsidRPr="000819B2" w:rsidRDefault="000819B2" w:rsidP="000819B2">
      <w:pPr>
        <w:spacing w:after="200"/>
        <w:ind w:right="283" w:firstLine="709"/>
        <w:jc w:val="both"/>
        <w:rPr>
          <w:color w:val="010000"/>
        </w:rPr>
      </w:pPr>
      <w:r w:rsidRPr="000819B2">
        <w:rPr>
          <w:b/>
          <w:bCs/>
          <w:i/>
          <w:iCs/>
          <w:color w:val="010000"/>
          <w:u w:val="single"/>
        </w:rPr>
        <w:t xml:space="preserve"> </w:t>
      </w:r>
      <w:r w:rsidR="00336EB7" w:rsidRPr="000819B2">
        <w:rPr>
          <w:b/>
          <w:bCs/>
          <w:i/>
          <w:iCs/>
          <w:color w:val="010000"/>
          <w:u w:val="single"/>
        </w:rPr>
        <w:t>(2) Bu bilgiler, kovuşturmaya yer olmadığı kararına itiraz süresinin dolması, itirazın reddi, beraat veya ceza verilmesine yer olmadığı kararı verilip kesinleşmesi hâllerinde Cumhuriyet savcısının huzurunda derhâl yok edilir ve bu husus dosyasında muhafaza edilmek üzere tutanağa geçirilir.</w:t>
      </w:r>
      <w:r w:rsidR="00336EB7" w:rsidRPr="000819B2">
        <w:rPr>
          <w:iCs/>
          <w:color w:val="010000"/>
        </w:rPr>
        <w:t>”</w:t>
      </w:r>
    </w:p>
    <w:p w:rsidR="00336EB7" w:rsidRPr="000819B2" w:rsidRDefault="00336EB7" w:rsidP="000819B2">
      <w:pPr>
        <w:spacing w:after="200"/>
        <w:ind w:right="283" w:firstLine="709"/>
        <w:jc w:val="both"/>
        <w:rPr>
          <w:color w:val="010000"/>
        </w:rPr>
      </w:pPr>
      <w:r w:rsidRPr="000819B2">
        <w:rPr>
          <w:b/>
          <w:bCs/>
          <w:color w:val="010000"/>
        </w:rPr>
        <w:t>2.</w:t>
      </w:r>
      <w:r w:rsidR="000819B2" w:rsidRPr="000819B2">
        <w:rPr>
          <w:color w:val="010000"/>
        </w:rPr>
        <w:t xml:space="preserve"> </w:t>
      </w:r>
      <w:r w:rsidRPr="000819B2">
        <w:rPr>
          <w:color w:val="010000"/>
        </w:rPr>
        <w:t>82. maddesi şöyledir:</w:t>
      </w:r>
    </w:p>
    <w:p w:rsidR="00336EB7" w:rsidRPr="000819B2" w:rsidRDefault="000819B2" w:rsidP="000819B2">
      <w:pPr>
        <w:spacing w:after="200"/>
        <w:ind w:right="283" w:firstLine="709"/>
        <w:jc w:val="both"/>
        <w:rPr>
          <w:b/>
          <w:color w:val="010000"/>
          <w:u w:val="single"/>
        </w:rPr>
      </w:pPr>
      <w:r w:rsidRPr="000819B2">
        <w:rPr>
          <w:i/>
          <w:iCs/>
          <w:color w:val="010000"/>
        </w:rPr>
        <w:t xml:space="preserve"> </w:t>
      </w:r>
      <w:proofErr w:type="gramStart"/>
      <w:r w:rsidR="00336EB7" w:rsidRPr="000819B2">
        <w:rPr>
          <w:iCs/>
          <w:color w:val="010000"/>
        </w:rPr>
        <w:t>”</w:t>
      </w:r>
      <w:r w:rsidR="00336EB7" w:rsidRPr="000819B2">
        <w:rPr>
          <w:b/>
          <w:bCs/>
          <w:i/>
          <w:iCs/>
          <w:color w:val="010000"/>
          <w:u w:val="single"/>
        </w:rPr>
        <w:t>Yönetmelik</w:t>
      </w:r>
      <w:proofErr w:type="gramEnd"/>
    </w:p>
    <w:p w:rsidR="00336EB7" w:rsidRPr="000819B2" w:rsidRDefault="00336EB7" w:rsidP="000819B2">
      <w:pPr>
        <w:spacing w:after="200"/>
        <w:ind w:right="283" w:firstLine="709"/>
        <w:jc w:val="both"/>
        <w:rPr>
          <w:i/>
          <w:iCs/>
          <w:color w:val="010000"/>
        </w:rPr>
      </w:pPr>
      <w:r w:rsidRPr="000819B2">
        <w:rPr>
          <w:b/>
          <w:bCs/>
          <w:i/>
          <w:iCs/>
          <w:color w:val="010000"/>
          <w:u w:val="single"/>
        </w:rPr>
        <w:t>Madde 82 –</w:t>
      </w:r>
      <w:r w:rsidR="000819B2" w:rsidRPr="000819B2">
        <w:rPr>
          <w:b/>
          <w:bCs/>
          <w:i/>
          <w:iCs/>
          <w:color w:val="010000"/>
          <w:u w:val="single"/>
        </w:rPr>
        <w:t xml:space="preserve"> </w:t>
      </w:r>
      <w:r w:rsidRPr="000819B2">
        <w:rPr>
          <w:b/>
          <w:bCs/>
          <w:i/>
          <w:iCs/>
          <w:color w:val="010000"/>
          <w:u w:val="single"/>
        </w:rPr>
        <w:t>(1) 75 ilâ 81 inci maddelerde öngörülen işlemlerin yapılması ile ilgili usuller yönetmelikte gösterilir</w:t>
      </w:r>
      <w:r w:rsidRPr="000819B2">
        <w:rPr>
          <w:color w:val="010000"/>
          <w:u w:val="single"/>
        </w:rPr>
        <w:t>.</w:t>
      </w:r>
      <w:r w:rsidRPr="000819B2">
        <w:rPr>
          <w:iCs/>
          <w:color w:val="010000"/>
        </w:rPr>
        <w:t>”</w:t>
      </w:r>
    </w:p>
    <w:p w:rsidR="00336EB7" w:rsidRPr="000819B2" w:rsidRDefault="00336EB7" w:rsidP="000819B2">
      <w:pPr>
        <w:numPr>
          <w:ilvl w:val="0"/>
          <w:numId w:val="2"/>
        </w:numPr>
        <w:spacing w:after="200"/>
        <w:ind w:left="0" w:right="283" w:firstLine="709"/>
        <w:jc w:val="both"/>
        <w:rPr>
          <w:b/>
          <w:bCs/>
          <w:color w:val="010000"/>
        </w:rPr>
      </w:pPr>
      <w:r w:rsidRPr="000819B2">
        <w:rPr>
          <w:b/>
          <w:bCs/>
          <w:color w:val="010000"/>
        </w:rPr>
        <w:t>İLK İNCELEME</w:t>
      </w:r>
    </w:p>
    <w:p w:rsidR="00336EB7" w:rsidRPr="000819B2" w:rsidRDefault="00336EB7" w:rsidP="000819B2">
      <w:pPr>
        <w:spacing w:after="200"/>
        <w:ind w:right="283" w:firstLine="709"/>
        <w:jc w:val="both"/>
        <w:rPr>
          <w:bCs/>
          <w:color w:val="010000"/>
        </w:rPr>
      </w:pPr>
      <w:r w:rsidRPr="000819B2">
        <w:rPr>
          <w:bCs/>
          <w:color w:val="010000"/>
        </w:rPr>
        <w:lastRenderedPageBreak/>
        <w:t>1.</w:t>
      </w:r>
      <w:r w:rsidR="000819B2" w:rsidRPr="000819B2">
        <w:rPr>
          <w:bCs/>
          <w:color w:val="010000"/>
        </w:rPr>
        <w:t xml:space="preserve"> </w:t>
      </w:r>
      <w:r w:rsidRPr="000819B2">
        <w:rPr>
          <w:bCs/>
          <w:color w:val="010000"/>
        </w:rPr>
        <w:t>Anayasa Mahkemesi İçtüzüğü hükümleri uyarınca yapılan ilk inceleme toplantısında başvuru kararı ve ekleri, Raportör Mehmet AKTEPE tarafından hazırlanan ilk inceleme raporu ve itiraz konusu kanun hükümleri okunup incelendikten sonra gereği görüşülüp düşünüldü:</w:t>
      </w:r>
    </w:p>
    <w:p w:rsidR="00336EB7" w:rsidRPr="000819B2" w:rsidRDefault="00336EB7" w:rsidP="000819B2">
      <w:pPr>
        <w:spacing w:after="200"/>
        <w:ind w:right="283" w:firstLine="709"/>
        <w:jc w:val="both"/>
        <w:rPr>
          <w:bCs/>
          <w:color w:val="010000"/>
        </w:rPr>
      </w:pPr>
      <w:bookmarkStart w:id="2" w:name="_Hlk192166100"/>
      <w:r w:rsidRPr="000819B2">
        <w:rPr>
          <w:bCs/>
          <w:color w:val="010000"/>
        </w:rPr>
        <w:t>2.</w:t>
      </w:r>
      <w:r w:rsidR="000819B2" w:rsidRPr="000819B2">
        <w:rPr>
          <w:bCs/>
          <w:color w:val="010000"/>
        </w:rPr>
        <w:t xml:space="preserve"> </w:t>
      </w:r>
      <w:r w:rsidRPr="000819B2">
        <w:rPr>
          <w:bCs/>
          <w:color w:val="010000"/>
        </w:rPr>
        <w:t>30/3/2011 tarihli ve 6216 sayılı Anayasa Mahkemesinin Kuruluşu ve Yargılama Usulleri Hakkında Kanun’un</w:t>
      </w:r>
      <w:r w:rsidR="000819B2" w:rsidRPr="000819B2">
        <w:rPr>
          <w:bCs/>
          <w:color w:val="010000"/>
        </w:rPr>
        <w:t xml:space="preserve"> </w:t>
      </w:r>
      <w:r w:rsidRPr="000819B2">
        <w:rPr>
          <w:bCs/>
          <w:iCs/>
          <w:color w:val="010000"/>
        </w:rPr>
        <w:t>“</w:t>
      </w:r>
      <w:r w:rsidRPr="000819B2">
        <w:rPr>
          <w:bCs/>
          <w:i/>
          <w:iCs/>
          <w:color w:val="010000"/>
        </w:rPr>
        <w:t>Anayasaya aykırılığın mahkemelerce ileri sürülmesi</w:t>
      </w:r>
      <w:r w:rsidRPr="000819B2">
        <w:rPr>
          <w:bCs/>
          <w:iCs/>
          <w:color w:val="010000"/>
        </w:rPr>
        <w:t>”</w:t>
      </w:r>
      <w:r w:rsidR="000819B2" w:rsidRPr="000819B2">
        <w:rPr>
          <w:bCs/>
          <w:color w:val="010000"/>
        </w:rPr>
        <w:t xml:space="preserve"> </w:t>
      </w:r>
      <w:r w:rsidRPr="000819B2">
        <w:rPr>
          <w:bCs/>
          <w:color w:val="010000"/>
        </w:rPr>
        <w:t>başlıklı 40. maddesinde Anayasa Mahkemesine itiraz yoluyla yapılacak başvurularda izlenecek yöntem belirtilmiştir. Söz konusu maddenin (1) numaralı fıkrasında bir davaya bakmakta olan mahkemenin bu davada uygulanacak bir kanun veya Cumhurbaşkanlığı kararnamesinin hükümlerini Anayasa’ya aykırı görmesi veya taraflardan birinin ileri sürdüğü aykırılık iddiasının ciddi olduğu kanısına varması hâlinde bu fıkrada sayılan belgeleri dizi listesine bağlayarak Anayasa Mahkemesine göndereceği hükme bağlanmış; anılan fıkranın (a) bendinde de</w:t>
      </w:r>
      <w:r w:rsidR="000819B2" w:rsidRPr="000819B2">
        <w:rPr>
          <w:bCs/>
          <w:color w:val="010000"/>
        </w:rPr>
        <w:t xml:space="preserve"> </w:t>
      </w:r>
      <w:r w:rsidRPr="000819B2">
        <w:rPr>
          <w:bCs/>
          <w:iCs/>
          <w:color w:val="010000"/>
        </w:rPr>
        <w:t>“</w:t>
      </w:r>
      <w:r w:rsidRPr="000819B2">
        <w:rPr>
          <w:bCs/>
          <w:i/>
          <w:iCs/>
          <w:color w:val="010000"/>
        </w:rPr>
        <w:t>İptali istenen kuralların Anayasanın hangi maddelerine aykırı olduklarını açıklayan gerekçeli başvuru kararının aslı</w:t>
      </w:r>
      <w:r w:rsidRPr="000819B2">
        <w:rPr>
          <w:bCs/>
          <w:iCs/>
          <w:color w:val="010000"/>
        </w:rPr>
        <w:t>”</w:t>
      </w:r>
      <w:r w:rsidR="000819B2" w:rsidRPr="000819B2">
        <w:rPr>
          <w:bCs/>
          <w:color w:val="010000"/>
        </w:rPr>
        <w:t xml:space="preserve"> </w:t>
      </w:r>
      <w:r w:rsidRPr="000819B2">
        <w:rPr>
          <w:bCs/>
          <w:color w:val="010000"/>
        </w:rPr>
        <w:t>Anayasa Mahkemesine gönderilecek belgeler arasında sayılmıştır. Anılan maddenin (4) numaralı fıkrasında ise açık bir şekilde dayanaktan yoksun veya yöntemine uygun olmayan itiraz başvurularının Anayasa Mahkemesi tarafından esas incelemeye geçilmeksizin gerekçeleriyle reddedileceği hükme bağlanmıştır.</w:t>
      </w:r>
    </w:p>
    <w:bookmarkEnd w:id="2"/>
    <w:p w:rsidR="00336EB7" w:rsidRPr="000819B2" w:rsidRDefault="00336EB7" w:rsidP="000819B2">
      <w:pPr>
        <w:spacing w:after="200"/>
        <w:ind w:right="283" w:firstLine="709"/>
        <w:jc w:val="both"/>
        <w:rPr>
          <w:bCs/>
          <w:color w:val="010000"/>
        </w:rPr>
      </w:pPr>
      <w:r w:rsidRPr="000819B2">
        <w:rPr>
          <w:bCs/>
          <w:color w:val="010000"/>
        </w:rPr>
        <w:t>3.</w:t>
      </w:r>
      <w:r w:rsidR="000819B2" w:rsidRPr="000819B2">
        <w:rPr>
          <w:bCs/>
          <w:color w:val="010000"/>
        </w:rPr>
        <w:t xml:space="preserve"> </w:t>
      </w:r>
      <w:r w:rsidRPr="000819B2">
        <w:rPr>
          <w:bCs/>
          <w:color w:val="010000"/>
        </w:rPr>
        <w:t xml:space="preserve">Anayasa Mahkemesi </w:t>
      </w:r>
      <w:proofErr w:type="spellStart"/>
      <w:r w:rsidRPr="000819B2">
        <w:rPr>
          <w:bCs/>
          <w:color w:val="010000"/>
        </w:rPr>
        <w:t>İçtüzüğü’nün</w:t>
      </w:r>
      <w:proofErr w:type="spellEnd"/>
      <w:r w:rsidRPr="000819B2">
        <w:rPr>
          <w:bCs/>
          <w:color w:val="010000"/>
        </w:rPr>
        <w:t xml:space="preserve"> (İçtüzük) 46. maddesinin (1) numaralı fıkrasının (a) bendinde itiraz yoluna başvuran Mahkemenin gerekçeli kararında; Anayasa’ya aykırılıkları ileri sürülen hükümlerin her birinin Anayasa’nın hangi maddelerine, hangi nedenlerle aykırı olduğunun ayrı ayrı ve gerekçeleriyle birlikte açıkça gösterilmesi gerektiği düzenlenmiştir.</w:t>
      </w:r>
    </w:p>
    <w:p w:rsidR="00336EB7" w:rsidRPr="000819B2" w:rsidRDefault="00336EB7" w:rsidP="000819B2">
      <w:pPr>
        <w:spacing w:after="200"/>
        <w:ind w:right="283" w:firstLine="709"/>
        <w:jc w:val="both"/>
        <w:rPr>
          <w:bCs/>
          <w:color w:val="010000"/>
        </w:rPr>
      </w:pPr>
      <w:r w:rsidRPr="000819B2">
        <w:rPr>
          <w:bCs/>
          <w:color w:val="010000"/>
        </w:rPr>
        <w:t>4.</w:t>
      </w:r>
      <w:r w:rsidR="000819B2" w:rsidRPr="000819B2">
        <w:rPr>
          <w:bCs/>
          <w:color w:val="010000"/>
        </w:rPr>
        <w:t xml:space="preserve"> </w:t>
      </w:r>
      <w:proofErr w:type="spellStart"/>
      <w:r w:rsidRPr="000819B2">
        <w:rPr>
          <w:bCs/>
          <w:color w:val="010000"/>
        </w:rPr>
        <w:t>İçtüzük’ün</w:t>
      </w:r>
      <w:proofErr w:type="spellEnd"/>
      <w:r w:rsidRPr="000819B2">
        <w:rPr>
          <w:bCs/>
          <w:color w:val="010000"/>
        </w:rPr>
        <w:t xml:space="preserve"> 49. maddesinin (1) numaralı fıkrasının (b) bendinde 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336EB7" w:rsidRPr="000819B2" w:rsidRDefault="00336EB7" w:rsidP="000819B2">
      <w:pPr>
        <w:spacing w:after="200"/>
        <w:ind w:right="283" w:firstLine="709"/>
        <w:jc w:val="both"/>
        <w:rPr>
          <w:bCs/>
          <w:color w:val="010000"/>
        </w:rPr>
      </w:pPr>
      <w:r w:rsidRPr="000819B2">
        <w:rPr>
          <w:bCs/>
          <w:color w:val="010000"/>
        </w:rPr>
        <w:t>5. Yapılan incelemede itiraz yoluna başvuran Mahkeme tarafından itiraz konusu kuralların bakılmakta olan davada uygulanacak kural niteliğinde olup olmadığı gözetilmek suretiyle bunlardan hangilerinin hangi nedenlerle Anayasa’ya aykırı olduğunun ayrı ayrı ve gerekçeleriyle birlikte ortaya konulmaksızın, belirsiz ve genel bir anlatımla</w:t>
      </w:r>
      <w:r w:rsidR="000819B2" w:rsidRPr="000819B2">
        <w:rPr>
          <w:bCs/>
          <w:color w:val="010000"/>
        </w:rPr>
        <w:t xml:space="preserve"> </w:t>
      </w:r>
      <w:r w:rsidRPr="000819B2">
        <w:rPr>
          <w:bCs/>
          <w:color w:val="010000"/>
        </w:rPr>
        <w:t>tamamı bakımından</w:t>
      </w:r>
      <w:r w:rsidR="000819B2" w:rsidRPr="000819B2">
        <w:rPr>
          <w:bCs/>
          <w:color w:val="010000"/>
        </w:rPr>
        <w:t xml:space="preserve"> </w:t>
      </w:r>
      <w:r w:rsidRPr="000819B2">
        <w:rPr>
          <w:bCs/>
          <w:color w:val="010000"/>
        </w:rPr>
        <w:t>kategorik olarak</w:t>
      </w:r>
      <w:r w:rsidR="000819B2" w:rsidRPr="000819B2">
        <w:rPr>
          <w:bCs/>
          <w:color w:val="010000"/>
        </w:rPr>
        <w:t xml:space="preserve"> </w:t>
      </w:r>
      <w:r w:rsidRPr="000819B2">
        <w:rPr>
          <w:bCs/>
          <w:color w:val="010000"/>
        </w:rPr>
        <w:t>Anayasa’ya aykırılık iddiasında</w:t>
      </w:r>
      <w:r w:rsidR="000819B2" w:rsidRPr="000819B2">
        <w:rPr>
          <w:bCs/>
          <w:color w:val="010000"/>
        </w:rPr>
        <w:t xml:space="preserve"> </w:t>
      </w:r>
      <w:r w:rsidRPr="000819B2">
        <w:rPr>
          <w:bCs/>
          <w:color w:val="010000"/>
        </w:rPr>
        <w:t xml:space="preserve">bulunulduğu anlaşılmıştır. </w:t>
      </w:r>
    </w:p>
    <w:p w:rsidR="00336EB7" w:rsidRPr="000819B2" w:rsidRDefault="00336EB7" w:rsidP="000819B2">
      <w:pPr>
        <w:spacing w:after="200"/>
        <w:ind w:right="283" w:firstLine="709"/>
        <w:jc w:val="both"/>
        <w:rPr>
          <w:bCs/>
          <w:color w:val="010000"/>
        </w:rPr>
      </w:pPr>
      <w:r w:rsidRPr="000819B2">
        <w:rPr>
          <w:bCs/>
          <w:color w:val="010000"/>
        </w:rPr>
        <w:t xml:space="preserve">6. Diğer yandan itiraz yoluna başvuran Mahkemenin kuralların davada uygulanacak kural olup olmadığının tespiti açısından gerekli belgelerin onaylı örneklerini de gerekçeli başvuru kararına eklemediği tespit edilmiştir. Dolayısıyla başvuru kararının yöntemine uygun olmadığı sonucuna ulaşılmıştır. </w:t>
      </w:r>
    </w:p>
    <w:p w:rsidR="00336EB7" w:rsidRPr="000819B2" w:rsidRDefault="00336EB7" w:rsidP="000819B2">
      <w:pPr>
        <w:spacing w:after="200"/>
        <w:ind w:right="283" w:firstLine="709"/>
        <w:jc w:val="both"/>
        <w:rPr>
          <w:color w:val="010000"/>
        </w:rPr>
      </w:pPr>
      <w:r w:rsidRPr="000819B2">
        <w:rPr>
          <w:color w:val="010000"/>
        </w:rPr>
        <w:t>7.</w:t>
      </w:r>
      <w:r w:rsidR="000819B2" w:rsidRPr="000819B2">
        <w:rPr>
          <w:color w:val="010000"/>
        </w:rPr>
        <w:t xml:space="preserve"> </w:t>
      </w:r>
      <w:r w:rsidRPr="000819B2">
        <w:rPr>
          <w:color w:val="010000"/>
        </w:rPr>
        <w:t xml:space="preserve">Açıklanan nedenlerle 6216 sayılı Kanun’un 40. maddesinin (1) numaralı fıkrasının (a) bendi ile </w:t>
      </w:r>
      <w:proofErr w:type="spellStart"/>
      <w:r w:rsidRPr="000819B2">
        <w:rPr>
          <w:color w:val="010000"/>
        </w:rPr>
        <w:t>İçtüzük’ün</w:t>
      </w:r>
      <w:proofErr w:type="spellEnd"/>
      <w:r w:rsidRPr="000819B2">
        <w:rPr>
          <w:color w:val="010000"/>
        </w:rPr>
        <w:t xml:space="preserve"> 46. maddesinin (1) numaralı fıkrasının (a) bendine aykırı olduğu anlaşılan itiraz başvurusunun</w:t>
      </w:r>
      <w:r w:rsidR="000819B2" w:rsidRPr="000819B2">
        <w:rPr>
          <w:color w:val="010000"/>
        </w:rPr>
        <w:t xml:space="preserve"> </w:t>
      </w:r>
      <w:r w:rsidRPr="000819B2">
        <w:rPr>
          <w:color w:val="010000"/>
        </w:rPr>
        <w:t>6216 sayılı Kanun’un 40. maddesinin (4) numaralı</w:t>
      </w:r>
      <w:r w:rsidR="000819B2" w:rsidRPr="000819B2">
        <w:rPr>
          <w:color w:val="010000"/>
        </w:rPr>
        <w:t xml:space="preserve"> </w:t>
      </w:r>
      <w:r w:rsidRPr="000819B2">
        <w:rPr>
          <w:color w:val="010000"/>
        </w:rPr>
        <w:t>fıkrası gereğince yöntemine uygun olmadığından reddi gerekir.</w:t>
      </w:r>
    </w:p>
    <w:p w:rsidR="00336EB7" w:rsidRPr="000819B2" w:rsidRDefault="00336EB7" w:rsidP="000819B2">
      <w:pPr>
        <w:numPr>
          <w:ilvl w:val="0"/>
          <w:numId w:val="2"/>
        </w:numPr>
        <w:spacing w:after="200"/>
        <w:ind w:left="0" w:right="283" w:firstLine="709"/>
        <w:jc w:val="both"/>
        <w:rPr>
          <w:b/>
          <w:bCs/>
          <w:color w:val="010000"/>
          <w:shd w:val="clear" w:color="auto" w:fill="FFFFFF"/>
        </w:rPr>
      </w:pPr>
      <w:r w:rsidRPr="000819B2">
        <w:rPr>
          <w:b/>
          <w:bCs/>
          <w:color w:val="010000"/>
          <w:shd w:val="clear" w:color="auto" w:fill="FFFFFF"/>
        </w:rPr>
        <w:t>HÜKÜM</w:t>
      </w:r>
    </w:p>
    <w:p w:rsidR="00336EB7" w:rsidRPr="000819B2" w:rsidRDefault="00336EB7" w:rsidP="000819B2">
      <w:pPr>
        <w:overflowPunct w:val="0"/>
        <w:autoSpaceDE w:val="0"/>
        <w:autoSpaceDN w:val="0"/>
        <w:adjustRightInd w:val="0"/>
        <w:spacing w:after="200"/>
        <w:ind w:right="283" w:firstLine="709"/>
        <w:jc w:val="both"/>
        <w:rPr>
          <w:bCs/>
          <w:color w:val="010000"/>
        </w:rPr>
      </w:pPr>
      <w:r w:rsidRPr="000819B2">
        <w:rPr>
          <w:color w:val="010000"/>
        </w:rPr>
        <w:t xml:space="preserve">4/12/2004 tarihli ve 5271 sayılı </w:t>
      </w:r>
      <w:r w:rsidRPr="000819B2">
        <w:rPr>
          <w:bCs/>
          <w:color w:val="010000"/>
        </w:rPr>
        <w:t>Ceza Muhakemesi Kanunu’nun;</w:t>
      </w:r>
    </w:p>
    <w:p w:rsidR="00336EB7" w:rsidRPr="000819B2" w:rsidRDefault="00336EB7" w:rsidP="000819B2">
      <w:pPr>
        <w:overflowPunct w:val="0"/>
        <w:autoSpaceDE w:val="0"/>
        <w:autoSpaceDN w:val="0"/>
        <w:adjustRightInd w:val="0"/>
        <w:spacing w:after="200"/>
        <w:ind w:right="283" w:firstLine="709"/>
        <w:jc w:val="both"/>
        <w:rPr>
          <w:color w:val="010000"/>
        </w:rPr>
      </w:pPr>
      <w:r w:rsidRPr="000819B2">
        <w:rPr>
          <w:b/>
          <w:bCs/>
          <w:color w:val="010000"/>
        </w:rPr>
        <w:t>A.</w:t>
      </w:r>
      <w:r w:rsidRPr="000819B2">
        <w:rPr>
          <w:bCs/>
          <w:color w:val="010000"/>
        </w:rPr>
        <w:t xml:space="preserve"> 25/5/2005 tarihli ve 5353 sayılı Kanun’un 4. maddesiyle değiştirilen</w:t>
      </w:r>
      <w:r w:rsidRPr="000819B2">
        <w:rPr>
          <w:color w:val="010000"/>
        </w:rPr>
        <w:t xml:space="preserve"> 80. maddesinin (2) numaralı fıkrasının,</w:t>
      </w:r>
    </w:p>
    <w:p w:rsidR="00336EB7" w:rsidRPr="000819B2" w:rsidRDefault="00336EB7" w:rsidP="000819B2">
      <w:pPr>
        <w:overflowPunct w:val="0"/>
        <w:autoSpaceDE w:val="0"/>
        <w:autoSpaceDN w:val="0"/>
        <w:adjustRightInd w:val="0"/>
        <w:spacing w:after="200"/>
        <w:ind w:right="283" w:firstLine="709"/>
        <w:jc w:val="both"/>
        <w:rPr>
          <w:color w:val="010000"/>
        </w:rPr>
      </w:pPr>
      <w:r w:rsidRPr="000819B2">
        <w:rPr>
          <w:b/>
          <w:color w:val="010000"/>
        </w:rPr>
        <w:lastRenderedPageBreak/>
        <w:t>B.</w:t>
      </w:r>
      <w:r w:rsidRPr="000819B2">
        <w:rPr>
          <w:color w:val="010000"/>
        </w:rPr>
        <w:t xml:space="preserve"> 82. maddesinin,</w:t>
      </w:r>
    </w:p>
    <w:p w:rsidR="00336EB7" w:rsidRPr="000819B2" w:rsidRDefault="00336EB7" w:rsidP="000819B2">
      <w:pPr>
        <w:overflowPunct w:val="0"/>
        <w:autoSpaceDE w:val="0"/>
        <w:autoSpaceDN w:val="0"/>
        <w:adjustRightInd w:val="0"/>
        <w:spacing w:after="200"/>
        <w:ind w:right="283" w:firstLine="709"/>
        <w:jc w:val="both"/>
        <w:rPr>
          <w:color w:val="010000"/>
        </w:rPr>
      </w:pPr>
      <w:proofErr w:type="gramStart"/>
      <w:r w:rsidRPr="000819B2">
        <w:rPr>
          <w:color w:val="010000"/>
        </w:rPr>
        <w:t>iptallerine</w:t>
      </w:r>
      <w:proofErr w:type="gramEnd"/>
      <w:r w:rsidRPr="000819B2">
        <w:rPr>
          <w:color w:val="010000"/>
        </w:rPr>
        <w:t xml:space="preserve"> karar verilmesi talebiyle yapılan itiraz başvurusunun 30/3/2011 tarihli ve 6216 sayılı Anayasa Mahkemesinin Kuruluşu ve Yargılama Usulleri Hakkında Kanun’un 40. maddesinin (4) numaralı fıkrası gereğince yöntemine uygun olmadığından REDDİNE </w:t>
      </w:r>
      <w:r w:rsidRPr="000819B2">
        <w:rPr>
          <w:rFonts w:eastAsia="ヒラギノ明朝 Pro W3"/>
          <w:color w:val="010000"/>
          <w:lang w:eastAsia="en-US"/>
        </w:rPr>
        <w:t xml:space="preserve">6/3/2025 </w:t>
      </w:r>
      <w:r w:rsidRPr="000819B2">
        <w:rPr>
          <w:color w:val="010000"/>
        </w:rPr>
        <w:t>tarihinde OYBİRLİĞİYLE karar verildi.</w:t>
      </w:r>
    </w:p>
    <w:p w:rsidR="000819B2" w:rsidRDefault="000819B2">
      <w:bookmarkStart w:id="3" w:name="_GoBack"/>
      <w:bookmarkEnd w:id="3"/>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336EB7" w:rsidRPr="000819B2" w:rsidTr="000819B2">
        <w:trPr>
          <w:trHeight w:val="1600"/>
          <w:jc w:val="center"/>
        </w:trPr>
        <w:tc>
          <w:tcPr>
            <w:tcW w:w="1642" w:type="pct"/>
            <w:vAlign w:val="center"/>
            <w:hideMark/>
          </w:tcPr>
          <w:p w:rsidR="00336EB7" w:rsidRPr="000819B2" w:rsidRDefault="00336EB7" w:rsidP="000819B2">
            <w:pPr>
              <w:autoSpaceDN w:val="0"/>
              <w:spacing w:after="120"/>
              <w:jc w:val="center"/>
              <w:rPr>
                <w:color w:val="010000"/>
              </w:rPr>
            </w:pPr>
            <w:r w:rsidRPr="000819B2">
              <w:rPr>
                <w:color w:val="010000"/>
              </w:rPr>
              <w:t>Başkan</w:t>
            </w:r>
          </w:p>
          <w:p w:rsidR="00336EB7" w:rsidRPr="000819B2" w:rsidRDefault="00336EB7" w:rsidP="000819B2">
            <w:pPr>
              <w:autoSpaceDN w:val="0"/>
              <w:spacing w:after="120"/>
              <w:jc w:val="center"/>
              <w:rPr>
                <w:color w:val="010000"/>
              </w:rPr>
            </w:pPr>
            <w:r w:rsidRPr="000819B2">
              <w:rPr>
                <w:color w:val="010000"/>
              </w:rPr>
              <w:t>Kadir ÖZKAYA</w:t>
            </w:r>
          </w:p>
        </w:tc>
        <w:tc>
          <w:tcPr>
            <w:tcW w:w="1679" w:type="pct"/>
            <w:vAlign w:val="center"/>
            <w:hideMark/>
          </w:tcPr>
          <w:p w:rsidR="00336EB7" w:rsidRPr="000819B2" w:rsidRDefault="00336EB7" w:rsidP="000819B2">
            <w:pPr>
              <w:autoSpaceDN w:val="0"/>
              <w:spacing w:after="120"/>
              <w:jc w:val="center"/>
              <w:rPr>
                <w:color w:val="010000"/>
              </w:rPr>
            </w:pPr>
            <w:r w:rsidRPr="000819B2">
              <w:rPr>
                <w:color w:val="010000"/>
              </w:rPr>
              <w:t>Başkanvekili</w:t>
            </w:r>
          </w:p>
          <w:p w:rsidR="00336EB7" w:rsidRPr="000819B2" w:rsidRDefault="00336EB7" w:rsidP="000819B2">
            <w:pPr>
              <w:autoSpaceDN w:val="0"/>
              <w:spacing w:after="120"/>
              <w:jc w:val="center"/>
              <w:rPr>
                <w:color w:val="010000"/>
              </w:rPr>
            </w:pPr>
            <w:r w:rsidRPr="000819B2">
              <w:rPr>
                <w:color w:val="010000"/>
              </w:rPr>
              <w:t>Hasan Tahsin GÖKCAN</w:t>
            </w:r>
          </w:p>
        </w:tc>
        <w:tc>
          <w:tcPr>
            <w:tcW w:w="1679" w:type="pct"/>
            <w:vAlign w:val="center"/>
            <w:hideMark/>
          </w:tcPr>
          <w:p w:rsidR="00336EB7" w:rsidRPr="000819B2" w:rsidRDefault="00336EB7" w:rsidP="000819B2">
            <w:pPr>
              <w:autoSpaceDN w:val="0"/>
              <w:spacing w:after="120"/>
              <w:jc w:val="center"/>
              <w:rPr>
                <w:color w:val="010000"/>
              </w:rPr>
            </w:pPr>
            <w:r w:rsidRPr="000819B2">
              <w:rPr>
                <w:color w:val="010000"/>
              </w:rPr>
              <w:t xml:space="preserve">Başkanvekili </w:t>
            </w:r>
          </w:p>
          <w:p w:rsidR="00336EB7" w:rsidRPr="000819B2" w:rsidRDefault="00336EB7" w:rsidP="000819B2">
            <w:pPr>
              <w:autoSpaceDN w:val="0"/>
              <w:spacing w:after="120"/>
              <w:jc w:val="center"/>
              <w:rPr>
                <w:color w:val="010000"/>
              </w:rPr>
            </w:pPr>
            <w:r w:rsidRPr="000819B2">
              <w:rPr>
                <w:color w:val="010000"/>
              </w:rPr>
              <w:t>Basri BAĞCI</w:t>
            </w:r>
          </w:p>
        </w:tc>
      </w:tr>
      <w:tr w:rsidR="00336EB7" w:rsidRPr="000819B2" w:rsidTr="000819B2">
        <w:trPr>
          <w:trHeight w:val="1600"/>
          <w:jc w:val="center"/>
        </w:trPr>
        <w:tc>
          <w:tcPr>
            <w:tcW w:w="1642" w:type="pct"/>
            <w:vAlign w:val="center"/>
            <w:hideMark/>
          </w:tcPr>
          <w:p w:rsidR="00336EB7" w:rsidRPr="000819B2" w:rsidRDefault="00336EB7" w:rsidP="000819B2">
            <w:pPr>
              <w:autoSpaceDN w:val="0"/>
              <w:spacing w:after="120"/>
              <w:jc w:val="center"/>
              <w:rPr>
                <w:color w:val="010000"/>
              </w:rPr>
            </w:pPr>
            <w:r w:rsidRPr="000819B2">
              <w:rPr>
                <w:color w:val="010000"/>
              </w:rPr>
              <w:t xml:space="preserve">Üye </w:t>
            </w:r>
          </w:p>
          <w:p w:rsidR="00336EB7" w:rsidRPr="000819B2" w:rsidRDefault="00336EB7" w:rsidP="000819B2">
            <w:pPr>
              <w:autoSpaceDN w:val="0"/>
              <w:spacing w:after="120"/>
              <w:jc w:val="center"/>
              <w:rPr>
                <w:color w:val="010000"/>
              </w:rPr>
            </w:pPr>
            <w:r w:rsidRPr="000819B2">
              <w:rPr>
                <w:color w:val="010000"/>
              </w:rPr>
              <w:t>Engin YILDIRIM</w:t>
            </w:r>
          </w:p>
        </w:tc>
        <w:tc>
          <w:tcPr>
            <w:tcW w:w="1679" w:type="pct"/>
            <w:vAlign w:val="center"/>
            <w:hideMark/>
          </w:tcPr>
          <w:p w:rsidR="00336EB7" w:rsidRPr="000819B2" w:rsidRDefault="00336EB7" w:rsidP="000819B2">
            <w:pPr>
              <w:autoSpaceDN w:val="0"/>
              <w:spacing w:after="120"/>
              <w:jc w:val="center"/>
              <w:rPr>
                <w:color w:val="010000"/>
              </w:rPr>
            </w:pPr>
            <w:r w:rsidRPr="000819B2">
              <w:rPr>
                <w:color w:val="010000"/>
              </w:rPr>
              <w:t>Üye</w:t>
            </w:r>
          </w:p>
          <w:p w:rsidR="00336EB7" w:rsidRPr="000819B2" w:rsidRDefault="00336EB7" w:rsidP="000819B2">
            <w:pPr>
              <w:autoSpaceDN w:val="0"/>
              <w:spacing w:after="120"/>
              <w:jc w:val="center"/>
              <w:rPr>
                <w:color w:val="010000"/>
              </w:rPr>
            </w:pPr>
            <w:r w:rsidRPr="000819B2">
              <w:rPr>
                <w:color w:val="010000"/>
              </w:rPr>
              <w:t>Rıdvan GÜLEÇ</w:t>
            </w:r>
          </w:p>
        </w:tc>
        <w:tc>
          <w:tcPr>
            <w:tcW w:w="1679" w:type="pct"/>
            <w:vAlign w:val="center"/>
            <w:hideMark/>
          </w:tcPr>
          <w:p w:rsidR="00336EB7" w:rsidRPr="000819B2" w:rsidRDefault="00336EB7" w:rsidP="000819B2">
            <w:pPr>
              <w:autoSpaceDN w:val="0"/>
              <w:spacing w:after="120"/>
              <w:jc w:val="center"/>
              <w:rPr>
                <w:color w:val="010000"/>
              </w:rPr>
            </w:pPr>
            <w:r w:rsidRPr="000819B2">
              <w:rPr>
                <w:color w:val="010000"/>
              </w:rPr>
              <w:t>Üye</w:t>
            </w:r>
          </w:p>
          <w:p w:rsidR="00336EB7" w:rsidRPr="000819B2" w:rsidRDefault="00336EB7" w:rsidP="000819B2">
            <w:pPr>
              <w:autoSpaceDN w:val="0"/>
              <w:spacing w:after="120"/>
              <w:jc w:val="center"/>
              <w:rPr>
                <w:color w:val="010000"/>
              </w:rPr>
            </w:pPr>
            <w:r w:rsidRPr="000819B2">
              <w:rPr>
                <w:bCs/>
                <w:color w:val="010000"/>
              </w:rPr>
              <w:t>Recai AKYEL</w:t>
            </w:r>
          </w:p>
        </w:tc>
      </w:tr>
      <w:tr w:rsidR="00336EB7" w:rsidRPr="000819B2" w:rsidTr="000819B2">
        <w:trPr>
          <w:trHeight w:val="1600"/>
          <w:jc w:val="center"/>
        </w:trPr>
        <w:tc>
          <w:tcPr>
            <w:tcW w:w="1642" w:type="pct"/>
            <w:vAlign w:val="center"/>
            <w:hideMark/>
          </w:tcPr>
          <w:p w:rsidR="00336EB7" w:rsidRPr="000819B2" w:rsidRDefault="00336EB7" w:rsidP="000819B2">
            <w:pPr>
              <w:autoSpaceDN w:val="0"/>
              <w:spacing w:after="120"/>
              <w:jc w:val="center"/>
              <w:rPr>
                <w:color w:val="010000"/>
              </w:rPr>
            </w:pPr>
            <w:r w:rsidRPr="000819B2">
              <w:rPr>
                <w:color w:val="010000"/>
              </w:rPr>
              <w:t xml:space="preserve">Üye </w:t>
            </w:r>
          </w:p>
          <w:p w:rsidR="00336EB7" w:rsidRPr="000819B2" w:rsidRDefault="00336EB7" w:rsidP="000819B2">
            <w:pPr>
              <w:autoSpaceDN w:val="0"/>
              <w:spacing w:after="120"/>
              <w:jc w:val="center"/>
              <w:rPr>
                <w:color w:val="010000"/>
              </w:rPr>
            </w:pPr>
            <w:r w:rsidRPr="000819B2">
              <w:rPr>
                <w:bCs/>
                <w:color w:val="010000"/>
              </w:rPr>
              <w:t>Yusuf Şevki HAKYEMEZ</w:t>
            </w:r>
          </w:p>
        </w:tc>
        <w:tc>
          <w:tcPr>
            <w:tcW w:w="1679" w:type="pct"/>
            <w:vAlign w:val="center"/>
            <w:hideMark/>
          </w:tcPr>
          <w:p w:rsidR="00336EB7" w:rsidRPr="000819B2" w:rsidRDefault="00336EB7" w:rsidP="000819B2">
            <w:pPr>
              <w:autoSpaceDN w:val="0"/>
              <w:spacing w:after="120"/>
              <w:jc w:val="center"/>
              <w:rPr>
                <w:color w:val="010000"/>
              </w:rPr>
            </w:pPr>
            <w:r w:rsidRPr="000819B2">
              <w:rPr>
                <w:color w:val="010000"/>
              </w:rPr>
              <w:t>Üye</w:t>
            </w:r>
          </w:p>
          <w:p w:rsidR="00336EB7" w:rsidRPr="000819B2" w:rsidRDefault="00336EB7" w:rsidP="000819B2">
            <w:pPr>
              <w:autoSpaceDN w:val="0"/>
              <w:spacing w:after="120"/>
              <w:jc w:val="center"/>
              <w:rPr>
                <w:color w:val="010000"/>
              </w:rPr>
            </w:pPr>
            <w:r w:rsidRPr="000819B2">
              <w:rPr>
                <w:bCs/>
                <w:color w:val="010000"/>
              </w:rPr>
              <w:t>Yıldız SEFERİNOĞLU</w:t>
            </w:r>
          </w:p>
        </w:tc>
        <w:tc>
          <w:tcPr>
            <w:tcW w:w="1679" w:type="pct"/>
            <w:vAlign w:val="center"/>
            <w:hideMark/>
          </w:tcPr>
          <w:p w:rsidR="00336EB7" w:rsidRPr="000819B2" w:rsidRDefault="00336EB7" w:rsidP="000819B2">
            <w:pPr>
              <w:autoSpaceDN w:val="0"/>
              <w:spacing w:after="120"/>
              <w:jc w:val="center"/>
              <w:rPr>
                <w:color w:val="010000"/>
              </w:rPr>
            </w:pPr>
            <w:r w:rsidRPr="000819B2">
              <w:rPr>
                <w:color w:val="010000"/>
              </w:rPr>
              <w:t>Üye</w:t>
            </w:r>
          </w:p>
          <w:p w:rsidR="00336EB7" w:rsidRPr="000819B2" w:rsidRDefault="00336EB7" w:rsidP="000819B2">
            <w:pPr>
              <w:autoSpaceDN w:val="0"/>
              <w:spacing w:after="120"/>
              <w:jc w:val="center"/>
              <w:rPr>
                <w:color w:val="010000"/>
              </w:rPr>
            </w:pPr>
            <w:r w:rsidRPr="000819B2">
              <w:rPr>
                <w:color w:val="010000"/>
              </w:rPr>
              <w:t>Selahaddin MENTEŞ</w:t>
            </w:r>
          </w:p>
        </w:tc>
      </w:tr>
      <w:tr w:rsidR="00336EB7" w:rsidRPr="000819B2" w:rsidTr="000819B2">
        <w:trPr>
          <w:trHeight w:val="1600"/>
          <w:jc w:val="center"/>
        </w:trPr>
        <w:tc>
          <w:tcPr>
            <w:tcW w:w="1642" w:type="pct"/>
            <w:vAlign w:val="center"/>
            <w:hideMark/>
          </w:tcPr>
          <w:p w:rsidR="00336EB7" w:rsidRPr="000819B2" w:rsidRDefault="00336EB7" w:rsidP="000819B2">
            <w:pPr>
              <w:autoSpaceDN w:val="0"/>
              <w:spacing w:after="120"/>
              <w:jc w:val="center"/>
              <w:rPr>
                <w:color w:val="010000"/>
              </w:rPr>
            </w:pPr>
            <w:r w:rsidRPr="000819B2">
              <w:rPr>
                <w:color w:val="010000"/>
              </w:rPr>
              <w:t xml:space="preserve">Üye </w:t>
            </w:r>
          </w:p>
          <w:p w:rsidR="00336EB7" w:rsidRPr="000819B2" w:rsidRDefault="00336EB7" w:rsidP="000819B2">
            <w:pPr>
              <w:autoSpaceDN w:val="0"/>
              <w:spacing w:after="120"/>
              <w:jc w:val="center"/>
              <w:rPr>
                <w:color w:val="010000"/>
              </w:rPr>
            </w:pPr>
            <w:r w:rsidRPr="000819B2">
              <w:rPr>
                <w:bCs/>
                <w:color w:val="010000"/>
              </w:rPr>
              <w:t>İrfan FİDAN</w:t>
            </w:r>
          </w:p>
        </w:tc>
        <w:tc>
          <w:tcPr>
            <w:tcW w:w="1679" w:type="pct"/>
            <w:vAlign w:val="center"/>
            <w:hideMark/>
          </w:tcPr>
          <w:p w:rsidR="00336EB7" w:rsidRPr="000819B2" w:rsidRDefault="00336EB7" w:rsidP="000819B2">
            <w:pPr>
              <w:autoSpaceDN w:val="0"/>
              <w:spacing w:after="120"/>
              <w:jc w:val="center"/>
              <w:rPr>
                <w:color w:val="010000"/>
              </w:rPr>
            </w:pPr>
            <w:r w:rsidRPr="000819B2">
              <w:rPr>
                <w:color w:val="010000"/>
              </w:rPr>
              <w:t>Üye</w:t>
            </w:r>
          </w:p>
          <w:p w:rsidR="00336EB7" w:rsidRPr="000819B2" w:rsidRDefault="00336EB7" w:rsidP="000819B2">
            <w:pPr>
              <w:autoSpaceDN w:val="0"/>
              <w:spacing w:after="120"/>
              <w:jc w:val="center"/>
              <w:rPr>
                <w:color w:val="010000"/>
              </w:rPr>
            </w:pPr>
            <w:r w:rsidRPr="000819B2">
              <w:rPr>
                <w:color w:val="010000"/>
              </w:rPr>
              <w:t>Kenan YAŞAR</w:t>
            </w:r>
          </w:p>
        </w:tc>
        <w:tc>
          <w:tcPr>
            <w:tcW w:w="1679" w:type="pct"/>
            <w:vAlign w:val="center"/>
            <w:hideMark/>
          </w:tcPr>
          <w:p w:rsidR="00336EB7" w:rsidRPr="000819B2" w:rsidRDefault="00336EB7" w:rsidP="000819B2">
            <w:pPr>
              <w:autoSpaceDN w:val="0"/>
              <w:spacing w:after="120"/>
              <w:jc w:val="center"/>
              <w:rPr>
                <w:color w:val="010000"/>
              </w:rPr>
            </w:pPr>
            <w:r w:rsidRPr="000819B2">
              <w:rPr>
                <w:color w:val="010000"/>
              </w:rPr>
              <w:t>Üye</w:t>
            </w:r>
          </w:p>
          <w:p w:rsidR="00336EB7" w:rsidRPr="000819B2" w:rsidRDefault="00336EB7" w:rsidP="000819B2">
            <w:pPr>
              <w:autoSpaceDN w:val="0"/>
              <w:spacing w:after="120"/>
              <w:jc w:val="center"/>
              <w:rPr>
                <w:color w:val="010000"/>
              </w:rPr>
            </w:pPr>
            <w:r w:rsidRPr="000819B2">
              <w:rPr>
                <w:color w:val="010000"/>
              </w:rPr>
              <w:t>Muhterem İNCE</w:t>
            </w:r>
          </w:p>
        </w:tc>
      </w:tr>
      <w:tr w:rsidR="00336EB7" w:rsidRPr="000819B2" w:rsidTr="000819B2">
        <w:trPr>
          <w:trHeight w:val="1600"/>
          <w:jc w:val="center"/>
        </w:trPr>
        <w:tc>
          <w:tcPr>
            <w:tcW w:w="1642" w:type="pct"/>
            <w:vAlign w:val="center"/>
            <w:hideMark/>
          </w:tcPr>
          <w:p w:rsidR="00336EB7" w:rsidRPr="000819B2" w:rsidRDefault="00336EB7" w:rsidP="000819B2">
            <w:pPr>
              <w:autoSpaceDN w:val="0"/>
              <w:spacing w:after="120"/>
              <w:jc w:val="center"/>
              <w:rPr>
                <w:color w:val="010000"/>
              </w:rPr>
            </w:pPr>
            <w:r w:rsidRPr="000819B2">
              <w:rPr>
                <w:color w:val="010000"/>
              </w:rPr>
              <w:t xml:space="preserve">Üye </w:t>
            </w:r>
          </w:p>
          <w:p w:rsidR="00336EB7" w:rsidRPr="000819B2" w:rsidRDefault="00336EB7" w:rsidP="000819B2">
            <w:pPr>
              <w:autoSpaceDN w:val="0"/>
              <w:spacing w:after="120"/>
              <w:jc w:val="center"/>
              <w:rPr>
                <w:color w:val="010000"/>
              </w:rPr>
            </w:pPr>
            <w:r w:rsidRPr="000819B2">
              <w:rPr>
                <w:bCs/>
                <w:color w:val="010000"/>
              </w:rPr>
              <w:t>Yılmaz AKÇİL</w:t>
            </w:r>
          </w:p>
        </w:tc>
        <w:tc>
          <w:tcPr>
            <w:tcW w:w="1679" w:type="pct"/>
            <w:vAlign w:val="center"/>
            <w:hideMark/>
          </w:tcPr>
          <w:p w:rsidR="00336EB7" w:rsidRPr="000819B2" w:rsidRDefault="00336EB7" w:rsidP="000819B2">
            <w:pPr>
              <w:autoSpaceDN w:val="0"/>
              <w:spacing w:after="120"/>
              <w:jc w:val="center"/>
              <w:rPr>
                <w:color w:val="010000"/>
              </w:rPr>
            </w:pPr>
            <w:r w:rsidRPr="000819B2">
              <w:rPr>
                <w:color w:val="010000"/>
              </w:rPr>
              <w:t>Üye</w:t>
            </w:r>
          </w:p>
          <w:p w:rsidR="00336EB7" w:rsidRPr="000819B2" w:rsidRDefault="00336EB7" w:rsidP="000819B2">
            <w:pPr>
              <w:autoSpaceDN w:val="0"/>
              <w:spacing w:after="120"/>
              <w:jc w:val="center"/>
              <w:rPr>
                <w:bCs/>
                <w:color w:val="010000"/>
              </w:rPr>
            </w:pPr>
            <w:r w:rsidRPr="000819B2">
              <w:rPr>
                <w:bCs/>
                <w:color w:val="010000"/>
              </w:rPr>
              <w:t>Ömer ÇINAR</w:t>
            </w:r>
          </w:p>
        </w:tc>
        <w:tc>
          <w:tcPr>
            <w:tcW w:w="1679" w:type="pct"/>
            <w:vAlign w:val="center"/>
            <w:hideMark/>
          </w:tcPr>
          <w:p w:rsidR="00336EB7" w:rsidRPr="000819B2" w:rsidRDefault="00336EB7" w:rsidP="000819B2">
            <w:pPr>
              <w:autoSpaceDN w:val="0"/>
              <w:spacing w:after="120"/>
              <w:jc w:val="center"/>
              <w:rPr>
                <w:color w:val="010000"/>
              </w:rPr>
            </w:pPr>
            <w:r w:rsidRPr="000819B2">
              <w:rPr>
                <w:color w:val="010000"/>
              </w:rPr>
              <w:t>Üye</w:t>
            </w:r>
          </w:p>
          <w:p w:rsidR="00336EB7" w:rsidRPr="000819B2" w:rsidRDefault="00336EB7" w:rsidP="000819B2">
            <w:pPr>
              <w:autoSpaceDN w:val="0"/>
              <w:spacing w:after="120"/>
              <w:jc w:val="center"/>
              <w:rPr>
                <w:color w:val="010000"/>
              </w:rPr>
            </w:pPr>
            <w:r w:rsidRPr="000819B2">
              <w:rPr>
                <w:color w:val="010000"/>
              </w:rPr>
              <w:t>Metin KIRATLI</w:t>
            </w:r>
          </w:p>
        </w:tc>
      </w:tr>
      <w:bookmarkEnd w:id="0"/>
    </w:tbl>
    <w:p w:rsidR="00336EB7" w:rsidRPr="000819B2" w:rsidRDefault="00336EB7" w:rsidP="000819B2">
      <w:pPr>
        <w:jc w:val="both"/>
        <w:rPr>
          <w:b/>
          <w:bCs/>
          <w:color w:val="010000"/>
          <w:shd w:val="clear" w:color="auto" w:fill="FFFFFF"/>
        </w:rPr>
      </w:pPr>
    </w:p>
    <w:sectPr w:rsidR="00336EB7" w:rsidRPr="000819B2" w:rsidSect="000819B2">
      <w:headerReference w:type="default" r:id="rId7"/>
      <w:footerReference w:type="even" r:id="rId8"/>
      <w:footerReference w:type="default" r:id="rId9"/>
      <w:foot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33F" w:rsidRDefault="0017233F" w:rsidP="009D679B">
      <w:r>
        <w:separator/>
      </w:r>
    </w:p>
  </w:endnote>
  <w:endnote w:type="continuationSeparator" w:id="0">
    <w:p w:rsidR="0017233F" w:rsidRDefault="0017233F" w:rsidP="009D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9B2" w:rsidRDefault="000819B2" w:rsidP="00293C0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819B2" w:rsidRDefault="000819B2" w:rsidP="000819B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9B2" w:rsidRPr="000819B2" w:rsidRDefault="000819B2" w:rsidP="00293C09">
    <w:pPr>
      <w:pStyle w:val="AltBilgi"/>
      <w:framePr w:wrap="around" w:vAnchor="text" w:hAnchor="margin" w:xAlign="right" w:y="1"/>
      <w:rPr>
        <w:rStyle w:val="SayfaNumaras"/>
      </w:rPr>
    </w:pPr>
    <w:r w:rsidRPr="000819B2">
      <w:rPr>
        <w:rStyle w:val="SayfaNumaras"/>
      </w:rPr>
      <w:fldChar w:fldCharType="begin"/>
    </w:r>
    <w:r w:rsidRPr="000819B2">
      <w:rPr>
        <w:rStyle w:val="SayfaNumaras"/>
      </w:rPr>
      <w:instrText xml:space="preserve"> PAGE </w:instrText>
    </w:r>
    <w:r w:rsidRPr="000819B2">
      <w:rPr>
        <w:rStyle w:val="SayfaNumaras"/>
      </w:rPr>
      <w:fldChar w:fldCharType="separate"/>
    </w:r>
    <w:r w:rsidRPr="000819B2">
      <w:rPr>
        <w:rStyle w:val="SayfaNumaras"/>
        <w:noProof/>
      </w:rPr>
      <w:t>1</w:t>
    </w:r>
    <w:r w:rsidRPr="000819B2">
      <w:rPr>
        <w:rStyle w:val="SayfaNumaras"/>
      </w:rPr>
      <w:fldChar w:fldCharType="end"/>
    </w:r>
  </w:p>
  <w:p w:rsidR="001508BC" w:rsidRDefault="001508BC" w:rsidP="000819B2">
    <w:pPr>
      <w:pStyle w:val="AltBilgi"/>
      <w:ind w:right="360"/>
      <w:jc w:val="right"/>
    </w:pPr>
  </w:p>
  <w:p w:rsidR="001508BC" w:rsidRDefault="001508B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8BC" w:rsidRDefault="001508BC">
    <w:pPr>
      <w:pStyle w:val="AltBilgi"/>
      <w:jc w:val="right"/>
    </w:pPr>
  </w:p>
  <w:p w:rsidR="001508BC" w:rsidRDefault="001508B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33F" w:rsidRDefault="0017233F" w:rsidP="009D679B">
      <w:r>
        <w:separator/>
      </w:r>
    </w:p>
  </w:footnote>
  <w:footnote w:type="continuationSeparator" w:id="0">
    <w:p w:rsidR="0017233F" w:rsidRDefault="0017233F" w:rsidP="009D6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9B2" w:rsidRPr="000819B2" w:rsidRDefault="000819B2" w:rsidP="000819B2">
    <w:pPr>
      <w:pStyle w:val="stBilgi"/>
      <w:rPr>
        <w:b/>
      </w:rPr>
    </w:pPr>
    <w:r w:rsidRPr="000819B2">
      <w:rPr>
        <w:b/>
      </w:rPr>
      <w:t xml:space="preserve">Esas </w:t>
    </w:r>
    <w:proofErr w:type="gramStart"/>
    <w:r w:rsidRPr="000819B2">
      <w:rPr>
        <w:b/>
      </w:rPr>
      <w:t>Sayısı :</w:t>
    </w:r>
    <w:proofErr w:type="gramEnd"/>
    <w:r w:rsidRPr="000819B2">
      <w:rPr>
        <w:b/>
      </w:rPr>
      <w:t xml:space="preserve"> 2025/53</w:t>
    </w:r>
  </w:p>
  <w:p w:rsidR="000819B2" w:rsidRDefault="000819B2" w:rsidP="000819B2">
    <w:pPr>
      <w:pStyle w:val="stBilgi"/>
      <w:rPr>
        <w:b/>
      </w:rPr>
    </w:pPr>
    <w:r>
      <w:rPr>
        <w:b/>
      </w:rPr>
      <w:t xml:space="preserve">Karar </w:t>
    </w:r>
    <w:proofErr w:type="gramStart"/>
    <w:r>
      <w:rPr>
        <w:b/>
      </w:rPr>
      <w:t>Sayısı :</w:t>
    </w:r>
    <w:proofErr w:type="gramEnd"/>
    <w:r>
      <w:rPr>
        <w:b/>
      </w:rPr>
      <w:t xml:space="preserve"> 2025/49</w:t>
    </w:r>
  </w:p>
  <w:p w:rsidR="009D679B" w:rsidRPr="000819B2" w:rsidRDefault="009D679B" w:rsidP="000819B2">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42642"/>
    <w:multiLevelType w:val="hybridMultilevel"/>
    <w:tmpl w:val="A1DCFDE0"/>
    <w:lvl w:ilvl="0" w:tplc="6472DD7C">
      <w:start w:val="1"/>
      <w:numFmt w:val="upperRoman"/>
      <w:suff w:val="space"/>
      <w:lvlText w:val="%1."/>
      <w:lvlJc w:val="left"/>
      <w:pPr>
        <w:ind w:left="1429"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15674E08"/>
    <w:multiLevelType w:val="hybridMultilevel"/>
    <w:tmpl w:val="33D49E5A"/>
    <w:lvl w:ilvl="0" w:tplc="A144299E">
      <w:start w:val="1"/>
      <w:numFmt w:val="upp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73460"/>
    <w:rsid w:val="000819B2"/>
    <w:rsid w:val="000F583B"/>
    <w:rsid w:val="001508BC"/>
    <w:rsid w:val="0017233F"/>
    <w:rsid w:val="00194A81"/>
    <w:rsid w:val="002119EE"/>
    <w:rsid w:val="002D1B3F"/>
    <w:rsid w:val="00336EB7"/>
    <w:rsid w:val="00594FA7"/>
    <w:rsid w:val="00887D5D"/>
    <w:rsid w:val="00952B5F"/>
    <w:rsid w:val="009D679B"/>
    <w:rsid w:val="00B02493"/>
    <w:rsid w:val="00BE7C43"/>
    <w:rsid w:val="00EF5E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A9BF63-A213-4919-AB51-F1C0D33E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9D679B"/>
    <w:pPr>
      <w:tabs>
        <w:tab w:val="center" w:pos="4536"/>
        <w:tab w:val="right" w:pos="9072"/>
      </w:tabs>
    </w:pPr>
  </w:style>
  <w:style w:type="character" w:customStyle="1" w:styleId="stBilgiChar">
    <w:name w:val="Üst Bilgi Char"/>
    <w:link w:val="stBilgi"/>
    <w:rsid w:val="009D679B"/>
    <w:rPr>
      <w:sz w:val="24"/>
      <w:szCs w:val="24"/>
    </w:rPr>
  </w:style>
  <w:style w:type="paragraph" w:styleId="AltBilgi">
    <w:name w:val="footer"/>
    <w:basedOn w:val="Normal"/>
    <w:link w:val="AltBilgiChar"/>
    <w:uiPriority w:val="99"/>
    <w:rsid w:val="009D679B"/>
    <w:pPr>
      <w:tabs>
        <w:tab w:val="center" w:pos="4536"/>
        <w:tab w:val="right" w:pos="9072"/>
      </w:tabs>
    </w:pPr>
  </w:style>
  <w:style w:type="character" w:customStyle="1" w:styleId="AltBilgiChar">
    <w:name w:val="Alt Bilgi Char"/>
    <w:link w:val="AltBilgi"/>
    <w:uiPriority w:val="99"/>
    <w:rsid w:val="009D679B"/>
    <w:rPr>
      <w:sz w:val="24"/>
      <w:szCs w:val="24"/>
    </w:rPr>
  </w:style>
  <w:style w:type="paragraph" w:styleId="KonuBal">
    <w:name w:val="Title"/>
    <w:basedOn w:val="Normal"/>
    <w:link w:val="KonuBalChar"/>
    <w:qFormat/>
    <w:rsid w:val="000F583B"/>
    <w:pPr>
      <w:widowControl w:val="0"/>
      <w:overflowPunct w:val="0"/>
      <w:autoSpaceDE w:val="0"/>
      <w:autoSpaceDN w:val="0"/>
      <w:adjustRightInd w:val="0"/>
      <w:jc w:val="center"/>
    </w:pPr>
    <w:rPr>
      <w:szCs w:val="20"/>
    </w:rPr>
  </w:style>
  <w:style w:type="character" w:customStyle="1" w:styleId="KonuBalChar">
    <w:name w:val="Konu Başlığı Char"/>
    <w:link w:val="KonuBal"/>
    <w:rsid w:val="000F583B"/>
    <w:rPr>
      <w:sz w:val="24"/>
    </w:rPr>
  </w:style>
  <w:style w:type="paragraph" w:styleId="BalonMetni">
    <w:name w:val="Balloon Text"/>
    <w:basedOn w:val="Normal"/>
    <w:link w:val="BalonMetniChar"/>
    <w:rsid w:val="002D1B3F"/>
    <w:rPr>
      <w:rFonts w:ascii="Segoe UI" w:hAnsi="Segoe UI" w:cs="Segoe UI"/>
      <w:sz w:val="18"/>
      <w:szCs w:val="18"/>
    </w:rPr>
  </w:style>
  <w:style w:type="character" w:customStyle="1" w:styleId="BalonMetniChar">
    <w:name w:val="Balon Metni Char"/>
    <w:basedOn w:val="VarsaylanParagrafYazTipi"/>
    <w:link w:val="BalonMetni"/>
    <w:rsid w:val="002D1B3F"/>
    <w:rPr>
      <w:rFonts w:ascii="Segoe UI" w:hAnsi="Segoe UI" w:cs="Segoe UI"/>
      <w:sz w:val="18"/>
      <w:szCs w:val="18"/>
    </w:rPr>
  </w:style>
  <w:style w:type="character" w:styleId="SayfaNumaras">
    <w:name w:val="page number"/>
    <w:basedOn w:val="VarsaylanParagrafYazTipi"/>
    <w:rsid w:val="00081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4834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2025-05-30T07:28:00Z</cp:lastPrinted>
  <dcterms:created xsi:type="dcterms:W3CDTF">2025-06-02T07:00:00Z</dcterms:created>
  <dcterms:modified xsi:type="dcterms:W3CDTF">2025-06-02T07:00:00Z</dcterms:modified>
</cp:coreProperties>
</file>