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5DA7" w:rsidRDefault="00925DA7" w:rsidP="00A74CDF">
      <w:pPr>
        <w:spacing w:after="200"/>
        <w:ind w:right="283"/>
        <w:jc w:val="center"/>
        <w:rPr>
          <w:b/>
          <w:bCs/>
          <w:caps/>
          <w:color w:val="010000"/>
          <w:lang w:eastAsia="zh-CN"/>
        </w:rPr>
      </w:pPr>
      <w:r w:rsidRPr="00A74CDF">
        <w:rPr>
          <w:b/>
          <w:bCs/>
          <w:caps/>
          <w:color w:val="010000"/>
          <w:lang w:eastAsia="zh-CN"/>
        </w:rPr>
        <w:t>ANAYASA MAHKEMESİ KARARI</w:t>
      </w:r>
    </w:p>
    <w:p w:rsidR="00A74CDF" w:rsidRPr="00A74CDF" w:rsidRDefault="00A74CDF" w:rsidP="00A74CDF">
      <w:pPr>
        <w:spacing w:after="200"/>
        <w:ind w:right="283" w:firstLine="709"/>
        <w:jc w:val="center"/>
        <w:rPr>
          <w:b/>
          <w:bCs/>
          <w:caps/>
          <w:color w:val="010000"/>
          <w:lang w:eastAsia="zh-CN"/>
        </w:rPr>
      </w:pPr>
    </w:p>
    <w:p w:rsidR="00A74CDF" w:rsidRDefault="00A74CDF" w:rsidP="00A74CDF">
      <w:pPr>
        <w:rPr>
          <w:b/>
          <w:bCs/>
          <w:color w:val="010000"/>
          <w:lang w:eastAsia="zh-CN"/>
        </w:rPr>
      </w:pPr>
      <w:r>
        <w:rPr>
          <w:b/>
          <w:bCs/>
          <w:color w:val="010000"/>
          <w:lang w:eastAsia="zh-CN"/>
        </w:rPr>
        <w:t xml:space="preserve">Esas </w:t>
      </w:r>
      <w:proofErr w:type="gramStart"/>
      <w:r>
        <w:rPr>
          <w:b/>
          <w:bCs/>
          <w:color w:val="010000"/>
          <w:lang w:eastAsia="zh-CN"/>
        </w:rPr>
        <w:t>Sayısı :</w:t>
      </w:r>
      <w:proofErr w:type="gramEnd"/>
      <w:r>
        <w:rPr>
          <w:b/>
          <w:bCs/>
          <w:color w:val="010000"/>
          <w:lang w:eastAsia="zh-CN"/>
        </w:rPr>
        <w:t xml:space="preserve"> 2025/45</w:t>
      </w:r>
    </w:p>
    <w:p w:rsidR="00A74CDF" w:rsidRDefault="00A74CDF" w:rsidP="00A74CDF">
      <w:pPr>
        <w:rPr>
          <w:b/>
          <w:color w:val="010000"/>
          <w:lang w:eastAsia="zh-CN"/>
        </w:rPr>
      </w:pPr>
      <w:r>
        <w:rPr>
          <w:b/>
          <w:color w:val="010000"/>
          <w:lang w:eastAsia="zh-CN"/>
        </w:rPr>
        <w:t xml:space="preserve">Karar </w:t>
      </w:r>
      <w:proofErr w:type="gramStart"/>
      <w:r>
        <w:rPr>
          <w:b/>
          <w:color w:val="010000"/>
          <w:lang w:eastAsia="zh-CN"/>
        </w:rPr>
        <w:t>Sayısı :</w:t>
      </w:r>
      <w:proofErr w:type="gramEnd"/>
      <w:r>
        <w:rPr>
          <w:b/>
          <w:color w:val="010000"/>
          <w:lang w:eastAsia="zh-CN"/>
        </w:rPr>
        <w:t xml:space="preserve"> 2025/45</w:t>
      </w:r>
    </w:p>
    <w:p w:rsidR="00A74CDF" w:rsidRDefault="00A74CDF" w:rsidP="00A74CDF">
      <w:pPr>
        <w:rPr>
          <w:b/>
          <w:color w:val="010000"/>
          <w:lang w:eastAsia="zh-CN"/>
        </w:rPr>
      </w:pPr>
      <w:r>
        <w:rPr>
          <w:b/>
          <w:color w:val="010000"/>
          <w:lang w:eastAsia="zh-CN"/>
        </w:rPr>
        <w:t xml:space="preserve">Karar </w:t>
      </w:r>
      <w:proofErr w:type="gramStart"/>
      <w:r>
        <w:rPr>
          <w:b/>
          <w:color w:val="010000"/>
          <w:lang w:eastAsia="zh-CN"/>
        </w:rPr>
        <w:t>Tarihi :</w:t>
      </w:r>
      <w:proofErr w:type="gramEnd"/>
      <w:r>
        <w:rPr>
          <w:b/>
          <w:color w:val="010000"/>
          <w:lang w:eastAsia="zh-CN"/>
        </w:rPr>
        <w:t xml:space="preserve"> 6/3/2025</w:t>
      </w:r>
    </w:p>
    <w:p w:rsidR="00A74CDF" w:rsidRDefault="00A74CDF" w:rsidP="00A74CDF">
      <w:pPr>
        <w:rPr>
          <w:b/>
          <w:color w:val="010000"/>
          <w:lang w:eastAsia="zh-CN"/>
        </w:rPr>
      </w:pPr>
      <w:proofErr w:type="spellStart"/>
      <w:r>
        <w:rPr>
          <w:b/>
          <w:color w:val="010000"/>
          <w:lang w:eastAsia="zh-CN"/>
        </w:rPr>
        <w:t>R.</w:t>
      </w:r>
      <w:proofErr w:type="gramStart"/>
      <w:r>
        <w:rPr>
          <w:b/>
          <w:color w:val="010000"/>
          <w:lang w:eastAsia="zh-CN"/>
        </w:rPr>
        <w:t>G.Tarih</w:t>
      </w:r>
      <w:proofErr w:type="spellEnd"/>
      <w:proofErr w:type="gramEnd"/>
      <w:r>
        <w:rPr>
          <w:b/>
          <w:color w:val="010000"/>
          <w:lang w:eastAsia="zh-CN"/>
        </w:rPr>
        <w:t>-Sayı : 26/5/2025-32911</w:t>
      </w:r>
    </w:p>
    <w:p w:rsidR="008E6DAB" w:rsidRPr="00A74CDF" w:rsidRDefault="008E6DAB" w:rsidP="00A74CDF">
      <w:pPr>
        <w:rPr>
          <w:b/>
          <w:color w:val="010000"/>
          <w:lang w:eastAsia="zh-CN"/>
        </w:rPr>
      </w:pPr>
    </w:p>
    <w:p w:rsidR="00925DA7" w:rsidRPr="00A74CDF" w:rsidRDefault="00925DA7" w:rsidP="00A74CDF">
      <w:pPr>
        <w:spacing w:after="200"/>
        <w:ind w:right="283" w:firstLine="709"/>
        <w:jc w:val="both"/>
        <w:rPr>
          <w:b/>
          <w:bCs/>
          <w:color w:val="010000"/>
        </w:rPr>
      </w:pPr>
      <w:r w:rsidRPr="00A74CDF">
        <w:rPr>
          <w:b/>
          <w:bCs/>
          <w:color w:val="010000"/>
        </w:rPr>
        <w:t>İTİRAZ YOLUNA BAŞVURAN:</w:t>
      </w:r>
      <w:r w:rsidR="00A74CDF" w:rsidRPr="00A74CDF">
        <w:rPr>
          <w:b/>
          <w:bCs/>
          <w:color w:val="010000"/>
        </w:rPr>
        <w:t xml:space="preserve"> </w:t>
      </w:r>
      <w:r w:rsidRPr="00A74CDF">
        <w:rPr>
          <w:bCs/>
          <w:color w:val="010000"/>
        </w:rPr>
        <w:t>İstanbul 3. Vergi Mahkemesi</w:t>
      </w:r>
      <w:r w:rsidRPr="00A74CDF">
        <w:rPr>
          <w:b/>
          <w:bCs/>
          <w:color w:val="010000"/>
        </w:rPr>
        <w:t xml:space="preserve"> </w:t>
      </w:r>
    </w:p>
    <w:p w:rsidR="00925DA7" w:rsidRPr="00A74CDF" w:rsidRDefault="00925DA7" w:rsidP="00A74CDF">
      <w:pPr>
        <w:pStyle w:val="KonuBal"/>
        <w:widowControl/>
        <w:spacing w:after="200"/>
        <w:ind w:right="283" w:firstLine="709"/>
        <w:jc w:val="both"/>
        <w:rPr>
          <w:color w:val="010000"/>
          <w:lang w:eastAsia="zh-CN"/>
        </w:rPr>
      </w:pPr>
      <w:r w:rsidRPr="00A74CDF">
        <w:rPr>
          <w:b/>
          <w:bCs/>
          <w:color w:val="010000"/>
        </w:rPr>
        <w:t xml:space="preserve">İTİRAZIN KONUSU: </w:t>
      </w:r>
      <w:bookmarkStart w:id="0" w:name="_Hlk190073575"/>
      <w:r w:rsidRPr="00A74CDF">
        <w:rPr>
          <w:bCs/>
          <w:color w:val="010000"/>
          <w:szCs w:val="24"/>
        </w:rPr>
        <w:t>6/1/1982 tarihli ve 2577 sayılı İdari Yargılama Usulü Kanunu’nun</w:t>
      </w:r>
      <w:r w:rsidRPr="00A74CDF">
        <w:rPr>
          <w:b/>
          <w:color w:val="010000"/>
          <w:szCs w:val="24"/>
        </w:rPr>
        <w:t xml:space="preserve"> </w:t>
      </w:r>
      <w:r w:rsidRPr="00A74CDF">
        <w:rPr>
          <w:bCs/>
          <w:color w:val="010000"/>
          <w:szCs w:val="24"/>
        </w:rPr>
        <w:t>28/7/2024 tarihli ve 7524 sayılı Kanun’un 54. maddesiyle değiştirilen ek 1. maddesinin (2) numaralı fıkrasının birinci cümlesinde yer alan “</w:t>
      </w:r>
      <w:r w:rsidRPr="00A74CDF">
        <w:rPr>
          <w:bCs/>
          <w:i/>
          <w:color w:val="010000"/>
          <w:szCs w:val="24"/>
        </w:rPr>
        <w:t>…</w:t>
      </w:r>
      <w:r w:rsidRPr="00A74CDF">
        <w:rPr>
          <w:i/>
          <w:color w:val="010000"/>
          <w:szCs w:val="24"/>
        </w:rPr>
        <w:t>45 inci…</w:t>
      </w:r>
      <w:r w:rsidRPr="00A74CDF">
        <w:rPr>
          <w:color w:val="010000"/>
          <w:szCs w:val="24"/>
        </w:rPr>
        <w:t>”, “</w:t>
      </w:r>
      <w:r w:rsidRPr="00A74CDF">
        <w:rPr>
          <w:i/>
          <w:color w:val="010000"/>
          <w:szCs w:val="24"/>
        </w:rPr>
        <w:t>…maddeler uyarınca istinaf…</w:t>
      </w:r>
      <w:r w:rsidRPr="00A74CDF">
        <w:rPr>
          <w:color w:val="010000"/>
          <w:szCs w:val="24"/>
        </w:rPr>
        <w:t>”, “</w:t>
      </w:r>
      <w:r w:rsidRPr="00A74CDF">
        <w:rPr>
          <w:i/>
          <w:color w:val="010000"/>
          <w:szCs w:val="24"/>
        </w:rPr>
        <w:t>…yoluna başvurulabilecek kararların belirlenmesinde ise ilk derece mahkemesi…</w:t>
      </w:r>
      <w:r w:rsidRPr="00A74CDF">
        <w:rPr>
          <w:color w:val="010000"/>
          <w:szCs w:val="24"/>
        </w:rPr>
        <w:t>”</w:t>
      </w:r>
      <w:r w:rsidRPr="00A74CDF">
        <w:rPr>
          <w:i/>
          <w:color w:val="010000"/>
          <w:szCs w:val="24"/>
        </w:rPr>
        <w:t xml:space="preserve"> </w:t>
      </w:r>
      <w:r w:rsidRPr="00A74CDF">
        <w:rPr>
          <w:color w:val="010000"/>
          <w:szCs w:val="24"/>
        </w:rPr>
        <w:t>ve</w:t>
      </w:r>
      <w:r w:rsidRPr="00A74CDF">
        <w:rPr>
          <w:b/>
          <w:color w:val="010000"/>
          <w:szCs w:val="24"/>
        </w:rPr>
        <w:t xml:space="preserve"> </w:t>
      </w:r>
      <w:r w:rsidRPr="00A74CDF">
        <w:rPr>
          <w:color w:val="010000"/>
          <w:szCs w:val="24"/>
        </w:rPr>
        <w:t>“</w:t>
      </w:r>
      <w:r w:rsidRPr="00A74CDF">
        <w:rPr>
          <w:i/>
          <w:color w:val="010000"/>
          <w:szCs w:val="24"/>
        </w:rPr>
        <w:t>…kararın verildiği tarihteki parasal sınır esas alınır.</w:t>
      </w:r>
      <w:r w:rsidRPr="00A74CDF">
        <w:rPr>
          <w:color w:val="010000"/>
          <w:szCs w:val="24"/>
        </w:rPr>
        <w:t xml:space="preserve">” ibarelerinin </w:t>
      </w:r>
      <w:r w:rsidRPr="00A74CDF">
        <w:rPr>
          <w:bCs/>
          <w:color w:val="010000"/>
          <w:szCs w:val="24"/>
        </w:rPr>
        <w:t xml:space="preserve">Anayasa’nın 2., 10., 13., 37. ve 40. maddelerine aykırı olduğu ileri sürülerek </w:t>
      </w:r>
      <w:r w:rsidRPr="00A74CDF">
        <w:rPr>
          <w:color w:val="010000"/>
          <w:szCs w:val="24"/>
        </w:rPr>
        <w:t>iptallerine karar verilmesi</w:t>
      </w:r>
      <w:bookmarkEnd w:id="0"/>
      <w:r w:rsidRPr="00A74CDF">
        <w:rPr>
          <w:color w:val="010000"/>
        </w:rPr>
        <w:t xml:space="preserve"> talebidir.</w:t>
      </w:r>
    </w:p>
    <w:p w:rsidR="00925DA7" w:rsidRPr="00A74CDF" w:rsidRDefault="00925DA7" w:rsidP="00A74CDF">
      <w:pPr>
        <w:spacing w:after="200"/>
        <w:ind w:right="283" w:firstLine="709"/>
        <w:jc w:val="both"/>
        <w:rPr>
          <w:color w:val="010000"/>
          <w:shd w:val="clear" w:color="auto" w:fill="FFFFFF"/>
          <w:lang w:eastAsia="zh-CN"/>
        </w:rPr>
      </w:pPr>
      <w:r w:rsidRPr="00A74CDF">
        <w:rPr>
          <w:b/>
          <w:bCs/>
          <w:color w:val="010000"/>
        </w:rPr>
        <w:t>OLAY:</w:t>
      </w:r>
      <w:r w:rsidRPr="00A74CDF">
        <w:rPr>
          <w:bCs/>
          <w:color w:val="010000"/>
        </w:rPr>
        <w:t xml:space="preserve"> </w:t>
      </w:r>
      <w:r w:rsidRPr="00A74CDF">
        <w:rPr>
          <w:color w:val="010000"/>
        </w:rPr>
        <w:t>Tapu harcının iptali talebiyle açılan davada itiraz konusu kuralların Anayasa’ya aykırı olduğu kanısına varan Mahkeme, iptalleri için başvurmuştur.</w:t>
      </w:r>
    </w:p>
    <w:p w:rsidR="00925DA7" w:rsidRPr="00A74CDF" w:rsidRDefault="00925DA7" w:rsidP="00A74CDF">
      <w:pPr>
        <w:spacing w:after="200"/>
        <w:ind w:right="283" w:firstLine="709"/>
        <w:jc w:val="both"/>
        <w:rPr>
          <w:b/>
          <w:bCs/>
          <w:color w:val="010000"/>
        </w:rPr>
      </w:pPr>
      <w:r w:rsidRPr="00A74CDF">
        <w:rPr>
          <w:b/>
          <w:bCs/>
          <w:color w:val="010000"/>
        </w:rPr>
        <w:t>I.</w:t>
      </w:r>
      <w:r w:rsidRPr="00A74CDF">
        <w:rPr>
          <w:color w:val="010000"/>
        </w:rPr>
        <w:t xml:space="preserve"> </w:t>
      </w:r>
      <w:r w:rsidRPr="00A74CDF">
        <w:rPr>
          <w:b/>
          <w:bCs/>
          <w:color w:val="010000"/>
        </w:rPr>
        <w:t xml:space="preserve">İPTALİ İSTENEN KANUN HÜKÜMLERİ </w:t>
      </w:r>
    </w:p>
    <w:p w:rsidR="00925DA7" w:rsidRPr="00A74CDF" w:rsidRDefault="00925DA7" w:rsidP="00A74CDF">
      <w:pPr>
        <w:spacing w:after="200"/>
        <w:ind w:right="283" w:firstLine="709"/>
        <w:jc w:val="both"/>
        <w:rPr>
          <w:color w:val="010000"/>
        </w:rPr>
      </w:pPr>
      <w:r w:rsidRPr="00A74CDF">
        <w:rPr>
          <w:color w:val="010000"/>
        </w:rPr>
        <w:t>Kanun’un itiraz konusu kuralların da yer aldığı ek 1. maddesi şöyledir:</w:t>
      </w:r>
    </w:p>
    <w:p w:rsidR="00925DA7" w:rsidRPr="00A74CDF" w:rsidRDefault="00A74CDF" w:rsidP="00A74CDF">
      <w:pPr>
        <w:spacing w:after="200"/>
        <w:ind w:right="283" w:firstLine="709"/>
        <w:jc w:val="both"/>
        <w:rPr>
          <w:bCs/>
          <w:i/>
          <w:color w:val="010000"/>
          <w:szCs w:val="22"/>
        </w:rPr>
      </w:pPr>
      <w:r w:rsidRPr="00A74CDF">
        <w:rPr>
          <w:color w:val="010000"/>
          <w:szCs w:val="22"/>
        </w:rPr>
        <w:t xml:space="preserve"> </w:t>
      </w:r>
      <w:r w:rsidR="00925DA7" w:rsidRPr="00A74CDF">
        <w:rPr>
          <w:color w:val="010000"/>
          <w:szCs w:val="22"/>
        </w:rPr>
        <w:t>“</w:t>
      </w:r>
      <w:r w:rsidR="00925DA7" w:rsidRPr="00A74CDF">
        <w:rPr>
          <w:bCs/>
          <w:i/>
          <w:color w:val="010000"/>
          <w:szCs w:val="22"/>
        </w:rPr>
        <w:t>Parasal sınırların artırılması:</w:t>
      </w:r>
    </w:p>
    <w:p w:rsidR="00925DA7" w:rsidRPr="00A74CDF" w:rsidRDefault="00925DA7" w:rsidP="00A74CDF">
      <w:pPr>
        <w:spacing w:after="200"/>
        <w:ind w:right="283" w:firstLine="709"/>
        <w:jc w:val="both"/>
        <w:rPr>
          <w:bCs/>
          <w:i/>
          <w:color w:val="010000"/>
          <w:szCs w:val="22"/>
        </w:rPr>
      </w:pPr>
      <w:r w:rsidRPr="00A74CDF">
        <w:rPr>
          <w:bCs/>
          <w:i/>
          <w:color w:val="010000"/>
          <w:szCs w:val="22"/>
        </w:rPr>
        <w:t xml:space="preserve">Ek Madde 1 – (Ek: 5/4/1990-3622/26 </w:t>
      </w:r>
      <w:proofErr w:type="spellStart"/>
      <w:r w:rsidRPr="00A74CDF">
        <w:rPr>
          <w:bCs/>
          <w:i/>
          <w:color w:val="010000"/>
          <w:szCs w:val="22"/>
        </w:rPr>
        <w:t>md.</w:t>
      </w:r>
      <w:proofErr w:type="spellEnd"/>
      <w:r w:rsidRPr="00A74CDF">
        <w:rPr>
          <w:bCs/>
          <w:i/>
          <w:color w:val="010000"/>
          <w:szCs w:val="22"/>
        </w:rPr>
        <w:t xml:space="preserve">; </w:t>
      </w:r>
      <w:proofErr w:type="gramStart"/>
      <w:r w:rsidRPr="00A74CDF">
        <w:rPr>
          <w:bCs/>
          <w:i/>
          <w:color w:val="010000"/>
          <w:szCs w:val="22"/>
        </w:rPr>
        <w:t>Değişik :</w:t>
      </w:r>
      <w:proofErr w:type="gramEnd"/>
      <w:r w:rsidRPr="00A74CDF">
        <w:rPr>
          <w:bCs/>
          <w:i/>
          <w:color w:val="010000"/>
          <w:szCs w:val="22"/>
        </w:rPr>
        <w:t xml:space="preserve"> 8/6/2000-4577/9 </w:t>
      </w:r>
      <w:proofErr w:type="spellStart"/>
      <w:r w:rsidRPr="00A74CDF">
        <w:rPr>
          <w:bCs/>
          <w:i/>
          <w:color w:val="010000"/>
          <w:szCs w:val="22"/>
        </w:rPr>
        <w:t>md.</w:t>
      </w:r>
      <w:proofErr w:type="spellEnd"/>
      <w:r w:rsidRPr="00A74CDF">
        <w:rPr>
          <w:bCs/>
          <w:i/>
          <w:color w:val="010000"/>
          <w:szCs w:val="22"/>
        </w:rPr>
        <w:t xml:space="preserve">) (Değişik:28/7/2024-7524/54 </w:t>
      </w:r>
      <w:proofErr w:type="spellStart"/>
      <w:r w:rsidRPr="00A74CDF">
        <w:rPr>
          <w:bCs/>
          <w:i/>
          <w:color w:val="010000"/>
          <w:szCs w:val="22"/>
        </w:rPr>
        <w:t>md.</w:t>
      </w:r>
      <w:proofErr w:type="spellEnd"/>
      <w:r w:rsidRPr="00A74CDF">
        <w:rPr>
          <w:bCs/>
          <w:i/>
          <w:color w:val="010000"/>
          <w:szCs w:val="22"/>
        </w:rPr>
        <w:t>)</w:t>
      </w:r>
      <w:r w:rsidR="00A74CDF" w:rsidRPr="00A74CDF">
        <w:rPr>
          <w:bCs/>
          <w:i/>
          <w:color w:val="010000"/>
          <w:szCs w:val="22"/>
        </w:rPr>
        <w:t xml:space="preserve"> </w:t>
      </w:r>
    </w:p>
    <w:p w:rsidR="00925DA7" w:rsidRPr="00A74CDF" w:rsidRDefault="00925DA7" w:rsidP="00A74CDF">
      <w:pPr>
        <w:spacing w:after="200"/>
        <w:ind w:right="283" w:firstLine="709"/>
        <w:jc w:val="both"/>
        <w:rPr>
          <w:bCs/>
          <w:i/>
          <w:color w:val="010000"/>
          <w:szCs w:val="22"/>
        </w:rPr>
      </w:pPr>
      <w:r w:rsidRPr="00A74CDF">
        <w:rPr>
          <w:bCs/>
          <w:i/>
          <w:color w:val="010000"/>
          <w:szCs w:val="22"/>
        </w:rPr>
        <w:t>1. Bu Kanunda öngörülen parasal sınırlar; her yıl, bir önceki yıla ilişkin olarak 4/1/1961 tarihli ve 213 sayılı Vergi Usul Kanununun mükerrer 298 inci maddesi hükümleri uyarınca tespit ve ilan edilen yeniden değerleme oranında, takvim yılı başından geçerli olmak üzere artırılmak suretiyle uygulanır. Bu şekilde belirlenen sınırların bin Türk lirasını aşmayan kısımları dikkate alınmaz.</w:t>
      </w:r>
    </w:p>
    <w:p w:rsidR="00925DA7" w:rsidRPr="00A74CDF" w:rsidRDefault="00925DA7" w:rsidP="00A74CDF">
      <w:pPr>
        <w:spacing w:after="200"/>
        <w:ind w:right="283" w:firstLine="709"/>
        <w:jc w:val="both"/>
        <w:rPr>
          <w:i/>
          <w:color w:val="010000"/>
          <w:szCs w:val="22"/>
        </w:rPr>
      </w:pPr>
      <w:r w:rsidRPr="00A74CDF">
        <w:rPr>
          <w:bCs/>
          <w:i/>
          <w:color w:val="010000"/>
          <w:szCs w:val="22"/>
        </w:rPr>
        <w:t xml:space="preserve">2. </w:t>
      </w:r>
      <w:bookmarkStart w:id="1" w:name="_Hlk192683983"/>
      <w:proofErr w:type="gramStart"/>
      <w:r w:rsidRPr="00A74CDF">
        <w:rPr>
          <w:bCs/>
          <w:i/>
          <w:color w:val="010000"/>
          <w:szCs w:val="22"/>
        </w:rPr>
        <w:t xml:space="preserve">17 </w:t>
      </w:r>
      <w:proofErr w:type="spellStart"/>
      <w:r w:rsidRPr="00A74CDF">
        <w:rPr>
          <w:bCs/>
          <w:i/>
          <w:color w:val="010000"/>
          <w:szCs w:val="22"/>
        </w:rPr>
        <w:t>nci</w:t>
      </w:r>
      <w:proofErr w:type="spellEnd"/>
      <w:proofErr w:type="gramEnd"/>
      <w:r w:rsidRPr="00A74CDF">
        <w:rPr>
          <w:bCs/>
          <w:i/>
          <w:color w:val="010000"/>
          <w:szCs w:val="22"/>
        </w:rPr>
        <w:t xml:space="preserve"> madde uyarınca duruşma yapılmasının zorunlu olduğu davaların belirlenmesinde davanın açıldığı; </w:t>
      </w:r>
      <w:bookmarkStart w:id="2" w:name="_Hlk190163502"/>
      <w:r w:rsidRPr="00A74CDF">
        <w:rPr>
          <w:b/>
          <w:bCs/>
          <w:i/>
          <w:color w:val="010000"/>
          <w:szCs w:val="22"/>
          <w:u w:val="single"/>
        </w:rPr>
        <w:t>45 inci</w:t>
      </w:r>
      <w:r w:rsidRPr="00A74CDF">
        <w:rPr>
          <w:bCs/>
          <w:i/>
          <w:color w:val="010000"/>
          <w:szCs w:val="22"/>
        </w:rPr>
        <w:t xml:space="preserve"> ve 46 </w:t>
      </w:r>
      <w:proofErr w:type="spellStart"/>
      <w:r w:rsidRPr="00A74CDF">
        <w:rPr>
          <w:bCs/>
          <w:i/>
          <w:color w:val="010000"/>
          <w:szCs w:val="22"/>
        </w:rPr>
        <w:t>ncı</w:t>
      </w:r>
      <w:proofErr w:type="spellEnd"/>
      <w:r w:rsidRPr="00A74CDF">
        <w:rPr>
          <w:bCs/>
          <w:i/>
          <w:color w:val="010000"/>
          <w:szCs w:val="22"/>
        </w:rPr>
        <w:t xml:space="preserve"> </w:t>
      </w:r>
      <w:r w:rsidRPr="00A74CDF">
        <w:rPr>
          <w:b/>
          <w:bCs/>
          <w:i/>
          <w:color w:val="010000"/>
          <w:szCs w:val="22"/>
          <w:u w:val="single"/>
        </w:rPr>
        <w:t>maddeler uyarınca istinaf</w:t>
      </w:r>
      <w:r w:rsidRPr="00A74CDF">
        <w:rPr>
          <w:bCs/>
          <w:i/>
          <w:color w:val="010000"/>
          <w:szCs w:val="22"/>
        </w:rPr>
        <w:t xml:space="preserve"> veya temyiz </w:t>
      </w:r>
      <w:r w:rsidRPr="00A74CDF">
        <w:rPr>
          <w:b/>
          <w:bCs/>
          <w:i/>
          <w:color w:val="010000"/>
          <w:szCs w:val="22"/>
          <w:u w:val="single"/>
        </w:rPr>
        <w:t xml:space="preserve">yoluna başvurulabilecek kararların belirlenmesinde ise </w:t>
      </w:r>
      <w:bookmarkEnd w:id="2"/>
      <w:r w:rsidRPr="00A74CDF">
        <w:rPr>
          <w:b/>
          <w:bCs/>
          <w:i/>
          <w:color w:val="010000"/>
          <w:szCs w:val="22"/>
          <w:u w:val="single"/>
        </w:rPr>
        <w:t>ilk derece mahkemesi</w:t>
      </w:r>
      <w:r w:rsidRPr="00A74CDF">
        <w:rPr>
          <w:bCs/>
          <w:i/>
          <w:color w:val="010000"/>
          <w:szCs w:val="22"/>
        </w:rPr>
        <w:t xml:space="preserve"> veya bölge idare mahkemesince nihai </w:t>
      </w:r>
      <w:r w:rsidRPr="00A74CDF">
        <w:rPr>
          <w:b/>
          <w:bCs/>
          <w:i/>
          <w:color w:val="010000"/>
          <w:szCs w:val="22"/>
          <w:u w:val="single"/>
        </w:rPr>
        <w:t>kararın verildiği tarihteki parasal sınır esas alınır</w:t>
      </w:r>
      <w:r w:rsidRPr="00A74CDF">
        <w:rPr>
          <w:bCs/>
          <w:i/>
          <w:color w:val="010000"/>
          <w:szCs w:val="22"/>
        </w:rPr>
        <w:t xml:space="preserve">. </w:t>
      </w:r>
      <w:bookmarkEnd w:id="1"/>
      <w:r w:rsidRPr="00A74CDF">
        <w:rPr>
          <w:bCs/>
          <w:i/>
          <w:color w:val="010000"/>
          <w:szCs w:val="22"/>
        </w:rPr>
        <w:t xml:space="preserve">Ancak nihai karar tarihinden sonra parasal sınırlarda meydana gelen artış, bölge idare mahkemesinin kaldırma veya </w:t>
      </w:r>
      <w:proofErr w:type="spellStart"/>
      <w:r w:rsidRPr="00A74CDF">
        <w:rPr>
          <w:bCs/>
          <w:i/>
          <w:color w:val="010000"/>
          <w:szCs w:val="22"/>
        </w:rPr>
        <w:t>Danıştayın</w:t>
      </w:r>
      <w:proofErr w:type="spellEnd"/>
      <w:r w:rsidRPr="00A74CDF">
        <w:rPr>
          <w:bCs/>
          <w:i/>
          <w:color w:val="010000"/>
          <w:szCs w:val="22"/>
        </w:rPr>
        <w:t xml:space="preserve"> bozma kararı üzerine yeniden bakılan davalarda uygulanmaz.</w:t>
      </w:r>
      <w:r w:rsidRPr="00A74CDF">
        <w:rPr>
          <w:color w:val="010000"/>
          <w:szCs w:val="22"/>
        </w:rPr>
        <w:t>”</w:t>
      </w:r>
    </w:p>
    <w:p w:rsidR="00925DA7" w:rsidRPr="00A74CDF" w:rsidRDefault="00925DA7" w:rsidP="00A74CDF">
      <w:pPr>
        <w:spacing w:after="200"/>
        <w:ind w:right="283" w:firstLine="709"/>
        <w:jc w:val="both"/>
        <w:rPr>
          <w:b/>
          <w:bCs/>
          <w:color w:val="010000"/>
        </w:rPr>
      </w:pPr>
      <w:r w:rsidRPr="00A74CDF">
        <w:rPr>
          <w:b/>
          <w:bCs/>
          <w:color w:val="010000"/>
        </w:rPr>
        <w:t>II. İLK İNCELEME</w:t>
      </w:r>
    </w:p>
    <w:p w:rsidR="00925DA7" w:rsidRPr="00A74CDF" w:rsidRDefault="00925DA7" w:rsidP="00A74CDF">
      <w:pPr>
        <w:pStyle w:val="ListeParagraf"/>
        <w:numPr>
          <w:ilvl w:val="0"/>
          <w:numId w:val="1"/>
        </w:numPr>
        <w:spacing w:after="200"/>
        <w:ind w:left="0" w:right="283" w:firstLine="709"/>
        <w:contextualSpacing w:val="0"/>
        <w:jc w:val="both"/>
        <w:rPr>
          <w:color w:val="010000"/>
        </w:rPr>
      </w:pPr>
      <w:r w:rsidRPr="00A74CDF">
        <w:rPr>
          <w:color w:val="010000"/>
        </w:rPr>
        <w:t xml:space="preserve">Anayasa Mahkemesi İçtüzüğü hükümleri uyarınca Kadir ÖZKAYA, Hasan Tahsin GÖKCAN, Basri BAĞCI, Engin YILDIRIM, Rıdvan GÜLEÇ, Recai AKYEL, Yusuf Şevki HAKYEMEZ, Yıldız SEFERİNOĞLU, Selahaddin MENTEŞ, İrfan FİDAN, Kenan YAŞAR, Muhterem İNCE, Yılmaz AKÇİL, Ömer ÇINAR ve Metin </w:t>
      </w:r>
      <w:proofErr w:type="spellStart"/>
      <w:r w:rsidRPr="00A74CDF">
        <w:rPr>
          <w:color w:val="010000"/>
        </w:rPr>
        <w:t>KIRATLI’nın</w:t>
      </w:r>
      <w:proofErr w:type="spellEnd"/>
      <w:r w:rsidRPr="00A74CDF">
        <w:rPr>
          <w:color w:val="010000"/>
        </w:rPr>
        <w:t xml:space="preserve"> katılımlarıyla 6/3/2025 tarihinde yapılan ilk inceleme </w:t>
      </w:r>
      <w:r w:rsidRPr="00A74CDF">
        <w:rPr>
          <w:color w:val="010000"/>
          <w:shd w:val="clear" w:color="auto" w:fill="FFFFFF"/>
        </w:rPr>
        <w:t>toplantısında öncelikle sınırlama sorunu görüşülmüştür.</w:t>
      </w:r>
    </w:p>
    <w:p w:rsidR="00925DA7" w:rsidRPr="00A74CDF" w:rsidRDefault="00925DA7" w:rsidP="00A74CDF">
      <w:pPr>
        <w:pStyle w:val="ListeParagraf"/>
        <w:numPr>
          <w:ilvl w:val="0"/>
          <w:numId w:val="1"/>
        </w:numPr>
        <w:spacing w:after="200"/>
        <w:ind w:left="0" w:right="283" w:firstLine="709"/>
        <w:contextualSpacing w:val="0"/>
        <w:jc w:val="both"/>
        <w:rPr>
          <w:color w:val="010000"/>
        </w:rPr>
      </w:pPr>
      <w:r w:rsidRPr="00A74CDF">
        <w:rPr>
          <w:color w:val="010000"/>
        </w:rPr>
        <w:t xml:space="preserve">Anayasa’nın 152. ile 30/3/2011 tarihli ve 6216 sayılı Anayasa Mahkemesinin Kuruluşu ve Yargılama Usulleri Hakkında Kanun’un 40. maddelerine göre bir davaya bakmakta olan mahkeme, o dava sebebiyle uygulanacak bir kanunun veya Cumhurbaşkanlığı kararnamesinin </w:t>
      </w:r>
      <w:r w:rsidRPr="00A74CDF">
        <w:rPr>
          <w:color w:val="010000"/>
        </w:rPr>
        <w:lastRenderedPageBreak/>
        <w:t>hükümlerini Anayasa’ya aykırı görmesi hâlinde veya taraflardan birinin ileri sürdüğü aykırılık iddiasının ciddi olduğu kanısına varması durumunda bu hükümlerin iptali için Anayasa Mahkemesine başvurmaya yetkilidir. Ancak anılan maddeler uyarınca bir mahkemenin Anayasa Mahkemesine başvurabilmesi için elinde yöntemince açılmış ve mahkemenin görevine giren bir davanın bulunması, iptali talep edilen kuralın da o davada uygulanacak olması gerekir. Uygulanacak kural ise bakılmakta olan davanın değişik evrelerinde ortaya çıkan sorunların çözümünde veya davayı sonuçlandırmada olumlu ya da olumsuz yönde etki yapacak nitelikte bulunan kurallardır.</w:t>
      </w:r>
    </w:p>
    <w:p w:rsidR="00925DA7" w:rsidRPr="00A74CDF" w:rsidRDefault="00925DA7" w:rsidP="00A74CDF">
      <w:pPr>
        <w:pStyle w:val="ListeParagraf"/>
        <w:numPr>
          <w:ilvl w:val="0"/>
          <w:numId w:val="1"/>
        </w:numPr>
        <w:spacing w:after="200"/>
        <w:ind w:left="0" w:right="283" w:firstLine="709"/>
        <w:contextualSpacing w:val="0"/>
        <w:jc w:val="both"/>
        <w:rPr>
          <w:color w:val="010000"/>
        </w:rPr>
      </w:pPr>
      <w:r w:rsidRPr="00A74CDF">
        <w:rPr>
          <w:color w:val="010000"/>
        </w:rPr>
        <w:t>2577 sayılı Kanun’un ek 1. maddesinin (2) numaralı fıkrasının birinci cümlesinde anılan Kanun’un 17. maddesi uyarınca duruşma yapılmasının zorunlu olduğu davaların belirlenmesinde davanın açıldığı tarihteki, Kanun’un 45. ve 46. maddeleri uyarınca istinaf veya temyiz yoluna başvurulabilecek kararların belirlenmesinde ise ilk derece mahkemesi veya bölge idare mahkemesince nihai kararın verildiği tarihteki parasal sınırın esas alınacağı belirtilmiştir.</w:t>
      </w:r>
      <w:r w:rsidRPr="00A74CDF" w:rsidDel="00E009C3">
        <w:rPr>
          <w:color w:val="010000"/>
        </w:rPr>
        <w:t xml:space="preserve"> </w:t>
      </w:r>
    </w:p>
    <w:p w:rsidR="00925DA7" w:rsidRPr="00A74CDF" w:rsidRDefault="00925DA7" w:rsidP="00A74CDF">
      <w:pPr>
        <w:pStyle w:val="ListeParagraf"/>
        <w:numPr>
          <w:ilvl w:val="0"/>
          <w:numId w:val="1"/>
        </w:numPr>
        <w:spacing w:after="200"/>
        <w:ind w:left="0" w:right="283" w:firstLine="709"/>
        <w:contextualSpacing w:val="0"/>
        <w:jc w:val="both"/>
        <w:rPr>
          <w:color w:val="010000"/>
        </w:rPr>
      </w:pPr>
      <w:r w:rsidRPr="00A74CDF">
        <w:rPr>
          <w:color w:val="010000"/>
        </w:rPr>
        <w:t xml:space="preserve">İtiraz yoluna başvuran Mahkeme, anılan cümlede yer alan </w:t>
      </w:r>
      <w:r w:rsidRPr="00A74CDF">
        <w:rPr>
          <w:bCs/>
          <w:color w:val="010000"/>
        </w:rPr>
        <w:t>“</w:t>
      </w:r>
      <w:r w:rsidRPr="00A74CDF">
        <w:rPr>
          <w:bCs/>
          <w:i/>
          <w:color w:val="010000"/>
        </w:rPr>
        <w:t>…</w:t>
      </w:r>
      <w:r w:rsidRPr="00A74CDF">
        <w:rPr>
          <w:i/>
          <w:color w:val="010000"/>
        </w:rPr>
        <w:t>45 inci…</w:t>
      </w:r>
      <w:r w:rsidRPr="00A74CDF">
        <w:rPr>
          <w:color w:val="010000"/>
        </w:rPr>
        <w:t>”, “</w:t>
      </w:r>
      <w:r w:rsidRPr="00A74CDF">
        <w:rPr>
          <w:i/>
          <w:color w:val="010000"/>
        </w:rPr>
        <w:t>…maddeler uyarınca istinaf…</w:t>
      </w:r>
      <w:r w:rsidRPr="00A74CDF">
        <w:rPr>
          <w:color w:val="010000"/>
        </w:rPr>
        <w:t>”, “</w:t>
      </w:r>
      <w:r w:rsidRPr="00A74CDF">
        <w:rPr>
          <w:i/>
          <w:color w:val="010000"/>
        </w:rPr>
        <w:t>…yoluna başvurulabilecek kararların belirlenmesinde ise ilk derece mahkemesi…</w:t>
      </w:r>
      <w:r w:rsidRPr="00A74CDF">
        <w:rPr>
          <w:color w:val="010000"/>
        </w:rPr>
        <w:t>”</w:t>
      </w:r>
      <w:r w:rsidRPr="00A74CDF">
        <w:rPr>
          <w:i/>
          <w:color w:val="010000"/>
        </w:rPr>
        <w:t xml:space="preserve"> </w:t>
      </w:r>
      <w:r w:rsidRPr="00A74CDF">
        <w:rPr>
          <w:color w:val="010000"/>
        </w:rPr>
        <w:t>ve</w:t>
      </w:r>
      <w:r w:rsidRPr="00A74CDF">
        <w:rPr>
          <w:b/>
          <w:color w:val="010000"/>
        </w:rPr>
        <w:t xml:space="preserve"> </w:t>
      </w:r>
      <w:r w:rsidRPr="00A74CDF">
        <w:rPr>
          <w:color w:val="010000"/>
        </w:rPr>
        <w:t>“</w:t>
      </w:r>
      <w:r w:rsidRPr="00A74CDF">
        <w:rPr>
          <w:i/>
          <w:color w:val="010000"/>
        </w:rPr>
        <w:t>…kararın verildiği tarihteki parasal sınır esas alınır.</w:t>
      </w:r>
      <w:r w:rsidRPr="00A74CDF">
        <w:rPr>
          <w:color w:val="010000"/>
        </w:rPr>
        <w:t>” ibarelerinin iptallerini talep etmiştir.</w:t>
      </w:r>
    </w:p>
    <w:p w:rsidR="00925DA7" w:rsidRPr="00A74CDF" w:rsidRDefault="00925DA7" w:rsidP="00A74CDF">
      <w:pPr>
        <w:pStyle w:val="ListeParagraf"/>
        <w:numPr>
          <w:ilvl w:val="0"/>
          <w:numId w:val="1"/>
        </w:numPr>
        <w:spacing w:after="200"/>
        <w:ind w:left="0" w:right="283" w:firstLine="709"/>
        <w:contextualSpacing w:val="0"/>
        <w:jc w:val="both"/>
        <w:rPr>
          <w:color w:val="010000"/>
        </w:rPr>
      </w:pPr>
      <w:r w:rsidRPr="00A74CDF">
        <w:rPr>
          <w:color w:val="010000"/>
        </w:rPr>
        <w:t>Cümlede yer alan “</w:t>
      </w:r>
      <w:r w:rsidRPr="00A74CDF">
        <w:rPr>
          <w:i/>
          <w:color w:val="010000"/>
        </w:rPr>
        <w:t>…maddeler uyarınca…</w:t>
      </w:r>
      <w:r w:rsidRPr="00A74CDF">
        <w:rPr>
          <w:color w:val="010000"/>
        </w:rPr>
        <w:t>”, “</w:t>
      </w:r>
      <w:r w:rsidRPr="00A74CDF">
        <w:rPr>
          <w:i/>
          <w:color w:val="010000"/>
        </w:rPr>
        <w:t>…yoluna başvurulabilecek kararların belirlenmesinde ise…</w:t>
      </w:r>
      <w:r w:rsidRPr="00A74CDF">
        <w:rPr>
          <w:color w:val="010000"/>
        </w:rPr>
        <w:t>” ve “</w:t>
      </w:r>
      <w:r w:rsidRPr="00A74CDF">
        <w:rPr>
          <w:i/>
          <w:color w:val="010000"/>
        </w:rPr>
        <w:t>…kararın verildiği tarihteki parasal sınır esas alınır.</w:t>
      </w:r>
      <w:r w:rsidRPr="00A74CDF">
        <w:rPr>
          <w:color w:val="010000"/>
        </w:rPr>
        <w:t xml:space="preserve">” </w:t>
      </w:r>
      <w:r w:rsidRPr="00A74CDF">
        <w:rPr>
          <w:bCs/>
          <w:color w:val="010000"/>
        </w:rPr>
        <w:t xml:space="preserve">ibareleri </w:t>
      </w:r>
      <w:r w:rsidRPr="00A74CDF">
        <w:rPr>
          <w:color w:val="010000"/>
          <w:shd w:val="clear" w:color="auto" w:fill="FFFFFF"/>
        </w:rPr>
        <w:t>istinaf kanun yoluna başvuruya ilişkin parasal sınırın yanı sıra duruşma yapılmasının zorunlu olduğu hâller ve temyiz kanun yoluna başvuru ile ilgili parasal sınırların belirlenmesi bakımından da geçerli, ortak kural niteliğindedir.</w:t>
      </w:r>
      <w:r w:rsidR="00A74CDF" w:rsidRPr="00A74CDF">
        <w:rPr>
          <w:color w:val="010000"/>
          <w:shd w:val="clear" w:color="auto" w:fill="FFFFFF"/>
        </w:rPr>
        <w:t xml:space="preserve"> </w:t>
      </w:r>
      <w:r w:rsidRPr="00A74CDF">
        <w:rPr>
          <w:color w:val="010000"/>
          <w:shd w:val="clear" w:color="auto" w:fill="FFFFFF"/>
        </w:rPr>
        <w:t>Dolayısıyla bakılmakta olan davanın konusu ve bulunduğu aşama gözetildiğinde kuralların esasına ilişkin incelemenin</w:t>
      </w:r>
      <w:r w:rsidRPr="00A74CDF">
        <w:rPr>
          <w:color w:val="010000"/>
        </w:rPr>
        <w:t xml:space="preserve"> </w:t>
      </w:r>
      <w:r w:rsidRPr="00A74CDF">
        <w:rPr>
          <w:bCs/>
          <w:color w:val="010000"/>
        </w:rPr>
        <w:t>“</w:t>
      </w:r>
      <w:r w:rsidRPr="00A74CDF">
        <w:rPr>
          <w:bCs/>
          <w:i/>
          <w:color w:val="010000"/>
        </w:rPr>
        <w:t>…</w:t>
      </w:r>
      <w:r w:rsidRPr="00A74CDF">
        <w:rPr>
          <w:i/>
          <w:color w:val="010000"/>
        </w:rPr>
        <w:t>45 inci…</w:t>
      </w:r>
      <w:r w:rsidRPr="00A74CDF">
        <w:rPr>
          <w:color w:val="010000"/>
        </w:rPr>
        <w:t>” ve “…</w:t>
      </w:r>
      <w:r w:rsidRPr="00A74CDF">
        <w:rPr>
          <w:i/>
          <w:color w:val="010000"/>
        </w:rPr>
        <w:t>istinaf…</w:t>
      </w:r>
      <w:r w:rsidRPr="00A74CDF">
        <w:rPr>
          <w:color w:val="010000"/>
        </w:rPr>
        <w:t>” ve “</w:t>
      </w:r>
      <w:r w:rsidRPr="00A74CDF">
        <w:rPr>
          <w:bCs/>
          <w:i/>
          <w:color w:val="010000"/>
        </w:rPr>
        <w:t>…</w:t>
      </w:r>
      <w:r w:rsidRPr="00A74CDF">
        <w:rPr>
          <w:i/>
          <w:color w:val="010000"/>
        </w:rPr>
        <w:t>ilk derece mahkemesi…</w:t>
      </w:r>
      <w:r w:rsidRPr="00A74CDF">
        <w:rPr>
          <w:color w:val="010000"/>
        </w:rPr>
        <w:t>” ibareleri ile sınırlı olarak yapılması gerekir.</w:t>
      </w:r>
    </w:p>
    <w:p w:rsidR="00925DA7" w:rsidRPr="00A74CDF" w:rsidRDefault="00925DA7" w:rsidP="00A74CDF">
      <w:pPr>
        <w:pStyle w:val="ListeParagraf"/>
        <w:numPr>
          <w:ilvl w:val="0"/>
          <w:numId w:val="1"/>
        </w:numPr>
        <w:spacing w:after="200"/>
        <w:ind w:left="0" w:right="283" w:firstLine="709"/>
        <w:contextualSpacing w:val="0"/>
        <w:jc w:val="both"/>
        <w:rPr>
          <w:color w:val="010000"/>
        </w:rPr>
      </w:pPr>
      <w:r w:rsidRPr="00A74CDF">
        <w:rPr>
          <w:color w:val="010000"/>
        </w:rPr>
        <w:t>Açıklanan nedenlerle 6/1/1982 tarihli ve 2577 sayılı İdari Yargılama Usulü Kanunu’nun 28/7/2024 tarihli ve 7524 sayılı Kanun’un 54. maddesiyle değiştirilen ek 1. maddesinin (2) numaralı fıkrasının birinci cümlesinde yer alan</w:t>
      </w:r>
      <w:r w:rsidR="00A74CDF" w:rsidRPr="00A74CDF">
        <w:rPr>
          <w:color w:val="010000"/>
        </w:rPr>
        <w:t xml:space="preserve"> </w:t>
      </w:r>
      <w:r w:rsidRPr="00A74CDF">
        <w:rPr>
          <w:bCs/>
          <w:color w:val="010000"/>
        </w:rPr>
        <w:t>“</w:t>
      </w:r>
      <w:r w:rsidRPr="00A74CDF">
        <w:rPr>
          <w:bCs/>
          <w:i/>
          <w:color w:val="010000"/>
        </w:rPr>
        <w:t>…</w:t>
      </w:r>
      <w:r w:rsidRPr="00A74CDF">
        <w:rPr>
          <w:i/>
          <w:color w:val="010000"/>
        </w:rPr>
        <w:t>45 inci…</w:t>
      </w:r>
      <w:r w:rsidRPr="00A74CDF">
        <w:rPr>
          <w:color w:val="010000"/>
        </w:rPr>
        <w:t>”, “</w:t>
      </w:r>
      <w:r w:rsidRPr="00A74CDF">
        <w:rPr>
          <w:i/>
          <w:color w:val="010000"/>
        </w:rPr>
        <w:t>…maddeler uyarınca istinaf…</w:t>
      </w:r>
      <w:r w:rsidRPr="00A74CDF">
        <w:rPr>
          <w:color w:val="010000"/>
        </w:rPr>
        <w:t>”, “</w:t>
      </w:r>
      <w:r w:rsidRPr="00A74CDF">
        <w:rPr>
          <w:i/>
          <w:color w:val="010000"/>
        </w:rPr>
        <w:t>…yoluna başvurulabilecek kararların belirlenmesinde ise ilk derece mahkemesi…</w:t>
      </w:r>
      <w:r w:rsidRPr="00A74CDF">
        <w:rPr>
          <w:color w:val="010000"/>
        </w:rPr>
        <w:t>”</w:t>
      </w:r>
      <w:r w:rsidRPr="00A74CDF">
        <w:rPr>
          <w:i/>
          <w:color w:val="010000"/>
        </w:rPr>
        <w:t xml:space="preserve"> </w:t>
      </w:r>
      <w:r w:rsidRPr="00A74CDF">
        <w:rPr>
          <w:color w:val="010000"/>
        </w:rPr>
        <w:t>ve</w:t>
      </w:r>
      <w:r w:rsidRPr="00A74CDF">
        <w:rPr>
          <w:b/>
          <w:color w:val="010000"/>
        </w:rPr>
        <w:t xml:space="preserve"> </w:t>
      </w:r>
      <w:r w:rsidRPr="00A74CDF">
        <w:rPr>
          <w:color w:val="010000"/>
        </w:rPr>
        <w:t>“</w:t>
      </w:r>
      <w:r w:rsidRPr="00A74CDF">
        <w:rPr>
          <w:i/>
          <w:color w:val="010000"/>
        </w:rPr>
        <w:t>…kararın verildiği tarihteki parasal sınır esas alınır.</w:t>
      </w:r>
      <w:r w:rsidRPr="00A74CDF">
        <w:rPr>
          <w:color w:val="010000"/>
        </w:rPr>
        <w:t xml:space="preserve">” ibarelerinin esasının incelenmesine, esasa ilişkin incelemenin </w:t>
      </w:r>
      <w:r w:rsidRPr="00A74CDF">
        <w:rPr>
          <w:bCs/>
          <w:color w:val="010000"/>
        </w:rPr>
        <w:t>“</w:t>
      </w:r>
      <w:r w:rsidRPr="00A74CDF">
        <w:rPr>
          <w:bCs/>
          <w:i/>
          <w:color w:val="010000"/>
        </w:rPr>
        <w:t>…</w:t>
      </w:r>
      <w:r w:rsidRPr="00A74CDF">
        <w:rPr>
          <w:i/>
          <w:color w:val="010000"/>
        </w:rPr>
        <w:t>45 inci…</w:t>
      </w:r>
      <w:r w:rsidRPr="00A74CDF">
        <w:rPr>
          <w:color w:val="010000"/>
        </w:rPr>
        <w:t>”, “</w:t>
      </w:r>
      <w:r w:rsidRPr="00A74CDF">
        <w:rPr>
          <w:i/>
          <w:color w:val="010000"/>
        </w:rPr>
        <w:t>…istinaf…</w:t>
      </w:r>
      <w:r w:rsidRPr="00A74CDF">
        <w:rPr>
          <w:color w:val="010000"/>
        </w:rPr>
        <w:t>” ve “</w:t>
      </w:r>
      <w:r w:rsidRPr="00A74CDF">
        <w:rPr>
          <w:bCs/>
          <w:i/>
          <w:color w:val="010000"/>
        </w:rPr>
        <w:t>…</w:t>
      </w:r>
      <w:r w:rsidRPr="00A74CDF">
        <w:rPr>
          <w:i/>
          <w:color w:val="010000"/>
        </w:rPr>
        <w:t>ilk derece mahkemesi…</w:t>
      </w:r>
      <w:r w:rsidRPr="00A74CDF">
        <w:rPr>
          <w:color w:val="010000"/>
        </w:rPr>
        <w:t>” ibareleri ile sınırlı olarak yapılmasına OYBİRLİĞİYLE karar</w:t>
      </w:r>
      <w:r w:rsidR="00A74CDF" w:rsidRPr="00A74CDF">
        <w:rPr>
          <w:color w:val="010000"/>
        </w:rPr>
        <w:t xml:space="preserve"> </w:t>
      </w:r>
      <w:r w:rsidRPr="00A74CDF">
        <w:rPr>
          <w:color w:val="010000"/>
        </w:rPr>
        <w:t>verilmiştir.</w:t>
      </w:r>
    </w:p>
    <w:p w:rsidR="00925DA7" w:rsidRPr="00A74CDF" w:rsidRDefault="00925DA7" w:rsidP="00A74CDF">
      <w:pPr>
        <w:pStyle w:val="ListeParagraf"/>
        <w:spacing w:after="200"/>
        <w:ind w:left="0" w:right="283" w:firstLine="709"/>
        <w:contextualSpacing w:val="0"/>
        <w:jc w:val="both"/>
        <w:rPr>
          <w:b/>
          <w:color w:val="010000"/>
        </w:rPr>
      </w:pPr>
      <w:r w:rsidRPr="00A74CDF">
        <w:rPr>
          <w:b/>
          <w:color w:val="010000"/>
        </w:rPr>
        <w:t>III. ESASIN İNCELENMESİ</w:t>
      </w:r>
    </w:p>
    <w:p w:rsidR="00925DA7" w:rsidRPr="00A74CDF" w:rsidRDefault="00925DA7" w:rsidP="00A74CDF">
      <w:pPr>
        <w:pStyle w:val="ListeParagraf"/>
        <w:numPr>
          <w:ilvl w:val="0"/>
          <w:numId w:val="1"/>
        </w:numPr>
        <w:spacing w:after="200"/>
        <w:ind w:left="0" w:right="283" w:firstLine="709"/>
        <w:contextualSpacing w:val="0"/>
        <w:jc w:val="both"/>
        <w:rPr>
          <w:bCs/>
          <w:color w:val="010000"/>
        </w:rPr>
      </w:pPr>
      <w:r w:rsidRPr="00A74CDF">
        <w:rPr>
          <w:color w:val="010000"/>
        </w:rPr>
        <w:t>Başvuru</w:t>
      </w:r>
      <w:r w:rsidRPr="00A74CDF">
        <w:rPr>
          <w:bCs/>
          <w:color w:val="010000"/>
        </w:rPr>
        <w:t xml:space="preserve"> </w:t>
      </w:r>
      <w:r w:rsidRPr="00A74CDF">
        <w:rPr>
          <w:color w:val="010000"/>
        </w:rPr>
        <w:t>kararı</w:t>
      </w:r>
      <w:r w:rsidRPr="00A74CDF">
        <w:rPr>
          <w:bCs/>
          <w:color w:val="010000"/>
        </w:rPr>
        <w:t xml:space="preserve"> ve ekleri, Raportör Murat ÖZDEN tarafından hazırlanan işin esasına ilişkin rapor ve itiraz konusu kanun hükümleri okunup incelendikten sonra gereği görüşülüp düşünüldü:</w:t>
      </w:r>
    </w:p>
    <w:p w:rsidR="00925DA7" w:rsidRPr="00A74CDF" w:rsidRDefault="00925DA7" w:rsidP="00A74CDF">
      <w:pPr>
        <w:pStyle w:val="ListeParagraf"/>
        <w:numPr>
          <w:ilvl w:val="0"/>
          <w:numId w:val="1"/>
        </w:numPr>
        <w:spacing w:after="200"/>
        <w:ind w:left="0" w:right="283" w:firstLine="709"/>
        <w:contextualSpacing w:val="0"/>
        <w:jc w:val="both"/>
        <w:rPr>
          <w:color w:val="010000"/>
          <w:shd w:val="clear" w:color="auto" w:fill="FFFFFF"/>
        </w:rPr>
      </w:pPr>
      <w:r w:rsidRPr="00A74CDF">
        <w:rPr>
          <w:color w:val="010000"/>
        </w:rPr>
        <w:t xml:space="preserve">Anayasa Mahkemesinin 11/2/2025 tarihli ve E.2025/39, K.2025/35 sayılı kararıyla </w:t>
      </w:r>
      <w:r w:rsidRPr="00A74CDF">
        <w:rPr>
          <w:bCs/>
          <w:color w:val="010000"/>
        </w:rPr>
        <w:t>2577 sayılı Kanun’un</w:t>
      </w:r>
      <w:bookmarkStart w:id="3" w:name="_Hlk100323027"/>
      <w:r w:rsidRPr="00A74CDF">
        <w:rPr>
          <w:color w:val="010000"/>
        </w:rPr>
        <w:t xml:space="preserve"> </w:t>
      </w:r>
      <w:r w:rsidRPr="00A74CDF">
        <w:rPr>
          <w:bCs/>
          <w:color w:val="010000"/>
        </w:rPr>
        <w:t xml:space="preserve">ek 1. maddesinin (2) numaralı fıkrasının birinci </w:t>
      </w:r>
      <w:bookmarkEnd w:id="3"/>
      <w:r w:rsidRPr="00A74CDF">
        <w:rPr>
          <w:bCs/>
          <w:color w:val="010000"/>
        </w:rPr>
        <w:t xml:space="preserve">cümlesinin </w:t>
      </w:r>
      <w:r w:rsidRPr="00A74CDF">
        <w:rPr>
          <w:color w:val="010000"/>
          <w:lang w:eastAsia="zh-CN"/>
        </w:rPr>
        <w:t>“</w:t>
      </w:r>
      <w:r w:rsidRPr="00A74CDF">
        <w:rPr>
          <w:i/>
          <w:color w:val="010000"/>
          <w:lang w:eastAsia="zh-CN"/>
        </w:rPr>
        <w:t>…</w:t>
      </w:r>
      <w:r w:rsidRPr="00A74CDF">
        <w:rPr>
          <w:i/>
          <w:color w:val="010000"/>
        </w:rPr>
        <w:t xml:space="preserve">45 inci ve </w:t>
      </w:r>
      <w:proofErr w:type="gramStart"/>
      <w:r w:rsidRPr="00A74CDF">
        <w:rPr>
          <w:i/>
          <w:color w:val="010000"/>
        </w:rPr>
        <w:t>46</w:t>
      </w:r>
      <w:r w:rsidR="00A74CDF" w:rsidRPr="00A74CDF">
        <w:rPr>
          <w:i/>
          <w:color w:val="010000"/>
        </w:rPr>
        <w:t xml:space="preserve"> </w:t>
      </w:r>
      <w:proofErr w:type="spellStart"/>
      <w:r w:rsidRPr="00A74CDF">
        <w:rPr>
          <w:i/>
          <w:color w:val="010000"/>
        </w:rPr>
        <w:t>ncı</w:t>
      </w:r>
      <w:proofErr w:type="spellEnd"/>
      <w:proofErr w:type="gramEnd"/>
      <w:r w:rsidR="00A74CDF" w:rsidRPr="00A74CDF">
        <w:rPr>
          <w:i/>
          <w:color w:val="010000"/>
        </w:rPr>
        <w:t xml:space="preserve"> </w:t>
      </w:r>
      <w:r w:rsidRPr="00A74CDF">
        <w:rPr>
          <w:i/>
          <w:color w:val="010000"/>
        </w:rPr>
        <w:t>maddeler uyarınca istinaf veya temyiz yoluna başvurulabilecek kararların belirlenmesinde ise ilk derece mahkemesi veya bölge idare mahkemesince nihai kararın verildiği…</w:t>
      </w:r>
      <w:r w:rsidRPr="00A74CDF">
        <w:rPr>
          <w:color w:val="010000"/>
        </w:rPr>
        <w:t xml:space="preserve">” bölümünün </w:t>
      </w:r>
      <w:r w:rsidRPr="00A74CDF">
        <w:rPr>
          <w:color w:val="010000"/>
          <w:lang w:eastAsia="zh-CN"/>
        </w:rPr>
        <w:t xml:space="preserve">iptaline </w:t>
      </w:r>
      <w:r w:rsidRPr="00A74CDF">
        <w:rPr>
          <w:color w:val="010000"/>
        </w:rPr>
        <w:t>ve</w:t>
      </w:r>
      <w:r w:rsidR="00A74CDF" w:rsidRPr="00A74CDF">
        <w:rPr>
          <w:color w:val="010000"/>
        </w:rPr>
        <w:t xml:space="preserve"> </w:t>
      </w:r>
      <w:r w:rsidRPr="00A74CDF">
        <w:rPr>
          <w:color w:val="010000"/>
          <w:shd w:val="clear" w:color="auto" w:fill="FFFFFF"/>
        </w:rPr>
        <w:t xml:space="preserve">iptal hükmünün kararın Resmî </w:t>
      </w:r>
      <w:proofErr w:type="spellStart"/>
      <w:r w:rsidRPr="00A74CDF">
        <w:rPr>
          <w:color w:val="010000"/>
          <w:shd w:val="clear" w:color="auto" w:fill="FFFFFF"/>
        </w:rPr>
        <w:t>Gazete’de</w:t>
      </w:r>
      <w:proofErr w:type="spellEnd"/>
      <w:r w:rsidRPr="00A74CDF">
        <w:rPr>
          <w:color w:val="010000"/>
          <w:shd w:val="clear" w:color="auto" w:fill="FFFFFF"/>
        </w:rPr>
        <w:t xml:space="preserve"> yayımlanmasından başlayarak dokuz ay sonra yürürlüğe girmesine karar verilmiştir.</w:t>
      </w:r>
      <w:r w:rsidR="00A74CDF" w:rsidRPr="00A74CDF">
        <w:rPr>
          <w:color w:val="010000"/>
        </w:rPr>
        <w:t xml:space="preserve"> </w:t>
      </w:r>
      <w:r w:rsidRPr="00A74CDF">
        <w:rPr>
          <w:color w:val="010000"/>
        </w:rPr>
        <w:t xml:space="preserve">Anılan karar 6/3/2025 tarihli ve 32833 sayılı Resmî </w:t>
      </w:r>
      <w:proofErr w:type="spellStart"/>
      <w:r w:rsidRPr="00A74CDF">
        <w:rPr>
          <w:color w:val="010000"/>
        </w:rPr>
        <w:t>Gazete’de</w:t>
      </w:r>
      <w:proofErr w:type="spellEnd"/>
      <w:r w:rsidRPr="00A74CDF">
        <w:rPr>
          <w:color w:val="010000"/>
        </w:rPr>
        <w:t xml:space="preserve"> yayımlanmıştır.</w:t>
      </w:r>
      <w:r w:rsidR="00A74CDF" w:rsidRPr="00A74CDF">
        <w:rPr>
          <w:color w:val="010000"/>
        </w:rPr>
        <w:t xml:space="preserve"> </w:t>
      </w:r>
      <w:r w:rsidRPr="00A74CDF">
        <w:rPr>
          <w:color w:val="010000"/>
          <w:shd w:val="clear" w:color="auto" w:fill="FFFFFF"/>
        </w:rPr>
        <w:t>Bu itibarla kurallara yönelik itiraz başvurusunun konusunun kalmadığı anlaşılmıştır.</w:t>
      </w:r>
    </w:p>
    <w:p w:rsidR="00925DA7" w:rsidRPr="00A74CDF" w:rsidRDefault="00925DA7" w:rsidP="00A74CDF">
      <w:pPr>
        <w:pStyle w:val="ListeParagraf"/>
        <w:numPr>
          <w:ilvl w:val="0"/>
          <w:numId w:val="1"/>
        </w:numPr>
        <w:spacing w:after="200"/>
        <w:ind w:left="0" w:right="283" w:firstLine="709"/>
        <w:contextualSpacing w:val="0"/>
        <w:jc w:val="both"/>
        <w:rPr>
          <w:color w:val="010000"/>
        </w:rPr>
      </w:pPr>
      <w:r w:rsidRPr="00A74CDF">
        <w:rPr>
          <w:color w:val="010000"/>
        </w:rPr>
        <w:t>Açıklanan</w:t>
      </w:r>
      <w:r w:rsidRPr="00A74CDF">
        <w:rPr>
          <w:color w:val="010000"/>
          <w:shd w:val="clear" w:color="auto" w:fill="FFFFFF"/>
        </w:rPr>
        <w:t xml:space="preserve"> nedenle konusu kalmayan başvuru hakkında karar verilmesine yer olmadığına karar vermek gerekir.</w:t>
      </w:r>
    </w:p>
    <w:p w:rsidR="00925DA7" w:rsidRPr="00A74CDF" w:rsidRDefault="00925DA7" w:rsidP="00A74CDF">
      <w:pPr>
        <w:spacing w:after="200"/>
        <w:ind w:right="283" w:firstLine="709"/>
        <w:jc w:val="both"/>
        <w:rPr>
          <w:b/>
          <w:bCs/>
          <w:color w:val="010000"/>
        </w:rPr>
      </w:pPr>
      <w:r w:rsidRPr="00A74CDF">
        <w:rPr>
          <w:b/>
          <w:bCs/>
          <w:color w:val="010000"/>
        </w:rPr>
        <w:lastRenderedPageBreak/>
        <w:t>IV. HÜKÜM</w:t>
      </w:r>
    </w:p>
    <w:p w:rsidR="00925DA7" w:rsidRPr="00A74CDF" w:rsidRDefault="00925DA7" w:rsidP="00A74CDF">
      <w:pPr>
        <w:spacing w:after="200"/>
        <w:ind w:right="283" w:firstLine="709"/>
        <w:jc w:val="both"/>
        <w:rPr>
          <w:color w:val="010000"/>
        </w:rPr>
      </w:pPr>
      <w:bookmarkStart w:id="4" w:name="_Hlk167364087"/>
      <w:r w:rsidRPr="00A74CDF">
        <w:rPr>
          <w:bCs/>
          <w:color w:val="010000"/>
        </w:rPr>
        <w:t>6/1/1982 tarihli ve 2577 sayılı İdari Yargılama Usulü Kanunu’nun</w:t>
      </w:r>
      <w:r w:rsidRPr="00A74CDF">
        <w:rPr>
          <w:b/>
          <w:color w:val="010000"/>
        </w:rPr>
        <w:t xml:space="preserve"> </w:t>
      </w:r>
      <w:r w:rsidRPr="00A74CDF">
        <w:rPr>
          <w:bCs/>
          <w:color w:val="010000"/>
        </w:rPr>
        <w:t>28/7/2024 tarihli ve 7524 sayılı Kanun’un 54. maddesiyle değiştirilen ek 1. maddesinin (2) numaralı fıkrasının birinci cümlesinde yer alan “</w:t>
      </w:r>
      <w:r w:rsidRPr="00A74CDF">
        <w:rPr>
          <w:bCs/>
          <w:i/>
          <w:color w:val="010000"/>
        </w:rPr>
        <w:t>…</w:t>
      </w:r>
      <w:r w:rsidRPr="00A74CDF">
        <w:rPr>
          <w:i/>
          <w:color w:val="010000"/>
        </w:rPr>
        <w:t>45 inci…</w:t>
      </w:r>
      <w:r w:rsidRPr="00A74CDF">
        <w:rPr>
          <w:color w:val="010000"/>
        </w:rPr>
        <w:t>”, “</w:t>
      </w:r>
      <w:r w:rsidRPr="00A74CDF">
        <w:rPr>
          <w:i/>
          <w:color w:val="010000"/>
        </w:rPr>
        <w:t>…istinaf…</w:t>
      </w:r>
      <w:r w:rsidRPr="00A74CDF">
        <w:rPr>
          <w:color w:val="010000"/>
        </w:rPr>
        <w:t>” ve “</w:t>
      </w:r>
      <w:r w:rsidRPr="00A74CDF">
        <w:rPr>
          <w:bCs/>
          <w:i/>
          <w:color w:val="010000"/>
        </w:rPr>
        <w:t>…</w:t>
      </w:r>
      <w:r w:rsidRPr="00A74CDF">
        <w:rPr>
          <w:i/>
          <w:color w:val="010000"/>
        </w:rPr>
        <w:t>ilk derece mahkemesi…</w:t>
      </w:r>
      <w:r w:rsidRPr="00A74CDF">
        <w:rPr>
          <w:color w:val="010000"/>
        </w:rPr>
        <w:t xml:space="preserve">” </w:t>
      </w:r>
      <w:r w:rsidRPr="00A74CDF">
        <w:rPr>
          <w:color w:val="010000"/>
          <w:lang w:eastAsia="zh-CN"/>
        </w:rPr>
        <w:t xml:space="preserve">ibarelerine </w:t>
      </w:r>
      <w:r w:rsidRPr="00A74CDF">
        <w:rPr>
          <w:rFonts w:eastAsia="Calibri"/>
          <w:color w:val="010000"/>
          <w:lang w:eastAsia="en-US"/>
        </w:rPr>
        <w:t>ilişkin itiraz başvurusu hakkında KARAR VERİLMESİNE YER OLMADIĞINA</w:t>
      </w:r>
      <w:r w:rsidRPr="00A74CDF">
        <w:rPr>
          <w:bCs/>
          <w:color w:val="010000"/>
        </w:rPr>
        <w:t xml:space="preserve"> </w:t>
      </w:r>
      <w:r w:rsidRPr="00A74CDF">
        <w:rPr>
          <w:rFonts w:eastAsia="ヒラギノ明朝 Pro W3"/>
          <w:color w:val="010000"/>
          <w:lang w:eastAsia="en-US"/>
        </w:rPr>
        <w:t>6/3/2025</w:t>
      </w:r>
      <w:r w:rsidRPr="00A74CDF">
        <w:rPr>
          <w:color w:val="010000"/>
        </w:rPr>
        <w:t xml:space="preserve"> tarihinde OYBİRLİĞİYLE karar verildi.</w:t>
      </w:r>
    </w:p>
    <w:p w:rsidR="00A74CDF" w:rsidRDefault="00A74CDF">
      <w:bookmarkStart w:id="5" w:name="_GoBack"/>
      <w:bookmarkEnd w:id="5"/>
    </w:p>
    <w:tbl>
      <w:tblPr>
        <w:tblW w:w="5000" w:type="pct"/>
        <w:jc w:val="center"/>
        <w:tblCellMar>
          <w:left w:w="70" w:type="dxa"/>
          <w:right w:w="70" w:type="dxa"/>
        </w:tblCellMar>
        <w:tblLook w:val="00A0" w:firstRow="1" w:lastRow="0" w:firstColumn="1" w:lastColumn="0" w:noHBand="0" w:noVBand="0"/>
      </w:tblPr>
      <w:tblGrid>
        <w:gridCol w:w="3212"/>
        <w:gridCol w:w="3284"/>
        <w:gridCol w:w="3284"/>
      </w:tblGrid>
      <w:tr w:rsidR="00925DA7" w:rsidRPr="00A74CDF" w:rsidTr="00A74CDF">
        <w:trPr>
          <w:trHeight w:val="1600"/>
          <w:jc w:val="center"/>
        </w:trPr>
        <w:tc>
          <w:tcPr>
            <w:tcW w:w="1642" w:type="pct"/>
            <w:vAlign w:val="center"/>
            <w:hideMark/>
          </w:tcPr>
          <w:bookmarkEnd w:id="4"/>
          <w:p w:rsidR="00925DA7" w:rsidRPr="00A74CDF" w:rsidRDefault="00925DA7" w:rsidP="00A74CDF">
            <w:pPr>
              <w:spacing w:after="120"/>
              <w:jc w:val="center"/>
              <w:rPr>
                <w:color w:val="010000"/>
              </w:rPr>
            </w:pPr>
            <w:r w:rsidRPr="00A74CDF">
              <w:rPr>
                <w:color w:val="010000"/>
              </w:rPr>
              <w:t>Başkan</w:t>
            </w:r>
          </w:p>
          <w:p w:rsidR="00925DA7" w:rsidRPr="00A74CDF" w:rsidRDefault="00925DA7" w:rsidP="00A74CDF">
            <w:pPr>
              <w:spacing w:after="120"/>
              <w:jc w:val="center"/>
              <w:rPr>
                <w:color w:val="010000"/>
              </w:rPr>
            </w:pPr>
            <w:r w:rsidRPr="00A74CDF">
              <w:rPr>
                <w:color w:val="010000"/>
              </w:rPr>
              <w:t>Kadir ÖZKAYA</w:t>
            </w:r>
          </w:p>
        </w:tc>
        <w:tc>
          <w:tcPr>
            <w:tcW w:w="1679" w:type="pct"/>
            <w:vAlign w:val="center"/>
            <w:hideMark/>
          </w:tcPr>
          <w:p w:rsidR="00925DA7" w:rsidRPr="00A74CDF" w:rsidRDefault="00925DA7" w:rsidP="00A74CDF">
            <w:pPr>
              <w:spacing w:after="120"/>
              <w:jc w:val="center"/>
              <w:rPr>
                <w:color w:val="010000"/>
              </w:rPr>
            </w:pPr>
            <w:r w:rsidRPr="00A74CDF">
              <w:rPr>
                <w:color w:val="010000"/>
              </w:rPr>
              <w:t>Başkanvekili</w:t>
            </w:r>
          </w:p>
          <w:p w:rsidR="00925DA7" w:rsidRPr="00A74CDF" w:rsidRDefault="00925DA7" w:rsidP="00A74CDF">
            <w:pPr>
              <w:spacing w:after="120"/>
              <w:jc w:val="center"/>
              <w:rPr>
                <w:color w:val="010000"/>
              </w:rPr>
            </w:pPr>
            <w:r w:rsidRPr="00A74CDF">
              <w:rPr>
                <w:color w:val="010000"/>
              </w:rPr>
              <w:t>Hasan Tahsin GÖKCAN</w:t>
            </w:r>
          </w:p>
        </w:tc>
        <w:tc>
          <w:tcPr>
            <w:tcW w:w="1679" w:type="pct"/>
            <w:vAlign w:val="center"/>
            <w:hideMark/>
          </w:tcPr>
          <w:p w:rsidR="00925DA7" w:rsidRPr="00A74CDF" w:rsidRDefault="00925DA7" w:rsidP="00A74CDF">
            <w:pPr>
              <w:spacing w:after="120"/>
              <w:jc w:val="center"/>
              <w:rPr>
                <w:color w:val="010000"/>
              </w:rPr>
            </w:pPr>
            <w:r w:rsidRPr="00A74CDF">
              <w:rPr>
                <w:color w:val="010000"/>
              </w:rPr>
              <w:t xml:space="preserve">Başkanvekili </w:t>
            </w:r>
          </w:p>
          <w:p w:rsidR="00925DA7" w:rsidRPr="00A74CDF" w:rsidRDefault="00925DA7" w:rsidP="00A74CDF">
            <w:pPr>
              <w:spacing w:after="120"/>
              <w:jc w:val="center"/>
              <w:rPr>
                <w:color w:val="010000"/>
              </w:rPr>
            </w:pPr>
            <w:r w:rsidRPr="00A74CDF">
              <w:rPr>
                <w:color w:val="010000"/>
              </w:rPr>
              <w:t>Basri BAĞCI</w:t>
            </w:r>
          </w:p>
        </w:tc>
      </w:tr>
      <w:tr w:rsidR="00925DA7" w:rsidRPr="00A74CDF" w:rsidTr="00A74CDF">
        <w:trPr>
          <w:trHeight w:val="1600"/>
          <w:jc w:val="center"/>
        </w:trPr>
        <w:tc>
          <w:tcPr>
            <w:tcW w:w="1642" w:type="pct"/>
            <w:vAlign w:val="center"/>
            <w:hideMark/>
          </w:tcPr>
          <w:p w:rsidR="00925DA7" w:rsidRPr="00A74CDF" w:rsidRDefault="00925DA7" w:rsidP="00A74CDF">
            <w:pPr>
              <w:spacing w:after="120"/>
              <w:jc w:val="center"/>
              <w:rPr>
                <w:color w:val="010000"/>
              </w:rPr>
            </w:pPr>
            <w:r w:rsidRPr="00A74CDF">
              <w:rPr>
                <w:color w:val="010000"/>
              </w:rPr>
              <w:t xml:space="preserve">Üye </w:t>
            </w:r>
          </w:p>
          <w:p w:rsidR="00925DA7" w:rsidRPr="00A74CDF" w:rsidRDefault="00925DA7" w:rsidP="00A74CDF">
            <w:pPr>
              <w:spacing w:after="120"/>
              <w:jc w:val="center"/>
              <w:rPr>
                <w:color w:val="010000"/>
              </w:rPr>
            </w:pPr>
            <w:r w:rsidRPr="00A74CDF">
              <w:rPr>
                <w:color w:val="010000"/>
              </w:rPr>
              <w:t>Engin YILDIRIM</w:t>
            </w:r>
          </w:p>
        </w:tc>
        <w:tc>
          <w:tcPr>
            <w:tcW w:w="1679" w:type="pct"/>
            <w:vAlign w:val="center"/>
            <w:hideMark/>
          </w:tcPr>
          <w:p w:rsidR="00925DA7" w:rsidRPr="00A74CDF" w:rsidRDefault="00925DA7" w:rsidP="00A74CDF">
            <w:pPr>
              <w:spacing w:after="120"/>
              <w:jc w:val="center"/>
              <w:rPr>
                <w:color w:val="010000"/>
              </w:rPr>
            </w:pPr>
            <w:r w:rsidRPr="00A74CDF">
              <w:rPr>
                <w:color w:val="010000"/>
              </w:rPr>
              <w:t>Üye</w:t>
            </w:r>
          </w:p>
          <w:p w:rsidR="00925DA7" w:rsidRPr="00A74CDF" w:rsidRDefault="00925DA7" w:rsidP="00A74CDF">
            <w:pPr>
              <w:spacing w:after="120"/>
              <w:jc w:val="center"/>
              <w:rPr>
                <w:color w:val="010000"/>
              </w:rPr>
            </w:pPr>
            <w:r w:rsidRPr="00A74CDF">
              <w:rPr>
                <w:color w:val="010000"/>
              </w:rPr>
              <w:t>Rıdvan GÜLEÇ</w:t>
            </w:r>
          </w:p>
        </w:tc>
        <w:tc>
          <w:tcPr>
            <w:tcW w:w="1679" w:type="pct"/>
            <w:vAlign w:val="center"/>
            <w:hideMark/>
          </w:tcPr>
          <w:p w:rsidR="00925DA7" w:rsidRPr="00A74CDF" w:rsidRDefault="00925DA7" w:rsidP="00A74CDF">
            <w:pPr>
              <w:spacing w:after="120"/>
              <w:jc w:val="center"/>
              <w:rPr>
                <w:color w:val="010000"/>
              </w:rPr>
            </w:pPr>
            <w:r w:rsidRPr="00A74CDF">
              <w:rPr>
                <w:color w:val="010000"/>
              </w:rPr>
              <w:t>Üye</w:t>
            </w:r>
          </w:p>
          <w:p w:rsidR="00925DA7" w:rsidRPr="00A74CDF" w:rsidRDefault="00925DA7" w:rsidP="00A74CDF">
            <w:pPr>
              <w:spacing w:after="120"/>
              <w:jc w:val="center"/>
              <w:rPr>
                <w:color w:val="010000"/>
              </w:rPr>
            </w:pPr>
            <w:r w:rsidRPr="00A74CDF">
              <w:rPr>
                <w:bCs/>
                <w:color w:val="010000"/>
              </w:rPr>
              <w:t>Recai AKYEL</w:t>
            </w:r>
          </w:p>
        </w:tc>
      </w:tr>
      <w:tr w:rsidR="00925DA7" w:rsidRPr="00A74CDF" w:rsidTr="00A74CDF">
        <w:trPr>
          <w:trHeight w:val="1600"/>
          <w:jc w:val="center"/>
        </w:trPr>
        <w:tc>
          <w:tcPr>
            <w:tcW w:w="1642" w:type="pct"/>
            <w:vAlign w:val="center"/>
            <w:hideMark/>
          </w:tcPr>
          <w:p w:rsidR="00925DA7" w:rsidRPr="00A74CDF" w:rsidRDefault="00925DA7" w:rsidP="00A74CDF">
            <w:pPr>
              <w:spacing w:after="120"/>
              <w:jc w:val="center"/>
              <w:rPr>
                <w:color w:val="010000"/>
              </w:rPr>
            </w:pPr>
            <w:r w:rsidRPr="00A74CDF">
              <w:rPr>
                <w:color w:val="010000"/>
              </w:rPr>
              <w:t xml:space="preserve">Üye </w:t>
            </w:r>
          </w:p>
          <w:p w:rsidR="00925DA7" w:rsidRPr="00A74CDF" w:rsidRDefault="00925DA7" w:rsidP="00A74CDF">
            <w:pPr>
              <w:spacing w:after="120"/>
              <w:jc w:val="center"/>
              <w:rPr>
                <w:color w:val="010000"/>
              </w:rPr>
            </w:pPr>
            <w:r w:rsidRPr="00A74CDF">
              <w:rPr>
                <w:bCs/>
                <w:color w:val="010000"/>
              </w:rPr>
              <w:t>Yusuf Şevki HAKYEMEZ</w:t>
            </w:r>
          </w:p>
        </w:tc>
        <w:tc>
          <w:tcPr>
            <w:tcW w:w="1679" w:type="pct"/>
            <w:vAlign w:val="center"/>
            <w:hideMark/>
          </w:tcPr>
          <w:p w:rsidR="00925DA7" w:rsidRPr="00A74CDF" w:rsidRDefault="00925DA7" w:rsidP="00A74CDF">
            <w:pPr>
              <w:spacing w:after="120"/>
              <w:jc w:val="center"/>
              <w:rPr>
                <w:color w:val="010000"/>
              </w:rPr>
            </w:pPr>
            <w:r w:rsidRPr="00A74CDF">
              <w:rPr>
                <w:color w:val="010000"/>
              </w:rPr>
              <w:t>Üye</w:t>
            </w:r>
          </w:p>
          <w:p w:rsidR="00925DA7" w:rsidRPr="00A74CDF" w:rsidRDefault="00925DA7" w:rsidP="00A74CDF">
            <w:pPr>
              <w:spacing w:after="120"/>
              <w:jc w:val="center"/>
              <w:rPr>
                <w:color w:val="010000"/>
              </w:rPr>
            </w:pPr>
            <w:r w:rsidRPr="00A74CDF">
              <w:rPr>
                <w:bCs/>
                <w:color w:val="010000"/>
              </w:rPr>
              <w:t>Yıldız SEFERİNOĞLU</w:t>
            </w:r>
          </w:p>
        </w:tc>
        <w:tc>
          <w:tcPr>
            <w:tcW w:w="1679" w:type="pct"/>
            <w:vAlign w:val="center"/>
            <w:hideMark/>
          </w:tcPr>
          <w:p w:rsidR="00925DA7" w:rsidRPr="00A74CDF" w:rsidRDefault="00925DA7" w:rsidP="00A74CDF">
            <w:pPr>
              <w:spacing w:after="120"/>
              <w:jc w:val="center"/>
              <w:rPr>
                <w:color w:val="010000"/>
              </w:rPr>
            </w:pPr>
            <w:r w:rsidRPr="00A74CDF">
              <w:rPr>
                <w:color w:val="010000"/>
              </w:rPr>
              <w:t>Üye</w:t>
            </w:r>
          </w:p>
          <w:p w:rsidR="00925DA7" w:rsidRPr="00A74CDF" w:rsidRDefault="00925DA7" w:rsidP="00A74CDF">
            <w:pPr>
              <w:spacing w:after="120"/>
              <w:jc w:val="center"/>
              <w:rPr>
                <w:color w:val="010000"/>
              </w:rPr>
            </w:pPr>
            <w:r w:rsidRPr="00A74CDF">
              <w:rPr>
                <w:color w:val="010000"/>
              </w:rPr>
              <w:t>Selahaddin MENTEŞ</w:t>
            </w:r>
          </w:p>
        </w:tc>
      </w:tr>
      <w:tr w:rsidR="00925DA7" w:rsidRPr="00A74CDF" w:rsidTr="00A74CDF">
        <w:trPr>
          <w:trHeight w:val="1600"/>
          <w:jc w:val="center"/>
        </w:trPr>
        <w:tc>
          <w:tcPr>
            <w:tcW w:w="1642" w:type="pct"/>
            <w:vAlign w:val="center"/>
            <w:hideMark/>
          </w:tcPr>
          <w:p w:rsidR="00925DA7" w:rsidRPr="00A74CDF" w:rsidRDefault="00925DA7" w:rsidP="00A74CDF">
            <w:pPr>
              <w:spacing w:after="120"/>
              <w:jc w:val="center"/>
              <w:rPr>
                <w:color w:val="010000"/>
              </w:rPr>
            </w:pPr>
            <w:r w:rsidRPr="00A74CDF">
              <w:rPr>
                <w:color w:val="010000"/>
              </w:rPr>
              <w:t xml:space="preserve">Üye </w:t>
            </w:r>
          </w:p>
          <w:p w:rsidR="00925DA7" w:rsidRPr="00A74CDF" w:rsidRDefault="00925DA7" w:rsidP="00A74CDF">
            <w:pPr>
              <w:spacing w:after="120"/>
              <w:jc w:val="center"/>
              <w:rPr>
                <w:color w:val="010000"/>
              </w:rPr>
            </w:pPr>
            <w:r w:rsidRPr="00A74CDF">
              <w:rPr>
                <w:bCs/>
                <w:color w:val="010000"/>
              </w:rPr>
              <w:t>İrfan FİDAN</w:t>
            </w:r>
          </w:p>
        </w:tc>
        <w:tc>
          <w:tcPr>
            <w:tcW w:w="1679" w:type="pct"/>
            <w:vAlign w:val="center"/>
            <w:hideMark/>
          </w:tcPr>
          <w:p w:rsidR="00925DA7" w:rsidRPr="00A74CDF" w:rsidRDefault="00925DA7" w:rsidP="00A74CDF">
            <w:pPr>
              <w:spacing w:after="120"/>
              <w:jc w:val="center"/>
              <w:rPr>
                <w:color w:val="010000"/>
              </w:rPr>
            </w:pPr>
            <w:r w:rsidRPr="00A74CDF">
              <w:rPr>
                <w:color w:val="010000"/>
              </w:rPr>
              <w:t>Üye</w:t>
            </w:r>
          </w:p>
          <w:p w:rsidR="00925DA7" w:rsidRPr="00A74CDF" w:rsidRDefault="00925DA7" w:rsidP="00A74CDF">
            <w:pPr>
              <w:spacing w:after="120"/>
              <w:jc w:val="center"/>
              <w:rPr>
                <w:color w:val="010000"/>
              </w:rPr>
            </w:pPr>
            <w:r w:rsidRPr="00A74CDF">
              <w:rPr>
                <w:color w:val="010000"/>
              </w:rPr>
              <w:t>Kenan YAŞAR</w:t>
            </w:r>
          </w:p>
        </w:tc>
        <w:tc>
          <w:tcPr>
            <w:tcW w:w="1679" w:type="pct"/>
            <w:vAlign w:val="center"/>
            <w:hideMark/>
          </w:tcPr>
          <w:p w:rsidR="00925DA7" w:rsidRPr="00A74CDF" w:rsidRDefault="00925DA7" w:rsidP="00A74CDF">
            <w:pPr>
              <w:spacing w:after="120"/>
              <w:jc w:val="center"/>
              <w:rPr>
                <w:color w:val="010000"/>
              </w:rPr>
            </w:pPr>
            <w:r w:rsidRPr="00A74CDF">
              <w:rPr>
                <w:color w:val="010000"/>
              </w:rPr>
              <w:t>Üye</w:t>
            </w:r>
          </w:p>
          <w:p w:rsidR="00925DA7" w:rsidRPr="00A74CDF" w:rsidRDefault="00925DA7" w:rsidP="00A74CDF">
            <w:pPr>
              <w:spacing w:after="120"/>
              <w:jc w:val="center"/>
              <w:rPr>
                <w:color w:val="010000"/>
              </w:rPr>
            </w:pPr>
            <w:r w:rsidRPr="00A74CDF">
              <w:rPr>
                <w:color w:val="010000"/>
              </w:rPr>
              <w:t>Muhterem İNCE</w:t>
            </w:r>
          </w:p>
        </w:tc>
      </w:tr>
      <w:tr w:rsidR="00925DA7" w:rsidRPr="00A74CDF" w:rsidTr="00A74CDF">
        <w:trPr>
          <w:trHeight w:val="1600"/>
          <w:jc w:val="center"/>
        </w:trPr>
        <w:tc>
          <w:tcPr>
            <w:tcW w:w="1642" w:type="pct"/>
            <w:vAlign w:val="center"/>
            <w:hideMark/>
          </w:tcPr>
          <w:p w:rsidR="00925DA7" w:rsidRPr="00A74CDF" w:rsidRDefault="00925DA7" w:rsidP="00A74CDF">
            <w:pPr>
              <w:spacing w:after="120"/>
              <w:jc w:val="center"/>
              <w:rPr>
                <w:color w:val="010000"/>
              </w:rPr>
            </w:pPr>
            <w:r w:rsidRPr="00A74CDF">
              <w:rPr>
                <w:color w:val="010000"/>
              </w:rPr>
              <w:t xml:space="preserve">Üye </w:t>
            </w:r>
          </w:p>
          <w:p w:rsidR="00925DA7" w:rsidRPr="00A74CDF" w:rsidRDefault="00925DA7" w:rsidP="00A74CDF">
            <w:pPr>
              <w:spacing w:after="120"/>
              <w:jc w:val="center"/>
              <w:rPr>
                <w:color w:val="010000"/>
              </w:rPr>
            </w:pPr>
            <w:r w:rsidRPr="00A74CDF">
              <w:rPr>
                <w:bCs/>
                <w:color w:val="010000"/>
              </w:rPr>
              <w:t>Yılmaz AKÇİL</w:t>
            </w:r>
          </w:p>
        </w:tc>
        <w:tc>
          <w:tcPr>
            <w:tcW w:w="1679" w:type="pct"/>
            <w:vAlign w:val="center"/>
            <w:hideMark/>
          </w:tcPr>
          <w:p w:rsidR="00925DA7" w:rsidRPr="00A74CDF" w:rsidRDefault="00925DA7" w:rsidP="00A74CDF">
            <w:pPr>
              <w:spacing w:after="120"/>
              <w:jc w:val="center"/>
              <w:rPr>
                <w:color w:val="010000"/>
              </w:rPr>
            </w:pPr>
            <w:r w:rsidRPr="00A74CDF">
              <w:rPr>
                <w:color w:val="010000"/>
              </w:rPr>
              <w:t>Üye</w:t>
            </w:r>
          </w:p>
          <w:p w:rsidR="00925DA7" w:rsidRPr="00A74CDF" w:rsidRDefault="00925DA7" w:rsidP="00A74CDF">
            <w:pPr>
              <w:spacing w:after="120"/>
              <w:jc w:val="center"/>
              <w:rPr>
                <w:bCs/>
                <w:color w:val="010000"/>
              </w:rPr>
            </w:pPr>
            <w:r w:rsidRPr="00A74CDF">
              <w:rPr>
                <w:bCs/>
                <w:color w:val="010000"/>
              </w:rPr>
              <w:t>Ömer ÇINAR</w:t>
            </w:r>
          </w:p>
        </w:tc>
        <w:tc>
          <w:tcPr>
            <w:tcW w:w="1679" w:type="pct"/>
            <w:vAlign w:val="center"/>
            <w:hideMark/>
          </w:tcPr>
          <w:p w:rsidR="00925DA7" w:rsidRPr="00A74CDF" w:rsidRDefault="00925DA7" w:rsidP="00A74CDF">
            <w:pPr>
              <w:spacing w:after="120"/>
              <w:jc w:val="center"/>
              <w:rPr>
                <w:color w:val="010000"/>
              </w:rPr>
            </w:pPr>
            <w:r w:rsidRPr="00A74CDF">
              <w:rPr>
                <w:color w:val="010000"/>
              </w:rPr>
              <w:t>Üye</w:t>
            </w:r>
          </w:p>
          <w:p w:rsidR="00925DA7" w:rsidRPr="00A74CDF" w:rsidRDefault="00925DA7" w:rsidP="00A74CDF">
            <w:pPr>
              <w:spacing w:after="120"/>
              <w:jc w:val="center"/>
              <w:rPr>
                <w:color w:val="010000"/>
              </w:rPr>
            </w:pPr>
            <w:r w:rsidRPr="00A74CDF">
              <w:rPr>
                <w:color w:val="010000"/>
              </w:rPr>
              <w:t>Metin KIRATLI</w:t>
            </w:r>
          </w:p>
        </w:tc>
      </w:tr>
    </w:tbl>
    <w:p w:rsidR="005B4E50" w:rsidRPr="00A74CDF" w:rsidRDefault="005B4E50" w:rsidP="00A74CDF">
      <w:pPr>
        <w:shd w:val="clear" w:color="auto" w:fill="FFFFFF"/>
        <w:ind w:firstLine="851"/>
        <w:jc w:val="both"/>
        <w:rPr>
          <w:b/>
          <w:bCs/>
          <w:color w:val="010000"/>
        </w:rPr>
      </w:pPr>
    </w:p>
    <w:sectPr w:rsidR="005B4E50" w:rsidRPr="00A74CDF" w:rsidSect="00A74CDF">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673E" w:rsidRDefault="0064673E">
      <w:r>
        <w:separator/>
      </w:r>
    </w:p>
  </w:endnote>
  <w:endnote w:type="continuationSeparator" w:id="0">
    <w:p w:rsidR="0064673E" w:rsidRDefault="006467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ヒラギノ明朝 Pro W3">
    <w:altName w:val="MS Gothic"/>
    <w:charset w:val="80"/>
    <w:family w:val="auto"/>
    <w:pitch w:val="variable"/>
    <w:sig w:usb0="00000001" w:usb1="08070000" w:usb2="01000417"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2422" w:rsidRDefault="00AE2422" w:rsidP="00AE242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E2422" w:rsidRDefault="00AE2422" w:rsidP="00AE242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2422" w:rsidRPr="00A74CDF" w:rsidRDefault="00AE2422" w:rsidP="00AE2422">
    <w:pPr>
      <w:pStyle w:val="AltBilgi"/>
      <w:framePr w:wrap="around" w:vAnchor="text" w:hAnchor="margin" w:xAlign="right" w:y="1"/>
      <w:rPr>
        <w:rStyle w:val="SayfaNumaras"/>
      </w:rPr>
    </w:pPr>
    <w:r w:rsidRPr="00A74CDF">
      <w:rPr>
        <w:rStyle w:val="SayfaNumaras"/>
      </w:rPr>
      <w:fldChar w:fldCharType="begin"/>
    </w:r>
    <w:r w:rsidRPr="00A74CDF">
      <w:rPr>
        <w:rStyle w:val="SayfaNumaras"/>
      </w:rPr>
      <w:instrText xml:space="preserve"> PAGE </w:instrText>
    </w:r>
    <w:r w:rsidRPr="00A74CDF">
      <w:rPr>
        <w:rStyle w:val="SayfaNumaras"/>
      </w:rPr>
      <w:fldChar w:fldCharType="separate"/>
    </w:r>
    <w:r w:rsidR="005E2D47" w:rsidRPr="00A74CDF">
      <w:rPr>
        <w:rStyle w:val="SayfaNumaras"/>
        <w:noProof/>
      </w:rPr>
      <w:t>2</w:t>
    </w:r>
    <w:r w:rsidRPr="00A74CDF">
      <w:rPr>
        <w:rStyle w:val="SayfaNumaras"/>
      </w:rPr>
      <w:fldChar w:fldCharType="end"/>
    </w:r>
  </w:p>
  <w:p w:rsidR="00AE2422" w:rsidRDefault="00AE2422" w:rsidP="00AE2422">
    <w:pPr>
      <w:pStyle w:val="AltBilgi"/>
      <w:ind w:right="360"/>
      <w:jc w:val="right"/>
    </w:pPr>
  </w:p>
  <w:p w:rsidR="00AE2422" w:rsidRDefault="00AE2422">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673E" w:rsidRDefault="0064673E">
      <w:r>
        <w:separator/>
      </w:r>
    </w:p>
  </w:footnote>
  <w:footnote w:type="continuationSeparator" w:id="0">
    <w:p w:rsidR="0064673E" w:rsidRDefault="006467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4CDF" w:rsidRPr="00A74CDF" w:rsidRDefault="00A74CDF" w:rsidP="00A74CDF">
    <w:pPr>
      <w:pStyle w:val="stBilgi"/>
      <w:rPr>
        <w:b/>
      </w:rPr>
    </w:pPr>
    <w:r w:rsidRPr="00A74CDF">
      <w:rPr>
        <w:b/>
      </w:rPr>
      <w:t xml:space="preserve">Esas </w:t>
    </w:r>
    <w:proofErr w:type="gramStart"/>
    <w:r w:rsidRPr="00A74CDF">
      <w:rPr>
        <w:b/>
      </w:rPr>
      <w:t>Sayısı :</w:t>
    </w:r>
    <w:proofErr w:type="gramEnd"/>
    <w:r w:rsidRPr="00A74CDF">
      <w:rPr>
        <w:b/>
      </w:rPr>
      <w:t xml:space="preserve"> 2025/45</w:t>
    </w:r>
  </w:p>
  <w:p w:rsidR="00A74CDF" w:rsidRDefault="00A74CDF" w:rsidP="00A74CDF">
    <w:pPr>
      <w:pStyle w:val="stBilgi"/>
      <w:rPr>
        <w:b/>
      </w:rPr>
    </w:pPr>
    <w:r>
      <w:rPr>
        <w:b/>
      </w:rPr>
      <w:t xml:space="preserve">Karar </w:t>
    </w:r>
    <w:proofErr w:type="gramStart"/>
    <w:r>
      <w:rPr>
        <w:b/>
      </w:rPr>
      <w:t>Sayısı :</w:t>
    </w:r>
    <w:proofErr w:type="gramEnd"/>
    <w:r>
      <w:rPr>
        <w:b/>
      </w:rPr>
      <w:t xml:space="preserve"> 2025/45</w:t>
    </w:r>
  </w:p>
  <w:p w:rsidR="00AE2422" w:rsidRPr="00A74CDF" w:rsidRDefault="00AE2422" w:rsidP="00A74CDF">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5043E0"/>
    <w:multiLevelType w:val="hybridMultilevel"/>
    <w:tmpl w:val="23E8FB18"/>
    <w:lvl w:ilvl="0" w:tplc="CEB0BB1E">
      <w:start w:val="1"/>
      <w:numFmt w:val="decimal"/>
      <w:suff w:val="space"/>
      <w:lvlText w:val="%1."/>
      <w:lvlJc w:val="left"/>
      <w:pPr>
        <w:ind w:left="4897" w:hanging="360"/>
      </w:pPr>
      <w:rPr>
        <w:rFonts w:ascii="Times New Roman" w:eastAsia="Calibri" w:hAnsi="Times New Roman" w:cs="Times New Roman" w:hint="default"/>
        <w:b w:val="0"/>
        <w:i w:val="0"/>
        <w:sz w:val="24"/>
        <w:szCs w:val="24"/>
      </w:rPr>
    </w:lvl>
    <w:lvl w:ilvl="1" w:tplc="041F0019">
      <w:start w:val="1"/>
      <w:numFmt w:val="lowerLetter"/>
      <w:lvlText w:val="%2."/>
      <w:lvlJc w:val="left"/>
      <w:pPr>
        <w:ind w:left="3916" w:hanging="360"/>
      </w:pPr>
    </w:lvl>
    <w:lvl w:ilvl="2" w:tplc="041F001B">
      <w:start w:val="1"/>
      <w:numFmt w:val="lowerRoman"/>
      <w:lvlText w:val="%3."/>
      <w:lvlJc w:val="right"/>
      <w:pPr>
        <w:ind w:left="4636" w:hanging="180"/>
      </w:pPr>
    </w:lvl>
    <w:lvl w:ilvl="3" w:tplc="041F000F">
      <w:start w:val="1"/>
      <w:numFmt w:val="decimal"/>
      <w:lvlText w:val="%4."/>
      <w:lvlJc w:val="left"/>
      <w:pPr>
        <w:ind w:left="5356" w:hanging="360"/>
      </w:pPr>
    </w:lvl>
    <w:lvl w:ilvl="4" w:tplc="041F0019">
      <w:start w:val="1"/>
      <w:numFmt w:val="lowerLetter"/>
      <w:lvlText w:val="%5."/>
      <w:lvlJc w:val="left"/>
      <w:pPr>
        <w:ind w:left="6076" w:hanging="360"/>
      </w:pPr>
    </w:lvl>
    <w:lvl w:ilvl="5" w:tplc="041F001B">
      <w:start w:val="1"/>
      <w:numFmt w:val="lowerRoman"/>
      <w:lvlText w:val="%6."/>
      <w:lvlJc w:val="right"/>
      <w:pPr>
        <w:ind w:left="6796" w:hanging="180"/>
      </w:pPr>
    </w:lvl>
    <w:lvl w:ilvl="6" w:tplc="041F000F">
      <w:start w:val="1"/>
      <w:numFmt w:val="decimal"/>
      <w:lvlText w:val="%7."/>
      <w:lvlJc w:val="left"/>
      <w:pPr>
        <w:ind w:left="7516" w:hanging="360"/>
      </w:pPr>
    </w:lvl>
    <w:lvl w:ilvl="7" w:tplc="041F0019">
      <w:start w:val="1"/>
      <w:numFmt w:val="lowerLetter"/>
      <w:lvlText w:val="%8."/>
      <w:lvlJc w:val="left"/>
      <w:pPr>
        <w:ind w:left="8236" w:hanging="360"/>
      </w:pPr>
    </w:lvl>
    <w:lvl w:ilvl="8" w:tplc="041F001B">
      <w:start w:val="1"/>
      <w:numFmt w:val="lowerRoman"/>
      <w:lvlText w:val="%9."/>
      <w:lvlJc w:val="right"/>
      <w:pPr>
        <w:ind w:left="895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193336"/>
    <w:rsid w:val="005A263C"/>
    <w:rsid w:val="005B4E50"/>
    <w:rsid w:val="005E2D47"/>
    <w:rsid w:val="0064673E"/>
    <w:rsid w:val="008E6DAB"/>
    <w:rsid w:val="00925DA7"/>
    <w:rsid w:val="00952B5F"/>
    <w:rsid w:val="00A74CDF"/>
    <w:rsid w:val="00A81AAB"/>
    <w:rsid w:val="00AB71EC"/>
    <w:rsid w:val="00AE2422"/>
    <w:rsid w:val="00B769C0"/>
    <w:rsid w:val="00D31F9F"/>
    <w:rsid w:val="00D6491A"/>
    <w:rsid w:val="00DC6E5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B1624A8-E793-49B3-AB3E-D5DB3B132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5A263C"/>
    <w:pPr>
      <w:tabs>
        <w:tab w:val="center" w:pos="4536"/>
        <w:tab w:val="right" w:pos="9072"/>
      </w:tabs>
    </w:pPr>
  </w:style>
  <w:style w:type="character" w:customStyle="1" w:styleId="stBilgiChar">
    <w:name w:val="Üst Bilgi Char"/>
    <w:link w:val="stBilgi"/>
    <w:uiPriority w:val="99"/>
    <w:rsid w:val="005A263C"/>
    <w:rPr>
      <w:sz w:val="24"/>
      <w:szCs w:val="24"/>
    </w:rPr>
  </w:style>
  <w:style w:type="paragraph" w:styleId="AltBilgi">
    <w:name w:val="footer"/>
    <w:basedOn w:val="Normal"/>
    <w:link w:val="AltBilgiChar"/>
    <w:uiPriority w:val="99"/>
    <w:rsid w:val="005A263C"/>
    <w:pPr>
      <w:tabs>
        <w:tab w:val="center" w:pos="4536"/>
        <w:tab w:val="right" w:pos="9072"/>
      </w:tabs>
    </w:pPr>
  </w:style>
  <w:style w:type="character" w:customStyle="1" w:styleId="AltBilgiChar">
    <w:name w:val="Alt Bilgi Char"/>
    <w:link w:val="AltBilgi"/>
    <w:uiPriority w:val="99"/>
    <w:rsid w:val="005A263C"/>
    <w:rPr>
      <w:sz w:val="24"/>
      <w:szCs w:val="24"/>
    </w:rPr>
  </w:style>
  <w:style w:type="character" w:styleId="SayfaNumaras">
    <w:name w:val="page number"/>
    <w:rsid w:val="005A263C"/>
  </w:style>
  <w:style w:type="paragraph" w:styleId="ListeParagraf">
    <w:name w:val="List Paragraph"/>
    <w:basedOn w:val="Normal"/>
    <w:uiPriority w:val="34"/>
    <w:qFormat/>
    <w:rsid w:val="005A263C"/>
    <w:pPr>
      <w:ind w:left="720"/>
      <w:contextualSpacing/>
    </w:pPr>
  </w:style>
  <w:style w:type="paragraph" w:styleId="KonuBal">
    <w:name w:val="Title"/>
    <w:basedOn w:val="Normal"/>
    <w:link w:val="KonuBalChar"/>
    <w:qFormat/>
    <w:rsid w:val="005A263C"/>
    <w:pPr>
      <w:widowControl w:val="0"/>
      <w:overflowPunct w:val="0"/>
      <w:autoSpaceDE w:val="0"/>
      <w:autoSpaceDN w:val="0"/>
      <w:adjustRightInd w:val="0"/>
      <w:jc w:val="center"/>
    </w:pPr>
    <w:rPr>
      <w:szCs w:val="20"/>
    </w:rPr>
  </w:style>
  <w:style w:type="character" w:customStyle="1" w:styleId="KonuBalChar">
    <w:name w:val="Konu Başlığı Char"/>
    <w:link w:val="KonuBal"/>
    <w:rsid w:val="005A263C"/>
    <w:rPr>
      <w:sz w:val="24"/>
    </w:rPr>
  </w:style>
  <w:style w:type="paragraph" w:customStyle="1" w:styleId="KonuBal3">
    <w:name w:val="Konu Başlığı3"/>
    <w:basedOn w:val="Normal"/>
    <w:rsid w:val="005A263C"/>
    <w:pPr>
      <w:widowControl w:val="0"/>
      <w:overflowPunct w:val="0"/>
      <w:autoSpaceDE w:val="0"/>
      <w:autoSpaceDN w:val="0"/>
      <w:adjustRightInd w:val="0"/>
      <w:jc w:val="center"/>
      <w:textAlignment w:val="baseline"/>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1040</Words>
  <Characters>5929</Characters>
  <Application>Microsoft Office Word</Application>
  <DocSecurity>0</DocSecurity>
  <Lines>49</Lines>
  <Paragraphs>13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ANAYASA MAHKEMESI</Company>
  <LinksUpToDate>false</LinksUpToDate>
  <CharactersWithSpaces>6956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2025-03-18T11:34:00Z</cp:lastPrinted>
  <dcterms:created xsi:type="dcterms:W3CDTF">2025-05-26T02:37:00Z</dcterms:created>
  <dcterms:modified xsi:type="dcterms:W3CDTF">2025-05-26T02:37:00Z</dcterms:modified>
</cp:coreProperties>
</file>