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A5F" w:rsidRDefault="00972A5F" w:rsidP="00972A5F">
      <w:pPr>
        <w:spacing w:after="200"/>
        <w:ind w:right="283"/>
        <w:jc w:val="both"/>
        <w:rPr>
          <w:b/>
          <w:bCs/>
          <w:caps/>
          <w:color w:val="010000"/>
        </w:rPr>
      </w:pPr>
      <w:bookmarkStart w:id="0" w:name="_Hlk167364087"/>
    </w:p>
    <w:p w:rsidR="000E1A3B" w:rsidRDefault="000E1A3B" w:rsidP="00972A5F">
      <w:pPr>
        <w:spacing w:after="200"/>
        <w:ind w:right="283" w:firstLine="567"/>
        <w:jc w:val="center"/>
        <w:rPr>
          <w:b/>
          <w:bCs/>
          <w:caps/>
          <w:color w:val="010000"/>
        </w:rPr>
      </w:pPr>
      <w:bookmarkStart w:id="1" w:name="_GoBack"/>
      <w:bookmarkEnd w:id="1"/>
      <w:r w:rsidRPr="00972A5F">
        <w:rPr>
          <w:b/>
          <w:bCs/>
          <w:caps/>
          <w:color w:val="010000"/>
        </w:rPr>
        <w:t>ANAYASA MAHKEMESİ KARARI</w:t>
      </w:r>
    </w:p>
    <w:p w:rsidR="00972A5F" w:rsidRPr="00972A5F" w:rsidRDefault="00972A5F" w:rsidP="00972A5F">
      <w:pPr>
        <w:spacing w:after="200"/>
        <w:ind w:right="283" w:firstLine="567"/>
        <w:jc w:val="center"/>
        <w:rPr>
          <w:b/>
          <w:bCs/>
          <w:caps/>
          <w:color w:val="010000"/>
        </w:rPr>
      </w:pPr>
    </w:p>
    <w:p w:rsidR="00972A5F" w:rsidRDefault="00972A5F" w:rsidP="00972A5F">
      <w:pPr>
        <w:rPr>
          <w:b/>
          <w:color w:val="010000"/>
        </w:rPr>
      </w:pPr>
      <w:r>
        <w:rPr>
          <w:b/>
          <w:color w:val="010000"/>
        </w:rPr>
        <w:t xml:space="preserve">Esas </w:t>
      </w:r>
      <w:proofErr w:type="gramStart"/>
      <w:r>
        <w:rPr>
          <w:b/>
          <w:color w:val="010000"/>
        </w:rPr>
        <w:t>Sayısı :</w:t>
      </w:r>
      <w:proofErr w:type="gramEnd"/>
      <w:r>
        <w:rPr>
          <w:b/>
          <w:color w:val="010000"/>
        </w:rPr>
        <w:t xml:space="preserve"> 2025/174</w:t>
      </w:r>
    </w:p>
    <w:p w:rsidR="00972A5F" w:rsidRDefault="00972A5F" w:rsidP="00972A5F">
      <w:pPr>
        <w:rPr>
          <w:b/>
          <w:color w:val="010000"/>
        </w:rPr>
      </w:pPr>
      <w:r>
        <w:rPr>
          <w:b/>
          <w:color w:val="010000"/>
        </w:rPr>
        <w:t xml:space="preserve">Karar </w:t>
      </w:r>
      <w:proofErr w:type="gramStart"/>
      <w:r>
        <w:rPr>
          <w:b/>
          <w:color w:val="010000"/>
        </w:rPr>
        <w:t>Sayısı :</w:t>
      </w:r>
      <w:proofErr w:type="gramEnd"/>
      <w:r>
        <w:rPr>
          <w:b/>
          <w:color w:val="010000"/>
        </w:rPr>
        <w:t xml:space="preserve"> 2025/168</w:t>
      </w:r>
    </w:p>
    <w:p w:rsidR="00972A5F" w:rsidRDefault="00972A5F" w:rsidP="00972A5F">
      <w:pPr>
        <w:rPr>
          <w:b/>
          <w:color w:val="010000"/>
        </w:rPr>
      </w:pPr>
      <w:r>
        <w:rPr>
          <w:b/>
          <w:color w:val="010000"/>
        </w:rPr>
        <w:t xml:space="preserve">Karar </w:t>
      </w:r>
      <w:proofErr w:type="gramStart"/>
      <w:r>
        <w:rPr>
          <w:b/>
          <w:color w:val="010000"/>
        </w:rPr>
        <w:t>Tarihi :</w:t>
      </w:r>
      <w:proofErr w:type="gramEnd"/>
      <w:r>
        <w:rPr>
          <w:b/>
          <w:color w:val="010000"/>
        </w:rPr>
        <w:t xml:space="preserve"> 10/9/2025</w:t>
      </w:r>
    </w:p>
    <w:p w:rsidR="00972A5F" w:rsidRDefault="00972A5F" w:rsidP="00972A5F">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1E0BBC" w:rsidRPr="00972A5F" w:rsidRDefault="001E0BBC" w:rsidP="00972A5F">
      <w:pPr>
        <w:rPr>
          <w:b/>
          <w:color w:val="010000"/>
        </w:rPr>
      </w:pPr>
    </w:p>
    <w:p w:rsidR="000E1A3B" w:rsidRPr="00972A5F" w:rsidRDefault="000E1A3B" w:rsidP="00972A5F">
      <w:pPr>
        <w:spacing w:after="200"/>
        <w:ind w:right="283" w:firstLine="567"/>
        <w:jc w:val="both"/>
        <w:rPr>
          <w:bCs/>
          <w:color w:val="010000"/>
        </w:rPr>
      </w:pPr>
      <w:r w:rsidRPr="00972A5F">
        <w:rPr>
          <w:b/>
          <w:bCs/>
          <w:color w:val="010000"/>
        </w:rPr>
        <w:t>İTİRAZ YOLUNA BAŞVURAN:</w:t>
      </w:r>
      <w:r w:rsidR="00972A5F" w:rsidRPr="00972A5F">
        <w:rPr>
          <w:b/>
          <w:bCs/>
          <w:color w:val="010000"/>
        </w:rPr>
        <w:t xml:space="preserve"> </w:t>
      </w:r>
      <w:r w:rsidRPr="00972A5F">
        <w:rPr>
          <w:bCs/>
          <w:color w:val="010000"/>
        </w:rPr>
        <w:t>Ankara Bölge Adliye Mahkemesi 6. Ceza Dairesi</w:t>
      </w:r>
    </w:p>
    <w:p w:rsidR="000E1A3B" w:rsidRPr="00972A5F" w:rsidRDefault="000E1A3B" w:rsidP="00972A5F">
      <w:pPr>
        <w:spacing w:after="200"/>
        <w:ind w:right="283" w:firstLine="567"/>
        <w:jc w:val="both"/>
        <w:rPr>
          <w:color w:val="010000"/>
          <w:lang w:eastAsia="zh-CN"/>
        </w:rPr>
      </w:pPr>
      <w:r w:rsidRPr="00972A5F">
        <w:rPr>
          <w:b/>
          <w:bCs/>
          <w:color w:val="010000"/>
        </w:rPr>
        <w:t>İTİRAZIN KONUSU:</w:t>
      </w:r>
      <w:r w:rsidR="00972A5F" w:rsidRPr="00972A5F">
        <w:rPr>
          <w:b/>
          <w:bCs/>
          <w:color w:val="010000"/>
        </w:rPr>
        <w:t xml:space="preserve"> </w:t>
      </w:r>
      <w:r w:rsidRPr="00972A5F">
        <w:rPr>
          <w:color w:val="010000"/>
        </w:rPr>
        <w:t xml:space="preserve">26/9/2004 tarihli ve 5237 sayılı </w:t>
      </w:r>
      <w:r w:rsidRPr="00972A5F">
        <w:rPr>
          <w:bCs/>
          <w:color w:val="010000"/>
        </w:rPr>
        <w:t xml:space="preserve">Türk Ceza Kanunu’nun 75. maddesinin </w:t>
      </w:r>
      <w:r w:rsidRPr="00972A5F">
        <w:rPr>
          <w:color w:val="010000"/>
        </w:rPr>
        <w:t>(4) numaralı fıkrasında yer alan “</w:t>
      </w:r>
      <w:r w:rsidRPr="00972A5F">
        <w:rPr>
          <w:i/>
          <w:color w:val="010000"/>
        </w:rPr>
        <w:t>…yukarı sınırı altı ayı aşmayan...</w:t>
      </w:r>
      <w:r w:rsidRPr="00972A5F">
        <w:rPr>
          <w:color w:val="010000"/>
        </w:rPr>
        <w:t>” ibaresinin Anayasa’nın 2., 36. ve 38. maddelerine aykırılığı ileri sürülerek iptaline karar verilmesi talebidir.</w:t>
      </w:r>
    </w:p>
    <w:p w:rsidR="000E1A3B" w:rsidRPr="00972A5F" w:rsidRDefault="000E1A3B" w:rsidP="00972A5F">
      <w:pPr>
        <w:spacing w:after="200"/>
        <w:ind w:right="283" w:firstLine="567"/>
        <w:jc w:val="both"/>
        <w:rPr>
          <w:color w:val="010000"/>
        </w:rPr>
      </w:pPr>
      <w:r w:rsidRPr="00972A5F">
        <w:rPr>
          <w:b/>
          <w:bCs/>
          <w:color w:val="010000"/>
        </w:rPr>
        <w:t>OLAY:</w:t>
      </w:r>
      <w:r w:rsidR="00972A5F" w:rsidRPr="00972A5F">
        <w:rPr>
          <w:b/>
          <w:bCs/>
          <w:color w:val="010000"/>
        </w:rPr>
        <w:t xml:space="preserve"> </w:t>
      </w:r>
      <w:r w:rsidRPr="00972A5F">
        <w:rPr>
          <w:color w:val="010000"/>
        </w:rPr>
        <w:t>Hakaret suçundan açılan davada itiraz konusu kuralın Anayasa’ya aykırı olduğu kanısına varan Mahkeme, iptali için başvurmuştur.</w:t>
      </w:r>
    </w:p>
    <w:p w:rsidR="000E1A3B" w:rsidRPr="00972A5F" w:rsidRDefault="000E1A3B" w:rsidP="00972A5F">
      <w:pPr>
        <w:spacing w:after="200"/>
        <w:ind w:right="283" w:firstLine="567"/>
        <w:jc w:val="both"/>
        <w:rPr>
          <w:color w:val="010000"/>
        </w:rPr>
      </w:pPr>
      <w:r w:rsidRPr="00972A5F">
        <w:rPr>
          <w:b/>
          <w:bCs/>
          <w:color w:val="010000"/>
        </w:rPr>
        <w:t>I. İPTALİ İSTENEN KANUN HÜKMÜ</w:t>
      </w:r>
    </w:p>
    <w:p w:rsidR="000E1A3B" w:rsidRPr="00972A5F" w:rsidRDefault="000E1A3B" w:rsidP="00972A5F">
      <w:pPr>
        <w:spacing w:after="200"/>
        <w:ind w:right="283" w:firstLine="567"/>
        <w:jc w:val="both"/>
        <w:rPr>
          <w:color w:val="010000"/>
        </w:rPr>
      </w:pPr>
      <w:r w:rsidRPr="00972A5F">
        <w:rPr>
          <w:color w:val="010000"/>
        </w:rPr>
        <w:t>Kanun’un itiraz konusu kuralın da yer aldığı 75. maddesinin ilgili kısmı şöyledir:</w:t>
      </w:r>
    </w:p>
    <w:p w:rsidR="000E1A3B" w:rsidRPr="00972A5F" w:rsidRDefault="00972A5F" w:rsidP="00972A5F">
      <w:pPr>
        <w:spacing w:after="200"/>
        <w:ind w:right="283" w:firstLine="567"/>
        <w:jc w:val="both"/>
        <w:rPr>
          <w:bCs/>
          <w:i/>
          <w:color w:val="010000"/>
          <w:sz w:val="22"/>
          <w:szCs w:val="22"/>
        </w:rPr>
      </w:pPr>
      <w:r w:rsidRPr="00972A5F">
        <w:rPr>
          <w:color w:val="010000"/>
          <w:sz w:val="22"/>
          <w:szCs w:val="22"/>
        </w:rPr>
        <w:t xml:space="preserve"> </w:t>
      </w:r>
      <w:r w:rsidR="000E1A3B" w:rsidRPr="00972A5F">
        <w:rPr>
          <w:color w:val="010000"/>
          <w:sz w:val="22"/>
          <w:szCs w:val="22"/>
        </w:rPr>
        <w:t>“</w:t>
      </w:r>
      <w:proofErr w:type="spellStart"/>
      <w:r w:rsidR="000E1A3B" w:rsidRPr="00972A5F">
        <w:rPr>
          <w:bCs/>
          <w:i/>
          <w:color w:val="010000"/>
          <w:sz w:val="22"/>
          <w:szCs w:val="22"/>
        </w:rPr>
        <w:t>Önödeme</w:t>
      </w:r>
      <w:proofErr w:type="spellEnd"/>
    </w:p>
    <w:p w:rsidR="000E1A3B" w:rsidRPr="00972A5F" w:rsidRDefault="000E1A3B" w:rsidP="00972A5F">
      <w:pPr>
        <w:spacing w:after="200"/>
        <w:ind w:right="283" w:firstLine="567"/>
        <w:jc w:val="both"/>
        <w:rPr>
          <w:bCs/>
          <w:i/>
          <w:color w:val="010000"/>
          <w:sz w:val="22"/>
          <w:szCs w:val="22"/>
        </w:rPr>
      </w:pPr>
      <w:r w:rsidRPr="00972A5F">
        <w:rPr>
          <w:bCs/>
          <w:i/>
          <w:color w:val="010000"/>
          <w:sz w:val="22"/>
          <w:szCs w:val="22"/>
        </w:rPr>
        <w:t>Madde 75- (1) Uzlaşma kapsamındaki suçlar hariç olmak üzere, yalnız adlî para cezasını gerektiren veya kanun maddesinde öngörülen hapis cezasının yukarı sınırı altı ayı aşmayan suçların faili;</w:t>
      </w:r>
    </w:p>
    <w:p w:rsidR="000E1A3B" w:rsidRPr="00972A5F" w:rsidRDefault="000E1A3B" w:rsidP="00972A5F">
      <w:pPr>
        <w:spacing w:after="200"/>
        <w:ind w:right="283" w:firstLine="567"/>
        <w:jc w:val="both"/>
        <w:rPr>
          <w:bCs/>
          <w:i/>
          <w:color w:val="010000"/>
          <w:sz w:val="22"/>
          <w:szCs w:val="22"/>
        </w:rPr>
      </w:pPr>
      <w:r w:rsidRPr="00972A5F">
        <w:rPr>
          <w:bCs/>
          <w:i/>
          <w:color w:val="010000"/>
          <w:sz w:val="22"/>
          <w:szCs w:val="22"/>
        </w:rPr>
        <w:t>a) Adlî para cezası maktu ise bu miktarı, değilse aşağı sınırını,</w:t>
      </w:r>
    </w:p>
    <w:p w:rsidR="000E1A3B" w:rsidRPr="00972A5F" w:rsidRDefault="000E1A3B" w:rsidP="00972A5F">
      <w:pPr>
        <w:spacing w:after="200"/>
        <w:ind w:right="283" w:firstLine="567"/>
        <w:jc w:val="both"/>
        <w:rPr>
          <w:bCs/>
          <w:i/>
          <w:color w:val="010000"/>
          <w:sz w:val="22"/>
          <w:szCs w:val="22"/>
        </w:rPr>
      </w:pPr>
      <w:r w:rsidRPr="00972A5F">
        <w:rPr>
          <w:bCs/>
          <w:i/>
          <w:color w:val="010000"/>
          <w:sz w:val="22"/>
          <w:szCs w:val="22"/>
        </w:rPr>
        <w:t xml:space="preserve">b) Hapis cezasının aşağı sınırının karşılığı olarak her gün için yüz Türk Lirası üzerinden </w:t>
      </w:r>
      <w:proofErr w:type="gramStart"/>
      <w:r w:rsidRPr="00972A5F">
        <w:rPr>
          <w:bCs/>
          <w:i/>
          <w:color w:val="010000"/>
          <w:sz w:val="22"/>
          <w:szCs w:val="22"/>
        </w:rPr>
        <w:t>bulunacak</w:t>
      </w:r>
      <w:proofErr w:type="gramEnd"/>
      <w:r w:rsidRPr="00972A5F">
        <w:rPr>
          <w:bCs/>
          <w:i/>
          <w:color w:val="010000"/>
          <w:sz w:val="22"/>
          <w:szCs w:val="22"/>
        </w:rPr>
        <w:t xml:space="preserve"> miktarı,</w:t>
      </w:r>
    </w:p>
    <w:p w:rsidR="000E1A3B" w:rsidRPr="00972A5F" w:rsidRDefault="000E1A3B" w:rsidP="00972A5F">
      <w:pPr>
        <w:spacing w:after="200"/>
        <w:ind w:right="283" w:firstLine="567"/>
        <w:jc w:val="both"/>
        <w:rPr>
          <w:bCs/>
          <w:i/>
          <w:color w:val="010000"/>
          <w:sz w:val="22"/>
          <w:szCs w:val="22"/>
        </w:rPr>
      </w:pPr>
      <w:r w:rsidRPr="00972A5F">
        <w:rPr>
          <w:bCs/>
          <w:i/>
          <w:color w:val="010000"/>
          <w:sz w:val="22"/>
          <w:szCs w:val="22"/>
        </w:rPr>
        <w:t>c) Hapis cezası ile birlikte adlî para cezası da öngörülmüş ise, hapis cezası için bu fıkranın (b) bendine göre belirlenecek miktar ile adlî para cezasının aşağı sınırını,</w:t>
      </w:r>
    </w:p>
    <w:p w:rsidR="000E1A3B" w:rsidRPr="00972A5F" w:rsidRDefault="000E1A3B" w:rsidP="00972A5F">
      <w:pPr>
        <w:spacing w:after="200"/>
        <w:ind w:right="283" w:firstLine="567"/>
        <w:jc w:val="both"/>
        <w:rPr>
          <w:bCs/>
          <w:i/>
          <w:color w:val="010000"/>
          <w:sz w:val="22"/>
          <w:szCs w:val="22"/>
        </w:rPr>
      </w:pPr>
      <w:r w:rsidRPr="00972A5F">
        <w:rPr>
          <w:bCs/>
          <w:i/>
          <w:color w:val="010000"/>
          <w:sz w:val="22"/>
          <w:szCs w:val="22"/>
        </w:rPr>
        <w:t xml:space="preserve">Soruşturma giderleri ile birlikte, Cumhuriyet savcılığınca yapılacak tebliğ üzerine on gün içinde ödediği takdirde hakkında kamu davası açılmaz. (Ek cümleler:17/10/2019-7188/16 </w:t>
      </w:r>
      <w:proofErr w:type="spellStart"/>
      <w:r w:rsidRPr="00972A5F">
        <w:rPr>
          <w:bCs/>
          <w:i/>
          <w:color w:val="010000"/>
          <w:sz w:val="22"/>
          <w:szCs w:val="22"/>
        </w:rPr>
        <w:t>md.</w:t>
      </w:r>
      <w:proofErr w:type="spellEnd"/>
      <w:r w:rsidRPr="00972A5F">
        <w:rPr>
          <w:bCs/>
          <w:i/>
          <w:color w:val="010000"/>
          <w:sz w:val="22"/>
          <w:szCs w:val="22"/>
        </w:rPr>
        <w:t xml:space="preserve">) Failin on gün içinde talep etmesi koşuluyla bu miktarın birer ay ara ile üç eşit taksit hâlinde ödenmesine Cumhuriyet savcısı tarafından karar verilir. Taksitlerin süresinde ödenmemesi hâlinde </w:t>
      </w:r>
      <w:proofErr w:type="spellStart"/>
      <w:r w:rsidRPr="00972A5F">
        <w:rPr>
          <w:bCs/>
          <w:i/>
          <w:color w:val="010000"/>
          <w:sz w:val="22"/>
          <w:szCs w:val="22"/>
        </w:rPr>
        <w:t>önödeme</w:t>
      </w:r>
      <w:proofErr w:type="spellEnd"/>
      <w:r w:rsidRPr="00972A5F">
        <w:rPr>
          <w:bCs/>
          <w:i/>
          <w:color w:val="010000"/>
          <w:sz w:val="22"/>
          <w:szCs w:val="22"/>
        </w:rPr>
        <w:t xml:space="preserve"> hükümsüz kalır ve soruşturmaya devam edilir. (Ek cümle: 24/11/2016-6763/12 </w:t>
      </w:r>
      <w:proofErr w:type="spellStart"/>
      <w:r w:rsidRPr="00972A5F">
        <w:rPr>
          <w:bCs/>
          <w:i/>
          <w:color w:val="010000"/>
          <w:sz w:val="22"/>
          <w:szCs w:val="22"/>
        </w:rPr>
        <w:t>md.</w:t>
      </w:r>
      <w:proofErr w:type="spellEnd"/>
      <w:r w:rsidRPr="00972A5F">
        <w:rPr>
          <w:bCs/>
          <w:i/>
          <w:color w:val="010000"/>
          <w:sz w:val="22"/>
          <w:szCs w:val="22"/>
        </w:rPr>
        <w:t xml:space="preserve">) Taksirli suçlar hariç olmak üzere, </w:t>
      </w:r>
      <w:proofErr w:type="spellStart"/>
      <w:r w:rsidRPr="00972A5F">
        <w:rPr>
          <w:bCs/>
          <w:i/>
          <w:color w:val="010000"/>
          <w:sz w:val="22"/>
          <w:szCs w:val="22"/>
        </w:rPr>
        <w:t>önödemeye</w:t>
      </w:r>
      <w:proofErr w:type="spellEnd"/>
      <w:r w:rsidRPr="00972A5F">
        <w:rPr>
          <w:bCs/>
          <w:i/>
          <w:color w:val="010000"/>
          <w:sz w:val="22"/>
          <w:szCs w:val="22"/>
        </w:rPr>
        <w:t xml:space="preserve"> bağlı olarak kovuşturmaya yer olmadığına veya kamu davasının düşmesine karar verildiği tarihten itibaren beş yıl içinde </w:t>
      </w:r>
      <w:proofErr w:type="spellStart"/>
      <w:r w:rsidRPr="00972A5F">
        <w:rPr>
          <w:bCs/>
          <w:i/>
          <w:color w:val="010000"/>
          <w:sz w:val="22"/>
          <w:szCs w:val="22"/>
        </w:rPr>
        <w:t>önödemeye</w:t>
      </w:r>
      <w:proofErr w:type="spellEnd"/>
      <w:r w:rsidRPr="00972A5F">
        <w:rPr>
          <w:bCs/>
          <w:i/>
          <w:color w:val="010000"/>
          <w:sz w:val="22"/>
          <w:szCs w:val="22"/>
        </w:rPr>
        <w:t xml:space="preserve"> tabi bir suçu işleyen faile bu fıkra uyarınca teklif edilecek </w:t>
      </w:r>
      <w:proofErr w:type="spellStart"/>
      <w:r w:rsidRPr="00972A5F">
        <w:rPr>
          <w:bCs/>
          <w:i/>
          <w:color w:val="010000"/>
          <w:sz w:val="22"/>
          <w:szCs w:val="22"/>
        </w:rPr>
        <w:t>önödeme</w:t>
      </w:r>
      <w:proofErr w:type="spellEnd"/>
      <w:r w:rsidRPr="00972A5F">
        <w:rPr>
          <w:bCs/>
          <w:i/>
          <w:color w:val="010000"/>
          <w:sz w:val="22"/>
          <w:szCs w:val="22"/>
        </w:rPr>
        <w:t xml:space="preserve"> miktarı yarı oranında artırılır.</w:t>
      </w:r>
    </w:p>
    <w:p w:rsidR="000E1A3B" w:rsidRPr="00972A5F" w:rsidRDefault="00972A5F" w:rsidP="00972A5F">
      <w:pPr>
        <w:spacing w:after="200"/>
        <w:ind w:right="283" w:firstLine="567"/>
        <w:jc w:val="both"/>
        <w:rPr>
          <w:bCs/>
          <w:i/>
          <w:color w:val="010000"/>
          <w:sz w:val="22"/>
          <w:szCs w:val="22"/>
        </w:rPr>
      </w:pPr>
      <w:r w:rsidRPr="00972A5F">
        <w:rPr>
          <w:bCs/>
          <w:i/>
          <w:color w:val="010000"/>
          <w:sz w:val="22"/>
          <w:szCs w:val="22"/>
        </w:rPr>
        <w:t xml:space="preserve"> </w:t>
      </w:r>
      <w:r w:rsidR="000E1A3B" w:rsidRPr="00972A5F">
        <w:rPr>
          <w:bCs/>
          <w:i/>
          <w:color w:val="010000"/>
          <w:sz w:val="22"/>
          <w:szCs w:val="22"/>
        </w:rPr>
        <w:t xml:space="preserve">(2) Özel kanun hükümleri gereğince işin doğrudan mahkemeye intikal etmesi halinde de fail, </w:t>
      </w:r>
      <w:proofErr w:type="gramStart"/>
      <w:r w:rsidR="000E1A3B" w:rsidRPr="00972A5F">
        <w:rPr>
          <w:bCs/>
          <w:i/>
          <w:color w:val="010000"/>
          <w:sz w:val="22"/>
          <w:szCs w:val="22"/>
        </w:rPr>
        <w:t>hakim</w:t>
      </w:r>
      <w:proofErr w:type="gramEnd"/>
      <w:r w:rsidR="000E1A3B" w:rsidRPr="00972A5F">
        <w:rPr>
          <w:bCs/>
          <w:i/>
          <w:color w:val="010000"/>
          <w:sz w:val="22"/>
          <w:szCs w:val="22"/>
        </w:rPr>
        <w:t xml:space="preserve"> tarafından yapılacak bildirim üzerine birinci fıkra hükümlerine göre saptanacak miktardaki parayı yargılama giderleriyle birlikte ödediğinde kamu davası düşer.</w:t>
      </w:r>
    </w:p>
    <w:p w:rsidR="000E1A3B" w:rsidRPr="00972A5F" w:rsidRDefault="00972A5F" w:rsidP="00972A5F">
      <w:pPr>
        <w:spacing w:after="200"/>
        <w:ind w:right="283" w:firstLine="567"/>
        <w:jc w:val="both"/>
        <w:rPr>
          <w:bCs/>
          <w:i/>
          <w:color w:val="010000"/>
          <w:sz w:val="22"/>
          <w:szCs w:val="22"/>
        </w:rPr>
      </w:pPr>
      <w:r w:rsidRPr="00972A5F">
        <w:rPr>
          <w:bCs/>
          <w:i/>
          <w:color w:val="010000"/>
          <w:sz w:val="22"/>
          <w:szCs w:val="22"/>
        </w:rPr>
        <w:t xml:space="preserve"> </w:t>
      </w:r>
      <w:r w:rsidR="000E1A3B" w:rsidRPr="00972A5F">
        <w:rPr>
          <w:bCs/>
          <w:i/>
          <w:color w:val="010000"/>
          <w:sz w:val="22"/>
          <w:szCs w:val="22"/>
        </w:rPr>
        <w:t xml:space="preserve">(3) Cumhuriyet savcılığınca madde kapsamına giren suç nedeniyle </w:t>
      </w:r>
      <w:proofErr w:type="spellStart"/>
      <w:r w:rsidR="000E1A3B" w:rsidRPr="00972A5F">
        <w:rPr>
          <w:bCs/>
          <w:i/>
          <w:color w:val="010000"/>
          <w:sz w:val="22"/>
          <w:szCs w:val="22"/>
        </w:rPr>
        <w:t>önödeme</w:t>
      </w:r>
      <w:proofErr w:type="spellEnd"/>
      <w:r w:rsidR="000E1A3B" w:rsidRPr="00972A5F">
        <w:rPr>
          <w:bCs/>
          <w:i/>
          <w:color w:val="010000"/>
          <w:sz w:val="22"/>
          <w:szCs w:val="22"/>
        </w:rPr>
        <w:t xml:space="preserve"> işlemi yapılmadan dava açılması veya dava konusu fiilin niteliğinin değişmesi suretiyle madde kapsamına giren bir suça dönüşmesi halinde de yukarıdaki fıkra uygulanır.</w:t>
      </w:r>
    </w:p>
    <w:p w:rsidR="000E1A3B" w:rsidRPr="00972A5F" w:rsidRDefault="00972A5F" w:rsidP="00972A5F">
      <w:pPr>
        <w:spacing w:after="200"/>
        <w:ind w:right="283" w:firstLine="567"/>
        <w:jc w:val="both"/>
        <w:rPr>
          <w:bCs/>
          <w:i/>
          <w:color w:val="010000"/>
          <w:sz w:val="22"/>
          <w:szCs w:val="22"/>
        </w:rPr>
      </w:pPr>
      <w:r w:rsidRPr="00972A5F">
        <w:rPr>
          <w:bCs/>
          <w:i/>
          <w:color w:val="010000"/>
          <w:sz w:val="22"/>
          <w:szCs w:val="22"/>
        </w:rPr>
        <w:t xml:space="preserve"> </w:t>
      </w:r>
      <w:r w:rsidR="000E1A3B" w:rsidRPr="00972A5F">
        <w:rPr>
          <w:bCs/>
          <w:i/>
          <w:color w:val="010000"/>
          <w:sz w:val="22"/>
          <w:szCs w:val="22"/>
        </w:rPr>
        <w:t xml:space="preserve">(4) Suçla ilgili kanun maddesinde </w:t>
      </w:r>
      <w:r w:rsidR="000E1A3B" w:rsidRPr="00972A5F">
        <w:rPr>
          <w:b/>
          <w:bCs/>
          <w:i/>
          <w:color w:val="010000"/>
          <w:sz w:val="22"/>
          <w:szCs w:val="22"/>
          <w:u w:val="single"/>
        </w:rPr>
        <w:t>yukarı sınırı altı ayı aşmayan</w:t>
      </w:r>
      <w:r w:rsidR="000E1A3B" w:rsidRPr="00972A5F">
        <w:rPr>
          <w:bCs/>
          <w:i/>
          <w:color w:val="010000"/>
          <w:sz w:val="22"/>
          <w:szCs w:val="22"/>
        </w:rPr>
        <w:t xml:space="preserve"> hapis cezası veya adlî para cezasından yalnız birinin uygulanabileceği hallerde ödenmesi gereken miktar, yukarıdaki fıkralara göre adlî para cezası esas alınarak belirlenir.</w:t>
      </w:r>
    </w:p>
    <w:p w:rsidR="000E1A3B" w:rsidRPr="00972A5F" w:rsidRDefault="000E1A3B" w:rsidP="00972A5F">
      <w:pPr>
        <w:spacing w:after="200"/>
        <w:ind w:right="283" w:firstLine="567"/>
        <w:jc w:val="both"/>
        <w:rPr>
          <w:color w:val="010000"/>
          <w:sz w:val="22"/>
          <w:szCs w:val="22"/>
        </w:rPr>
      </w:pPr>
      <w:r w:rsidRPr="00972A5F">
        <w:rPr>
          <w:bCs/>
          <w:i/>
          <w:color w:val="010000"/>
          <w:sz w:val="22"/>
          <w:szCs w:val="22"/>
        </w:rPr>
        <w:lastRenderedPageBreak/>
        <w:t>...</w:t>
      </w:r>
      <w:r w:rsidRPr="00972A5F">
        <w:rPr>
          <w:color w:val="010000"/>
          <w:sz w:val="22"/>
          <w:szCs w:val="22"/>
        </w:rPr>
        <w:t>”</w:t>
      </w:r>
    </w:p>
    <w:p w:rsidR="000E1A3B" w:rsidRPr="00972A5F" w:rsidRDefault="000E1A3B" w:rsidP="00972A5F">
      <w:pPr>
        <w:spacing w:after="200"/>
        <w:ind w:right="283" w:firstLine="567"/>
        <w:jc w:val="both"/>
        <w:rPr>
          <w:color w:val="010000"/>
        </w:rPr>
      </w:pPr>
      <w:r w:rsidRPr="00972A5F">
        <w:rPr>
          <w:b/>
          <w:bCs/>
          <w:color w:val="010000"/>
        </w:rPr>
        <w:t>II. İLK İNCELEME</w:t>
      </w:r>
    </w:p>
    <w:p w:rsidR="000E1A3B" w:rsidRPr="00972A5F" w:rsidRDefault="000E1A3B" w:rsidP="00972A5F">
      <w:pPr>
        <w:spacing w:after="200"/>
        <w:ind w:right="283" w:firstLine="567"/>
        <w:jc w:val="both"/>
        <w:rPr>
          <w:color w:val="010000"/>
        </w:rPr>
      </w:pPr>
      <w:r w:rsidRPr="00972A5F">
        <w:rPr>
          <w:color w:val="010000"/>
        </w:rPr>
        <w:t>1.</w:t>
      </w:r>
      <w:r w:rsidR="00972A5F" w:rsidRPr="00972A5F">
        <w:rPr>
          <w:color w:val="010000"/>
        </w:rPr>
        <w:t xml:space="preserve"> </w:t>
      </w:r>
      <w:r w:rsidRPr="00972A5F">
        <w:rPr>
          <w:color w:val="010000"/>
        </w:rPr>
        <w:t>Anayasa Mahkemesi İçtüzüğü hükümleri uyarınca yapılan ilk inceleme toplantısında başvuru kararı ve ekleri, Raportör Muhammed Nuri ÖZGÜR tarafından hazırlanan ilk inceleme raporu ve itiraz konusu kanun hükmü okunup incelendikten sonra gereği görüşülüp düşünüldü:</w:t>
      </w:r>
    </w:p>
    <w:p w:rsidR="000E1A3B" w:rsidRPr="00972A5F" w:rsidRDefault="000E1A3B" w:rsidP="00972A5F">
      <w:pPr>
        <w:spacing w:after="200"/>
        <w:ind w:right="283" w:firstLine="567"/>
        <w:jc w:val="both"/>
        <w:rPr>
          <w:color w:val="010000"/>
          <w:shd w:val="clear" w:color="auto" w:fill="FFFFFF"/>
        </w:rPr>
      </w:pPr>
      <w:r w:rsidRPr="00972A5F">
        <w:rPr>
          <w:color w:val="010000"/>
          <w:shd w:val="clear" w:color="auto" w:fill="FFFFFF"/>
        </w:rPr>
        <w:t xml:space="preserve">2. 30/3/2011 tarihli ve 6216 sayılı Anayasa Mahkemesinin Kuruluşu ve Yargılama Usulleri Hakkında Kanun’un </w:t>
      </w:r>
      <w:r w:rsidRPr="00972A5F">
        <w:rPr>
          <w:iCs/>
          <w:color w:val="010000"/>
          <w:shd w:val="clear" w:color="auto" w:fill="FFFFFF"/>
        </w:rPr>
        <w:t>“</w:t>
      </w:r>
      <w:r w:rsidRPr="00972A5F">
        <w:rPr>
          <w:i/>
          <w:iCs/>
          <w:color w:val="010000"/>
          <w:shd w:val="clear" w:color="auto" w:fill="FFFFFF"/>
        </w:rPr>
        <w:t>Anayasaya aykırılığın mahkemelerce ileri sürülmesi</w:t>
      </w:r>
      <w:r w:rsidRPr="00972A5F">
        <w:rPr>
          <w:iCs/>
          <w:color w:val="010000"/>
          <w:shd w:val="clear" w:color="auto" w:fill="FFFFFF"/>
        </w:rPr>
        <w:t>”</w:t>
      </w:r>
      <w:r w:rsidRPr="00972A5F">
        <w:rPr>
          <w:color w:val="010000"/>
          <w:shd w:val="clear" w:color="auto" w:fill="FFFFFF"/>
        </w:rPr>
        <w:t xml:space="preserve">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bu fıkrada sayılan belgeleri dizi listesine bağlayarak Anayasa Mahkemesine göndereceği belirtilmiş; anılan fıkranın (b) bendinde </w:t>
      </w:r>
      <w:r w:rsidRPr="00972A5F">
        <w:rPr>
          <w:iCs/>
          <w:color w:val="010000"/>
          <w:shd w:val="clear" w:color="auto" w:fill="FFFFFF"/>
        </w:rPr>
        <w:t>“</w:t>
      </w:r>
      <w:r w:rsidRPr="00972A5F">
        <w:rPr>
          <w:i/>
          <w:iCs/>
          <w:color w:val="010000"/>
          <w:shd w:val="clear" w:color="auto" w:fill="FFFFFF"/>
        </w:rPr>
        <w:t>Başvuru kararına ilişkin tutanağın onaylı örneği</w:t>
      </w:r>
      <w:r w:rsidRPr="00972A5F">
        <w:rPr>
          <w:iCs/>
          <w:color w:val="010000"/>
          <w:shd w:val="clear" w:color="auto" w:fill="FFFFFF"/>
        </w:rPr>
        <w:t>”</w:t>
      </w:r>
      <w:r w:rsidRPr="00972A5F">
        <w:rPr>
          <w:color w:val="010000"/>
          <w:shd w:val="clear" w:color="auto" w:fill="FFFFFF"/>
        </w:rPr>
        <w:t xml:space="preserve">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0E1A3B" w:rsidRPr="00972A5F" w:rsidRDefault="000E1A3B" w:rsidP="00972A5F">
      <w:pPr>
        <w:spacing w:after="200"/>
        <w:ind w:right="283" w:firstLine="567"/>
        <w:jc w:val="both"/>
        <w:rPr>
          <w:rFonts w:eastAsia="Calibri"/>
          <w:color w:val="010000"/>
          <w:lang w:eastAsia="en-US"/>
        </w:rPr>
      </w:pPr>
      <w:r w:rsidRPr="00972A5F">
        <w:rPr>
          <w:rFonts w:eastAsia="Calibri"/>
          <w:color w:val="010000"/>
          <w:lang w:eastAsia="en-US"/>
        </w:rPr>
        <w:t xml:space="preserve">3. Anılan </w:t>
      </w:r>
      <w:proofErr w:type="spellStart"/>
      <w:r w:rsidRPr="00972A5F">
        <w:rPr>
          <w:rFonts w:eastAsia="Calibri"/>
          <w:color w:val="010000"/>
          <w:lang w:eastAsia="en-US"/>
        </w:rPr>
        <w:t>İçtüzük’ün</w:t>
      </w:r>
      <w:proofErr w:type="spellEnd"/>
      <w:r w:rsidRPr="00972A5F">
        <w:rPr>
          <w:rFonts w:eastAsia="Calibri"/>
          <w:color w:val="010000"/>
          <w:lang w:eastAsia="en-US"/>
        </w:rPr>
        <w:t xml:space="preserve"> 46. maddesinin (2) numaralı fıkrasının (a) ve (c) bentlerinde de </w:t>
      </w:r>
      <w:r w:rsidRPr="00972A5F">
        <w:rPr>
          <w:rFonts w:eastAsia="Calibri"/>
          <w:i/>
          <w:iCs/>
          <w:color w:val="010000"/>
          <w:lang w:eastAsia="en-US"/>
        </w:rPr>
        <w:t>başvuru kararına ilişkin tutanağın onaylı örneği</w:t>
      </w:r>
      <w:r w:rsidRPr="00972A5F">
        <w:rPr>
          <w:rFonts w:eastAsia="Calibri"/>
          <w:color w:val="010000"/>
          <w:lang w:eastAsia="en-US"/>
        </w:rPr>
        <w:t xml:space="preserve"> ile </w:t>
      </w:r>
      <w:r w:rsidRPr="00972A5F">
        <w:rPr>
          <w:rFonts w:eastAsia="Calibri"/>
          <w:i/>
          <w:color w:val="010000"/>
          <w:lang w:eastAsia="en-US"/>
        </w:rPr>
        <w:t>dava dosyasında sunulan belgelerin tarih sırasına göre başlıklar hâlinde sıralandığı dizi pusulası</w:t>
      </w:r>
      <w:r w:rsidRPr="00972A5F">
        <w:rPr>
          <w:rFonts w:eastAsia="Calibri"/>
          <w:color w:val="010000"/>
          <w:lang w:eastAsia="en-US"/>
        </w:rPr>
        <w:t xml:space="preserve"> Anayasa Mahkemesine sunulacak belgeler arasında sayılmıştır.</w:t>
      </w:r>
    </w:p>
    <w:p w:rsidR="000E1A3B" w:rsidRPr="00972A5F" w:rsidRDefault="000E1A3B" w:rsidP="00972A5F">
      <w:pPr>
        <w:spacing w:after="200"/>
        <w:ind w:right="283" w:firstLine="567"/>
        <w:jc w:val="both"/>
        <w:rPr>
          <w:color w:val="010000"/>
          <w:shd w:val="clear" w:color="auto" w:fill="FFFFFF"/>
        </w:rPr>
      </w:pPr>
      <w:r w:rsidRPr="00972A5F">
        <w:rPr>
          <w:color w:val="010000"/>
          <w:shd w:val="clear" w:color="auto" w:fill="FFFFFF"/>
        </w:rPr>
        <w:t xml:space="preserve">4. Yine </w:t>
      </w:r>
      <w:proofErr w:type="spellStart"/>
      <w:r w:rsidRPr="00972A5F">
        <w:rPr>
          <w:color w:val="010000"/>
          <w:shd w:val="clear" w:color="auto" w:fill="FFFFFF"/>
        </w:rPr>
        <w:t>İçtüzük’ün</w:t>
      </w:r>
      <w:proofErr w:type="spellEnd"/>
      <w:r w:rsidRPr="00972A5F">
        <w:rPr>
          <w:color w:val="010000"/>
          <w:shd w:val="clear" w:color="auto" w:fill="FFFFFF"/>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0E1A3B" w:rsidRPr="00972A5F" w:rsidRDefault="000E1A3B" w:rsidP="00972A5F">
      <w:pPr>
        <w:spacing w:after="200"/>
        <w:ind w:right="283" w:firstLine="567"/>
        <w:jc w:val="both"/>
        <w:rPr>
          <w:color w:val="010000"/>
          <w:shd w:val="clear" w:color="auto" w:fill="FFFFFF"/>
        </w:rPr>
      </w:pPr>
      <w:r w:rsidRPr="00972A5F">
        <w:rPr>
          <w:color w:val="010000"/>
          <w:shd w:val="clear" w:color="auto" w:fill="FFFFFF"/>
        </w:rPr>
        <w:t xml:space="preserve">5. </w:t>
      </w:r>
      <w:r w:rsidRPr="00972A5F">
        <w:rPr>
          <w:color w:val="010000"/>
        </w:rPr>
        <w:t>Yapılan incelemede itiraz yoluna başvuran Mahkemenin gönderdiği belgeler arasında başvuru kararına ilişkin tutanağın onaylı örneğinin ve dava dosyasında sunulan belgelerin tarih sırasına göre başlıklar hâlinde sıralandığı dizi pusulasının bulunmadığı anlaşılmaktadır</w:t>
      </w:r>
      <w:r w:rsidRPr="00972A5F">
        <w:rPr>
          <w:color w:val="010000"/>
          <w:shd w:val="clear" w:color="auto" w:fill="FFFFFF"/>
        </w:rPr>
        <w:t>. Bu itibarla başvurunun yöntemine uygun olmadığı sonucuna ulaşılmıştır.</w:t>
      </w:r>
    </w:p>
    <w:p w:rsidR="000E1A3B" w:rsidRPr="00972A5F" w:rsidRDefault="000E1A3B" w:rsidP="00972A5F">
      <w:pPr>
        <w:spacing w:after="200"/>
        <w:ind w:right="283" w:firstLine="567"/>
        <w:jc w:val="both"/>
        <w:rPr>
          <w:color w:val="010000"/>
          <w:shd w:val="clear" w:color="auto" w:fill="FFFFFF"/>
        </w:rPr>
      </w:pPr>
      <w:r w:rsidRPr="00972A5F">
        <w:rPr>
          <w:color w:val="010000"/>
        </w:rPr>
        <w:t xml:space="preserve">6. Açıklanan nedenlerle </w:t>
      </w:r>
      <w:r w:rsidRPr="00972A5F">
        <w:rPr>
          <w:color w:val="010000"/>
          <w:szCs w:val="20"/>
          <w:shd w:val="clear" w:color="auto" w:fill="FFFFFF"/>
        </w:rPr>
        <w:t xml:space="preserve">anılan Kanun’un 40. maddesinin (1) numaralı fıkrası ile </w:t>
      </w:r>
      <w:proofErr w:type="spellStart"/>
      <w:r w:rsidRPr="00972A5F">
        <w:rPr>
          <w:color w:val="010000"/>
          <w:szCs w:val="20"/>
          <w:shd w:val="clear" w:color="auto" w:fill="FFFFFF"/>
        </w:rPr>
        <w:t>İçtüzük’ün</w:t>
      </w:r>
      <w:proofErr w:type="spellEnd"/>
      <w:r w:rsidRPr="00972A5F">
        <w:rPr>
          <w:color w:val="010000"/>
          <w:szCs w:val="20"/>
          <w:shd w:val="clear" w:color="auto" w:fill="FFFFFF"/>
        </w:rPr>
        <w:t xml:space="preserve"> 46. maddesinin (2) numaralı fıkrasının (a) ve (c) bentlerine aykırı olduğu anlaşılan başvurunun Kanun’un 40. maddesinin (4) numaralı fıkrası gereğince yöntemine uygun olmadığından </w:t>
      </w:r>
      <w:r w:rsidRPr="00972A5F">
        <w:rPr>
          <w:color w:val="010000"/>
          <w:shd w:val="clear" w:color="auto" w:fill="FFFFFF"/>
        </w:rPr>
        <w:t>reddi gerekir.</w:t>
      </w:r>
    </w:p>
    <w:p w:rsidR="000E1A3B" w:rsidRPr="00972A5F" w:rsidRDefault="000E1A3B" w:rsidP="00972A5F">
      <w:pPr>
        <w:spacing w:after="200"/>
        <w:ind w:right="283" w:firstLine="567"/>
        <w:jc w:val="both"/>
        <w:rPr>
          <w:b/>
          <w:color w:val="010000"/>
        </w:rPr>
      </w:pPr>
      <w:r w:rsidRPr="00972A5F">
        <w:rPr>
          <w:b/>
          <w:color w:val="010000"/>
        </w:rPr>
        <w:t>III.</w:t>
      </w:r>
      <w:r w:rsidRPr="00972A5F">
        <w:rPr>
          <w:color w:val="010000"/>
        </w:rPr>
        <w:t xml:space="preserve"> </w:t>
      </w:r>
      <w:r w:rsidRPr="00972A5F">
        <w:rPr>
          <w:b/>
          <w:color w:val="010000"/>
        </w:rPr>
        <w:t>HÜKÜM</w:t>
      </w:r>
    </w:p>
    <w:p w:rsidR="000E1A3B" w:rsidRPr="00972A5F" w:rsidRDefault="000E1A3B" w:rsidP="00972A5F">
      <w:pPr>
        <w:spacing w:after="200"/>
        <w:ind w:right="283" w:firstLine="567"/>
        <w:jc w:val="both"/>
        <w:rPr>
          <w:color w:val="010000"/>
        </w:rPr>
      </w:pPr>
      <w:r w:rsidRPr="00972A5F">
        <w:rPr>
          <w:color w:val="010000"/>
        </w:rPr>
        <w:t xml:space="preserve">26/9/2004 tarihli ve 5237 sayılı </w:t>
      </w:r>
      <w:r w:rsidRPr="00972A5F">
        <w:rPr>
          <w:bCs/>
          <w:color w:val="010000"/>
        </w:rPr>
        <w:t xml:space="preserve">Türk Ceza Kanunu’nun 75. maddesinin </w:t>
      </w:r>
      <w:r w:rsidRPr="00972A5F">
        <w:rPr>
          <w:color w:val="010000"/>
        </w:rPr>
        <w:t>(4) numaralı fıkrasında yer alan “</w:t>
      </w:r>
      <w:r w:rsidRPr="00972A5F">
        <w:rPr>
          <w:i/>
          <w:color w:val="010000"/>
        </w:rPr>
        <w:t>…yukarı sınırı altı ayı aşmayan...</w:t>
      </w:r>
      <w:r w:rsidRPr="00972A5F">
        <w:rPr>
          <w:color w:val="010000"/>
        </w:rPr>
        <w:t xml:space="preserve">” ibaresine yönelik itiraz başvurusunun 30/3/2011 tarihli ve 6216 sayılı Anayasa Mahkemesinin Kuruluşu ve Yargılama Usulleri Hakkında </w:t>
      </w:r>
      <w:r w:rsidRPr="00972A5F">
        <w:rPr>
          <w:rFonts w:eastAsia="Calibri"/>
          <w:color w:val="010000"/>
        </w:rPr>
        <w:t>Kanun’un</w:t>
      </w:r>
      <w:r w:rsidRPr="00972A5F">
        <w:rPr>
          <w:color w:val="010000"/>
        </w:rPr>
        <w:t xml:space="preserve"> 40. maddesinin (4) numaralı fıkrası gereğince yöntemine uygun olmadığından REDDİNE </w:t>
      </w:r>
      <w:r w:rsidRPr="00972A5F">
        <w:rPr>
          <w:rFonts w:eastAsia="ヒラギノ明朝 Pro W3"/>
          <w:color w:val="010000"/>
          <w:lang w:eastAsia="en-US"/>
        </w:rPr>
        <w:t>10/9/2025</w:t>
      </w:r>
      <w:r w:rsidRPr="00972A5F">
        <w:rPr>
          <w:color w:val="010000"/>
        </w:rPr>
        <w:t xml:space="preserve"> tarihinde OYBİRLİĞİYLE karar verildi.</w:t>
      </w:r>
    </w:p>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0E1A3B" w:rsidRPr="00972A5F" w:rsidTr="00972A5F">
        <w:trPr>
          <w:trHeight w:val="1600"/>
          <w:jc w:val="center"/>
        </w:trPr>
        <w:tc>
          <w:tcPr>
            <w:tcW w:w="1642" w:type="pct"/>
            <w:vAlign w:val="center"/>
            <w:hideMark/>
          </w:tcPr>
          <w:p w:rsidR="000E1A3B" w:rsidRPr="00972A5F" w:rsidRDefault="000E1A3B" w:rsidP="00972A5F">
            <w:pPr>
              <w:spacing w:after="120"/>
              <w:jc w:val="center"/>
              <w:rPr>
                <w:color w:val="010000"/>
              </w:rPr>
            </w:pPr>
            <w:r w:rsidRPr="00972A5F">
              <w:rPr>
                <w:color w:val="010000"/>
              </w:rPr>
              <w:lastRenderedPageBreak/>
              <w:t>Başkan</w:t>
            </w:r>
          </w:p>
          <w:p w:rsidR="000E1A3B" w:rsidRPr="00972A5F" w:rsidRDefault="000E1A3B" w:rsidP="00972A5F">
            <w:pPr>
              <w:spacing w:after="120"/>
              <w:jc w:val="center"/>
              <w:rPr>
                <w:color w:val="010000"/>
              </w:rPr>
            </w:pPr>
            <w:r w:rsidRPr="00972A5F">
              <w:rPr>
                <w:color w:val="010000"/>
              </w:rPr>
              <w:t>Kadir ÖZKAYA</w:t>
            </w:r>
          </w:p>
        </w:tc>
        <w:tc>
          <w:tcPr>
            <w:tcW w:w="1679" w:type="pct"/>
            <w:gridSpan w:val="2"/>
            <w:vAlign w:val="center"/>
            <w:hideMark/>
          </w:tcPr>
          <w:p w:rsidR="000E1A3B" w:rsidRPr="00972A5F" w:rsidRDefault="000E1A3B" w:rsidP="00972A5F">
            <w:pPr>
              <w:spacing w:after="120"/>
              <w:jc w:val="center"/>
              <w:rPr>
                <w:color w:val="010000"/>
              </w:rPr>
            </w:pPr>
            <w:r w:rsidRPr="00972A5F">
              <w:rPr>
                <w:color w:val="010000"/>
              </w:rPr>
              <w:t>Başkanvekili</w:t>
            </w:r>
          </w:p>
          <w:p w:rsidR="000E1A3B" w:rsidRPr="00972A5F" w:rsidRDefault="000E1A3B" w:rsidP="00972A5F">
            <w:pPr>
              <w:spacing w:after="120"/>
              <w:jc w:val="center"/>
              <w:rPr>
                <w:color w:val="010000"/>
              </w:rPr>
            </w:pPr>
            <w:r w:rsidRPr="00972A5F">
              <w:rPr>
                <w:color w:val="010000"/>
              </w:rPr>
              <w:t>Hasan Tahsin GÖKCAN</w:t>
            </w:r>
          </w:p>
        </w:tc>
        <w:tc>
          <w:tcPr>
            <w:tcW w:w="1679" w:type="pct"/>
            <w:gridSpan w:val="2"/>
            <w:vAlign w:val="center"/>
            <w:hideMark/>
          </w:tcPr>
          <w:p w:rsidR="000E1A3B" w:rsidRPr="00972A5F" w:rsidRDefault="000E1A3B" w:rsidP="00972A5F">
            <w:pPr>
              <w:spacing w:after="120"/>
              <w:jc w:val="center"/>
              <w:rPr>
                <w:color w:val="010000"/>
              </w:rPr>
            </w:pPr>
            <w:r w:rsidRPr="00972A5F">
              <w:rPr>
                <w:color w:val="010000"/>
              </w:rPr>
              <w:t xml:space="preserve">Başkanvekili </w:t>
            </w:r>
          </w:p>
          <w:p w:rsidR="000E1A3B" w:rsidRPr="00972A5F" w:rsidRDefault="000E1A3B" w:rsidP="00972A5F">
            <w:pPr>
              <w:spacing w:after="120"/>
              <w:jc w:val="center"/>
              <w:rPr>
                <w:color w:val="010000"/>
              </w:rPr>
            </w:pPr>
            <w:r w:rsidRPr="00972A5F">
              <w:rPr>
                <w:color w:val="010000"/>
              </w:rPr>
              <w:t>Basri BAĞCI</w:t>
            </w:r>
          </w:p>
        </w:tc>
      </w:tr>
      <w:tr w:rsidR="000E1A3B" w:rsidRPr="00972A5F" w:rsidTr="00972A5F">
        <w:trPr>
          <w:trHeight w:val="1600"/>
          <w:jc w:val="center"/>
        </w:trPr>
        <w:tc>
          <w:tcPr>
            <w:tcW w:w="1642" w:type="pct"/>
            <w:vAlign w:val="center"/>
            <w:hideMark/>
          </w:tcPr>
          <w:p w:rsidR="000E1A3B" w:rsidRPr="00972A5F" w:rsidRDefault="000E1A3B" w:rsidP="00972A5F">
            <w:pPr>
              <w:spacing w:after="120"/>
              <w:jc w:val="center"/>
              <w:rPr>
                <w:color w:val="010000"/>
              </w:rPr>
            </w:pPr>
            <w:r w:rsidRPr="00972A5F">
              <w:rPr>
                <w:color w:val="010000"/>
              </w:rPr>
              <w:t xml:space="preserve">Üye </w:t>
            </w:r>
          </w:p>
          <w:p w:rsidR="000E1A3B" w:rsidRPr="00972A5F" w:rsidRDefault="000E1A3B" w:rsidP="00972A5F">
            <w:pPr>
              <w:spacing w:after="120"/>
              <w:jc w:val="center"/>
              <w:rPr>
                <w:color w:val="010000"/>
              </w:rPr>
            </w:pPr>
            <w:r w:rsidRPr="00972A5F">
              <w:rPr>
                <w:color w:val="010000"/>
              </w:rPr>
              <w:t>Engin YILDIRIM</w:t>
            </w:r>
          </w:p>
        </w:tc>
        <w:tc>
          <w:tcPr>
            <w:tcW w:w="1679" w:type="pct"/>
            <w:gridSpan w:val="2"/>
            <w:vAlign w:val="center"/>
            <w:hideMark/>
          </w:tcPr>
          <w:p w:rsidR="000E1A3B" w:rsidRPr="00972A5F" w:rsidRDefault="000E1A3B" w:rsidP="00972A5F">
            <w:pPr>
              <w:spacing w:after="120"/>
              <w:jc w:val="center"/>
              <w:rPr>
                <w:color w:val="010000"/>
              </w:rPr>
            </w:pPr>
            <w:r w:rsidRPr="00972A5F">
              <w:rPr>
                <w:color w:val="010000"/>
              </w:rPr>
              <w:t>Üye</w:t>
            </w:r>
          </w:p>
          <w:p w:rsidR="000E1A3B" w:rsidRPr="00972A5F" w:rsidRDefault="000E1A3B" w:rsidP="00972A5F">
            <w:pPr>
              <w:spacing w:after="120"/>
              <w:jc w:val="center"/>
              <w:rPr>
                <w:color w:val="010000"/>
              </w:rPr>
            </w:pPr>
            <w:r w:rsidRPr="00972A5F">
              <w:rPr>
                <w:color w:val="010000"/>
              </w:rPr>
              <w:t>Rıdvan GÜLEÇ</w:t>
            </w:r>
          </w:p>
        </w:tc>
        <w:tc>
          <w:tcPr>
            <w:tcW w:w="1679" w:type="pct"/>
            <w:gridSpan w:val="2"/>
            <w:vAlign w:val="center"/>
            <w:hideMark/>
          </w:tcPr>
          <w:p w:rsidR="000E1A3B" w:rsidRPr="00972A5F" w:rsidRDefault="000E1A3B" w:rsidP="00972A5F">
            <w:pPr>
              <w:spacing w:after="120"/>
              <w:jc w:val="center"/>
              <w:rPr>
                <w:color w:val="010000"/>
              </w:rPr>
            </w:pPr>
            <w:r w:rsidRPr="00972A5F">
              <w:rPr>
                <w:color w:val="010000"/>
              </w:rPr>
              <w:t>Üye</w:t>
            </w:r>
          </w:p>
          <w:p w:rsidR="000E1A3B" w:rsidRPr="00972A5F" w:rsidRDefault="000E1A3B" w:rsidP="00972A5F">
            <w:pPr>
              <w:spacing w:after="120"/>
              <w:jc w:val="center"/>
              <w:rPr>
                <w:color w:val="010000"/>
              </w:rPr>
            </w:pPr>
            <w:r w:rsidRPr="00972A5F">
              <w:rPr>
                <w:bCs/>
                <w:color w:val="010000"/>
              </w:rPr>
              <w:t>Recai AKYEL</w:t>
            </w:r>
          </w:p>
        </w:tc>
      </w:tr>
      <w:tr w:rsidR="000E1A3B" w:rsidRPr="00972A5F" w:rsidTr="00972A5F">
        <w:trPr>
          <w:trHeight w:val="1600"/>
          <w:jc w:val="center"/>
        </w:trPr>
        <w:tc>
          <w:tcPr>
            <w:tcW w:w="1642" w:type="pct"/>
            <w:vAlign w:val="center"/>
            <w:hideMark/>
          </w:tcPr>
          <w:p w:rsidR="000E1A3B" w:rsidRPr="00972A5F" w:rsidRDefault="000E1A3B" w:rsidP="00972A5F">
            <w:pPr>
              <w:spacing w:after="120"/>
              <w:jc w:val="center"/>
              <w:rPr>
                <w:color w:val="010000"/>
              </w:rPr>
            </w:pPr>
            <w:r w:rsidRPr="00972A5F">
              <w:rPr>
                <w:color w:val="010000"/>
              </w:rPr>
              <w:t xml:space="preserve">Üye </w:t>
            </w:r>
          </w:p>
          <w:p w:rsidR="000E1A3B" w:rsidRPr="00972A5F" w:rsidRDefault="000E1A3B" w:rsidP="00972A5F">
            <w:pPr>
              <w:spacing w:after="120"/>
              <w:jc w:val="center"/>
              <w:rPr>
                <w:color w:val="010000"/>
              </w:rPr>
            </w:pPr>
            <w:r w:rsidRPr="00972A5F">
              <w:rPr>
                <w:bCs/>
                <w:color w:val="010000"/>
              </w:rPr>
              <w:t>Yusuf Şevki HAKYEMEZ</w:t>
            </w:r>
          </w:p>
        </w:tc>
        <w:tc>
          <w:tcPr>
            <w:tcW w:w="1679" w:type="pct"/>
            <w:gridSpan w:val="2"/>
            <w:vAlign w:val="center"/>
            <w:hideMark/>
          </w:tcPr>
          <w:p w:rsidR="000E1A3B" w:rsidRPr="00972A5F" w:rsidRDefault="000E1A3B" w:rsidP="00972A5F">
            <w:pPr>
              <w:spacing w:after="120"/>
              <w:jc w:val="center"/>
              <w:rPr>
                <w:color w:val="010000"/>
              </w:rPr>
            </w:pPr>
            <w:r w:rsidRPr="00972A5F">
              <w:rPr>
                <w:color w:val="010000"/>
              </w:rPr>
              <w:t>Üye</w:t>
            </w:r>
          </w:p>
          <w:p w:rsidR="000E1A3B" w:rsidRPr="00972A5F" w:rsidRDefault="000E1A3B" w:rsidP="00972A5F">
            <w:pPr>
              <w:spacing w:after="120"/>
              <w:jc w:val="center"/>
              <w:rPr>
                <w:color w:val="010000"/>
              </w:rPr>
            </w:pPr>
            <w:r w:rsidRPr="00972A5F">
              <w:rPr>
                <w:bCs/>
                <w:color w:val="010000"/>
              </w:rPr>
              <w:t>Yıldız SEFERİNOĞLU</w:t>
            </w:r>
          </w:p>
        </w:tc>
        <w:tc>
          <w:tcPr>
            <w:tcW w:w="1679" w:type="pct"/>
            <w:gridSpan w:val="2"/>
            <w:vAlign w:val="center"/>
            <w:hideMark/>
          </w:tcPr>
          <w:p w:rsidR="000E1A3B" w:rsidRPr="00972A5F" w:rsidRDefault="000E1A3B" w:rsidP="00972A5F">
            <w:pPr>
              <w:spacing w:after="120"/>
              <w:jc w:val="center"/>
              <w:rPr>
                <w:color w:val="010000"/>
              </w:rPr>
            </w:pPr>
            <w:r w:rsidRPr="00972A5F">
              <w:rPr>
                <w:color w:val="010000"/>
              </w:rPr>
              <w:t>Üye</w:t>
            </w:r>
          </w:p>
          <w:p w:rsidR="000E1A3B" w:rsidRPr="00972A5F" w:rsidRDefault="000E1A3B" w:rsidP="00972A5F">
            <w:pPr>
              <w:spacing w:after="120"/>
              <w:jc w:val="center"/>
              <w:rPr>
                <w:color w:val="010000"/>
              </w:rPr>
            </w:pPr>
            <w:r w:rsidRPr="00972A5F">
              <w:rPr>
                <w:color w:val="010000"/>
              </w:rPr>
              <w:t>Selahaddin MENTEŞ</w:t>
            </w:r>
          </w:p>
        </w:tc>
      </w:tr>
      <w:tr w:rsidR="000E1A3B" w:rsidRPr="00972A5F" w:rsidTr="00972A5F">
        <w:trPr>
          <w:trHeight w:val="1600"/>
          <w:jc w:val="center"/>
        </w:trPr>
        <w:tc>
          <w:tcPr>
            <w:tcW w:w="1642" w:type="pct"/>
            <w:vAlign w:val="center"/>
            <w:hideMark/>
          </w:tcPr>
          <w:p w:rsidR="000E1A3B" w:rsidRPr="00972A5F" w:rsidRDefault="000E1A3B" w:rsidP="00972A5F">
            <w:pPr>
              <w:spacing w:after="120"/>
              <w:jc w:val="center"/>
              <w:rPr>
                <w:color w:val="010000"/>
              </w:rPr>
            </w:pPr>
            <w:r w:rsidRPr="00972A5F">
              <w:rPr>
                <w:color w:val="010000"/>
              </w:rPr>
              <w:t xml:space="preserve">Üye </w:t>
            </w:r>
          </w:p>
          <w:p w:rsidR="000E1A3B" w:rsidRPr="00972A5F" w:rsidRDefault="000E1A3B" w:rsidP="00972A5F">
            <w:pPr>
              <w:spacing w:after="120"/>
              <w:jc w:val="center"/>
              <w:rPr>
                <w:color w:val="010000"/>
              </w:rPr>
            </w:pPr>
            <w:r w:rsidRPr="00972A5F">
              <w:rPr>
                <w:bCs/>
                <w:color w:val="010000"/>
              </w:rPr>
              <w:t>İrfan FİDAN</w:t>
            </w:r>
          </w:p>
        </w:tc>
        <w:tc>
          <w:tcPr>
            <w:tcW w:w="1679" w:type="pct"/>
            <w:gridSpan w:val="2"/>
            <w:vAlign w:val="center"/>
            <w:hideMark/>
          </w:tcPr>
          <w:p w:rsidR="000E1A3B" w:rsidRPr="00972A5F" w:rsidRDefault="000E1A3B" w:rsidP="00972A5F">
            <w:pPr>
              <w:spacing w:after="120"/>
              <w:jc w:val="center"/>
              <w:rPr>
                <w:color w:val="010000"/>
              </w:rPr>
            </w:pPr>
            <w:r w:rsidRPr="00972A5F">
              <w:rPr>
                <w:color w:val="010000"/>
              </w:rPr>
              <w:t>Üye</w:t>
            </w:r>
          </w:p>
          <w:p w:rsidR="000E1A3B" w:rsidRPr="00972A5F" w:rsidRDefault="000E1A3B" w:rsidP="00972A5F">
            <w:pPr>
              <w:spacing w:after="120"/>
              <w:jc w:val="center"/>
              <w:rPr>
                <w:color w:val="010000"/>
              </w:rPr>
            </w:pPr>
            <w:r w:rsidRPr="00972A5F">
              <w:rPr>
                <w:color w:val="010000"/>
              </w:rPr>
              <w:t>Kenan YAŞAR</w:t>
            </w:r>
          </w:p>
        </w:tc>
        <w:tc>
          <w:tcPr>
            <w:tcW w:w="1679" w:type="pct"/>
            <w:gridSpan w:val="2"/>
            <w:vAlign w:val="center"/>
            <w:hideMark/>
          </w:tcPr>
          <w:p w:rsidR="000E1A3B" w:rsidRPr="00972A5F" w:rsidRDefault="000E1A3B" w:rsidP="00972A5F">
            <w:pPr>
              <w:spacing w:after="120"/>
              <w:jc w:val="center"/>
              <w:rPr>
                <w:color w:val="010000"/>
              </w:rPr>
            </w:pPr>
            <w:r w:rsidRPr="00972A5F">
              <w:rPr>
                <w:color w:val="010000"/>
              </w:rPr>
              <w:t>Üye</w:t>
            </w:r>
          </w:p>
          <w:p w:rsidR="000E1A3B" w:rsidRPr="00972A5F" w:rsidRDefault="000E1A3B" w:rsidP="00972A5F">
            <w:pPr>
              <w:spacing w:after="120"/>
              <w:jc w:val="center"/>
              <w:rPr>
                <w:color w:val="010000"/>
              </w:rPr>
            </w:pPr>
            <w:r w:rsidRPr="00972A5F">
              <w:rPr>
                <w:color w:val="010000"/>
              </w:rPr>
              <w:t>Muhterem İNCE</w:t>
            </w:r>
          </w:p>
        </w:tc>
      </w:tr>
      <w:tr w:rsidR="000E1A3B" w:rsidRPr="00972A5F" w:rsidTr="00972A5F">
        <w:trPr>
          <w:gridAfter w:val="1"/>
          <w:wAfter w:w="136" w:type="pct"/>
          <w:trHeight w:val="1600"/>
          <w:jc w:val="center"/>
        </w:trPr>
        <w:tc>
          <w:tcPr>
            <w:tcW w:w="2356" w:type="pct"/>
            <w:gridSpan w:val="2"/>
            <w:vAlign w:val="center"/>
            <w:hideMark/>
          </w:tcPr>
          <w:p w:rsidR="000E1A3B" w:rsidRPr="00972A5F" w:rsidRDefault="000E1A3B" w:rsidP="00972A5F">
            <w:pPr>
              <w:spacing w:after="120"/>
              <w:jc w:val="center"/>
              <w:rPr>
                <w:color w:val="010000"/>
              </w:rPr>
            </w:pPr>
            <w:r w:rsidRPr="00972A5F">
              <w:rPr>
                <w:color w:val="010000"/>
              </w:rPr>
              <w:t>Üye</w:t>
            </w:r>
          </w:p>
          <w:p w:rsidR="000E1A3B" w:rsidRPr="00972A5F" w:rsidRDefault="000E1A3B" w:rsidP="00972A5F">
            <w:pPr>
              <w:spacing w:after="120"/>
              <w:jc w:val="center"/>
              <w:rPr>
                <w:color w:val="010000"/>
              </w:rPr>
            </w:pPr>
            <w:r w:rsidRPr="00972A5F">
              <w:rPr>
                <w:bCs/>
                <w:color w:val="010000"/>
              </w:rPr>
              <w:t>Yılmaz AKÇİL</w:t>
            </w:r>
          </w:p>
        </w:tc>
        <w:tc>
          <w:tcPr>
            <w:tcW w:w="2508" w:type="pct"/>
            <w:gridSpan w:val="2"/>
            <w:vAlign w:val="center"/>
            <w:hideMark/>
          </w:tcPr>
          <w:p w:rsidR="000E1A3B" w:rsidRPr="00972A5F" w:rsidRDefault="000E1A3B" w:rsidP="00972A5F">
            <w:pPr>
              <w:spacing w:after="120"/>
              <w:jc w:val="center"/>
              <w:rPr>
                <w:color w:val="010000"/>
              </w:rPr>
            </w:pPr>
            <w:r w:rsidRPr="00972A5F">
              <w:rPr>
                <w:color w:val="010000"/>
              </w:rPr>
              <w:t>Üye</w:t>
            </w:r>
          </w:p>
          <w:p w:rsidR="000E1A3B" w:rsidRPr="00972A5F" w:rsidRDefault="000E1A3B" w:rsidP="00972A5F">
            <w:pPr>
              <w:spacing w:after="120"/>
              <w:jc w:val="center"/>
              <w:rPr>
                <w:color w:val="010000"/>
              </w:rPr>
            </w:pPr>
            <w:r w:rsidRPr="00972A5F">
              <w:rPr>
                <w:bCs/>
                <w:color w:val="010000"/>
              </w:rPr>
              <w:t>Ömer ÇINAR</w:t>
            </w:r>
          </w:p>
        </w:tc>
      </w:tr>
      <w:bookmarkEnd w:id="0"/>
    </w:tbl>
    <w:p w:rsidR="000E1A3B" w:rsidRPr="00972A5F" w:rsidRDefault="000E1A3B" w:rsidP="00972A5F">
      <w:pPr>
        <w:spacing w:after="200"/>
        <w:ind w:right="283" w:firstLine="567"/>
        <w:jc w:val="both"/>
        <w:rPr>
          <w:color w:val="010000"/>
        </w:rPr>
      </w:pPr>
    </w:p>
    <w:sectPr w:rsidR="000E1A3B" w:rsidRPr="00972A5F" w:rsidSect="00972A5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9E4" w:rsidRDefault="00D029E4">
      <w:r>
        <w:separator/>
      </w:r>
    </w:p>
  </w:endnote>
  <w:endnote w:type="continuationSeparator" w:id="0">
    <w:p w:rsidR="00D029E4" w:rsidRDefault="00D0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5F" w:rsidRDefault="00972A5F" w:rsidP="00F32E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72A5F" w:rsidRDefault="00972A5F" w:rsidP="00972A5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5F" w:rsidRPr="00972A5F" w:rsidRDefault="00972A5F" w:rsidP="00F32EED">
    <w:pPr>
      <w:pStyle w:val="AltBilgi"/>
      <w:framePr w:wrap="around" w:vAnchor="text" w:hAnchor="margin" w:xAlign="right" w:y="1"/>
      <w:rPr>
        <w:rStyle w:val="SayfaNumaras"/>
      </w:rPr>
    </w:pPr>
    <w:r w:rsidRPr="00972A5F">
      <w:rPr>
        <w:rStyle w:val="SayfaNumaras"/>
      </w:rPr>
      <w:fldChar w:fldCharType="begin"/>
    </w:r>
    <w:r w:rsidRPr="00972A5F">
      <w:rPr>
        <w:rStyle w:val="SayfaNumaras"/>
      </w:rPr>
      <w:instrText xml:space="preserve"> PAGE </w:instrText>
    </w:r>
    <w:r w:rsidRPr="00972A5F">
      <w:rPr>
        <w:rStyle w:val="SayfaNumaras"/>
      </w:rPr>
      <w:fldChar w:fldCharType="separate"/>
    </w:r>
    <w:r w:rsidRPr="00972A5F">
      <w:rPr>
        <w:rStyle w:val="SayfaNumaras"/>
        <w:noProof/>
      </w:rPr>
      <w:t>2</w:t>
    </w:r>
    <w:r w:rsidRPr="00972A5F">
      <w:rPr>
        <w:rStyle w:val="SayfaNumaras"/>
      </w:rPr>
      <w:fldChar w:fldCharType="end"/>
    </w:r>
  </w:p>
  <w:p w:rsidR="0005017E" w:rsidRDefault="0005017E" w:rsidP="00972A5F">
    <w:pPr>
      <w:pStyle w:val="AltBilgi"/>
      <w:ind w:right="360"/>
      <w:jc w:val="right"/>
    </w:pPr>
  </w:p>
  <w:p w:rsidR="0005017E" w:rsidRDefault="000501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9E4" w:rsidRDefault="00D029E4">
      <w:r>
        <w:separator/>
      </w:r>
    </w:p>
  </w:footnote>
  <w:footnote w:type="continuationSeparator" w:id="0">
    <w:p w:rsidR="00D029E4" w:rsidRDefault="00D0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5F" w:rsidRPr="00972A5F" w:rsidRDefault="00972A5F" w:rsidP="00972A5F">
    <w:pPr>
      <w:pStyle w:val="stBilgi"/>
      <w:rPr>
        <w:b/>
      </w:rPr>
    </w:pPr>
    <w:r w:rsidRPr="00972A5F">
      <w:rPr>
        <w:b/>
      </w:rPr>
      <w:t xml:space="preserve">Esas </w:t>
    </w:r>
    <w:proofErr w:type="gramStart"/>
    <w:r w:rsidRPr="00972A5F">
      <w:rPr>
        <w:b/>
      </w:rPr>
      <w:t>Sayısı :</w:t>
    </w:r>
    <w:proofErr w:type="gramEnd"/>
    <w:r w:rsidRPr="00972A5F">
      <w:rPr>
        <w:b/>
      </w:rPr>
      <w:t xml:space="preserve"> 2025/174</w:t>
    </w:r>
  </w:p>
  <w:p w:rsidR="00972A5F" w:rsidRDefault="00972A5F" w:rsidP="00972A5F">
    <w:pPr>
      <w:pStyle w:val="stBilgi"/>
      <w:rPr>
        <w:b/>
      </w:rPr>
    </w:pPr>
    <w:r>
      <w:rPr>
        <w:b/>
      </w:rPr>
      <w:t xml:space="preserve">Karar </w:t>
    </w:r>
    <w:proofErr w:type="gramStart"/>
    <w:r>
      <w:rPr>
        <w:b/>
      </w:rPr>
      <w:t>Sayısı :</w:t>
    </w:r>
    <w:proofErr w:type="gramEnd"/>
    <w:r>
      <w:rPr>
        <w:b/>
      </w:rPr>
      <w:t xml:space="preserve"> 2025/168</w:t>
    </w:r>
  </w:p>
  <w:p w:rsidR="0005017E" w:rsidRPr="00972A5F" w:rsidRDefault="0005017E" w:rsidP="00972A5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4178"/>
    <w:rsid w:val="0005017E"/>
    <w:rsid w:val="000E1A3B"/>
    <w:rsid w:val="001E0BBC"/>
    <w:rsid w:val="00271E4B"/>
    <w:rsid w:val="00687C6A"/>
    <w:rsid w:val="00952B5F"/>
    <w:rsid w:val="00972A5F"/>
    <w:rsid w:val="00A36685"/>
    <w:rsid w:val="00AA59E3"/>
    <w:rsid w:val="00AA79CE"/>
    <w:rsid w:val="00AE0F79"/>
    <w:rsid w:val="00D029E4"/>
    <w:rsid w:val="00FB4FE8"/>
    <w:rsid w:val="00FE0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8BFA6-2718-43B8-A674-5156ABBF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87C6A"/>
    <w:pPr>
      <w:tabs>
        <w:tab w:val="center" w:pos="4536"/>
        <w:tab w:val="right" w:pos="9072"/>
      </w:tabs>
    </w:pPr>
  </w:style>
  <w:style w:type="character" w:customStyle="1" w:styleId="stBilgiChar">
    <w:name w:val="Üst Bilgi Char"/>
    <w:link w:val="stBilgi"/>
    <w:rsid w:val="00687C6A"/>
    <w:rPr>
      <w:sz w:val="24"/>
      <w:szCs w:val="24"/>
    </w:rPr>
  </w:style>
  <w:style w:type="paragraph" w:styleId="AltBilgi">
    <w:name w:val="footer"/>
    <w:basedOn w:val="Normal"/>
    <w:link w:val="AltBilgiChar"/>
    <w:uiPriority w:val="99"/>
    <w:rsid w:val="00687C6A"/>
    <w:pPr>
      <w:tabs>
        <w:tab w:val="center" w:pos="4536"/>
        <w:tab w:val="right" w:pos="9072"/>
      </w:tabs>
    </w:pPr>
  </w:style>
  <w:style w:type="character" w:customStyle="1" w:styleId="AltBilgiChar">
    <w:name w:val="Alt Bilgi Char"/>
    <w:link w:val="AltBilgi"/>
    <w:uiPriority w:val="99"/>
    <w:rsid w:val="00687C6A"/>
    <w:rPr>
      <w:sz w:val="24"/>
      <w:szCs w:val="24"/>
    </w:rPr>
  </w:style>
  <w:style w:type="paragraph" w:styleId="BalonMetni">
    <w:name w:val="Balloon Text"/>
    <w:basedOn w:val="Normal"/>
    <w:link w:val="BalonMetniChar"/>
    <w:rsid w:val="000E1A3B"/>
    <w:rPr>
      <w:rFonts w:ascii="Segoe UI" w:hAnsi="Segoe UI" w:cs="Segoe UI"/>
      <w:sz w:val="18"/>
      <w:szCs w:val="18"/>
    </w:rPr>
  </w:style>
  <w:style w:type="character" w:customStyle="1" w:styleId="BalonMetniChar">
    <w:name w:val="Balon Metni Char"/>
    <w:link w:val="BalonMetni"/>
    <w:rsid w:val="000E1A3B"/>
    <w:rPr>
      <w:rFonts w:ascii="Segoe UI" w:hAnsi="Segoe UI" w:cs="Segoe UI"/>
      <w:sz w:val="18"/>
      <w:szCs w:val="18"/>
    </w:rPr>
  </w:style>
  <w:style w:type="character" w:styleId="SayfaNumaras">
    <w:name w:val="page number"/>
    <w:basedOn w:val="VarsaylanParagrafYazTipi"/>
    <w:rsid w:val="0097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3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922</Words>
  <Characters>5257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2025-11-24T06:02:00Z</cp:lastPrinted>
  <dcterms:created xsi:type="dcterms:W3CDTF">2025-11-24T08:35:00Z</dcterms:created>
  <dcterms:modified xsi:type="dcterms:W3CDTF">2025-11-24T08:35:00Z</dcterms:modified>
</cp:coreProperties>
</file>