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70A2" w:rsidRDefault="005D70A2" w:rsidP="000253C0">
      <w:pPr>
        <w:spacing w:after="200"/>
        <w:ind w:right="283"/>
        <w:jc w:val="center"/>
        <w:rPr>
          <w:b/>
          <w:bCs/>
          <w:caps/>
          <w:color w:val="010000"/>
        </w:rPr>
      </w:pPr>
      <w:bookmarkStart w:id="0" w:name="_Hlk177655156"/>
      <w:r w:rsidRPr="000253C0">
        <w:rPr>
          <w:b/>
          <w:bCs/>
          <w:caps/>
          <w:color w:val="010000"/>
        </w:rPr>
        <w:t>ANAYASA MAHKEMESİ KARARI</w:t>
      </w:r>
    </w:p>
    <w:p w:rsidR="000253C0" w:rsidRDefault="000253C0" w:rsidP="000253C0">
      <w:pPr>
        <w:rPr>
          <w:b/>
          <w:bCs/>
          <w:caps/>
          <w:color w:val="010000"/>
        </w:rPr>
      </w:pPr>
      <w:bookmarkStart w:id="1" w:name="_Hlk141876816"/>
      <w:r>
        <w:rPr>
          <w:b/>
          <w:bCs/>
          <w:caps/>
          <w:color w:val="010000"/>
        </w:rPr>
        <w:t xml:space="preserve">Esas </w:t>
      </w:r>
      <w:proofErr w:type="gramStart"/>
      <w:r>
        <w:rPr>
          <w:b/>
          <w:bCs/>
          <w:caps/>
          <w:color w:val="010000"/>
        </w:rPr>
        <w:t>Sayısı :</w:t>
      </w:r>
      <w:proofErr w:type="gramEnd"/>
      <w:r>
        <w:rPr>
          <w:b/>
          <w:bCs/>
          <w:caps/>
          <w:color w:val="010000"/>
        </w:rPr>
        <w:t xml:space="preserve"> 2025/159</w:t>
      </w:r>
    </w:p>
    <w:p w:rsidR="000253C0" w:rsidRDefault="000253C0" w:rsidP="000253C0">
      <w:pPr>
        <w:rPr>
          <w:b/>
          <w:color w:val="010000"/>
        </w:rPr>
      </w:pPr>
      <w:r>
        <w:rPr>
          <w:b/>
          <w:color w:val="010000"/>
        </w:rPr>
        <w:t xml:space="preserve">Karar </w:t>
      </w:r>
      <w:proofErr w:type="gramStart"/>
      <w:r>
        <w:rPr>
          <w:b/>
          <w:color w:val="010000"/>
        </w:rPr>
        <w:t>Sayısı :</w:t>
      </w:r>
      <w:proofErr w:type="gramEnd"/>
      <w:r>
        <w:rPr>
          <w:b/>
          <w:color w:val="010000"/>
        </w:rPr>
        <w:t xml:space="preserve"> 2025/144</w:t>
      </w:r>
    </w:p>
    <w:p w:rsidR="000253C0" w:rsidRDefault="000253C0" w:rsidP="000253C0">
      <w:pPr>
        <w:rPr>
          <w:b/>
          <w:color w:val="010000"/>
        </w:rPr>
      </w:pPr>
      <w:r>
        <w:rPr>
          <w:b/>
          <w:color w:val="010000"/>
        </w:rPr>
        <w:t xml:space="preserve">Karar </w:t>
      </w:r>
      <w:proofErr w:type="gramStart"/>
      <w:r>
        <w:rPr>
          <w:b/>
          <w:color w:val="010000"/>
        </w:rPr>
        <w:t>Tarihi :</w:t>
      </w:r>
      <w:proofErr w:type="gramEnd"/>
      <w:r>
        <w:rPr>
          <w:b/>
          <w:color w:val="010000"/>
        </w:rPr>
        <w:t xml:space="preserve"> 10/7/2025</w:t>
      </w:r>
    </w:p>
    <w:p w:rsidR="000253C0" w:rsidRDefault="000253C0" w:rsidP="000253C0">
      <w:pPr>
        <w:rPr>
          <w:b/>
          <w:color w:val="010000"/>
        </w:rPr>
      </w:pPr>
      <w:r>
        <w:rPr>
          <w:b/>
          <w:color w:val="010000"/>
        </w:rPr>
        <w:t xml:space="preserve">R.G. </w:t>
      </w:r>
      <w:proofErr w:type="gramStart"/>
      <w:r>
        <w:rPr>
          <w:b/>
          <w:color w:val="010000"/>
        </w:rPr>
        <w:t>Tarih -</w:t>
      </w:r>
      <w:proofErr w:type="gramEnd"/>
      <w:r>
        <w:rPr>
          <w:b/>
          <w:color w:val="010000"/>
        </w:rPr>
        <w:t xml:space="preserve"> Sayı : Tebliğ edildi.</w:t>
      </w:r>
    </w:p>
    <w:p w:rsidR="00751EA0" w:rsidRPr="000253C0" w:rsidRDefault="00751EA0" w:rsidP="000253C0">
      <w:pPr>
        <w:rPr>
          <w:b/>
          <w:color w:val="010000"/>
        </w:rPr>
      </w:pPr>
    </w:p>
    <w:bookmarkEnd w:id="1"/>
    <w:p w:rsidR="005D70A2" w:rsidRPr="000253C0" w:rsidRDefault="005D70A2" w:rsidP="000253C0">
      <w:pPr>
        <w:spacing w:after="200"/>
        <w:ind w:right="283" w:firstLine="709"/>
        <w:jc w:val="both"/>
        <w:rPr>
          <w:color w:val="010000"/>
        </w:rPr>
      </w:pPr>
      <w:r w:rsidRPr="000253C0">
        <w:rPr>
          <w:b/>
          <w:bCs/>
          <w:color w:val="010000"/>
        </w:rPr>
        <w:t xml:space="preserve">İTİRAZ YOLUNA BAŞVURAN: </w:t>
      </w:r>
      <w:r w:rsidRPr="000253C0">
        <w:rPr>
          <w:bCs/>
          <w:color w:val="010000"/>
        </w:rPr>
        <w:t>Ankara 73. İş</w:t>
      </w:r>
      <w:r w:rsidRPr="000253C0">
        <w:rPr>
          <w:b/>
          <w:bCs/>
          <w:color w:val="010000"/>
        </w:rPr>
        <w:t xml:space="preserve"> </w:t>
      </w:r>
      <w:r w:rsidRPr="000253C0">
        <w:rPr>
          <w:color w:val="010000"/>
        </w:rPr>
        <w:t xml:space="preserve">Mahkemesi </w:t>
      </w:r>
    </w:p>
    <w:p w:rsidR="005D70A2" w:rsidRPr="000253C0" w:rsidRDefault="005D70A2" w:rsidP="000253C0">
      <w:pPr>
        <w:spacing w:after="200"/>
        <w:ind w:right="283" w:firstLine="709"/>
        <w:jc w:val="both"/>
        <w:rPr>
          <w:color w:val="010000"/>
        </w:rPr>
      </w:pPr>
      <w:r w:rsidRPr="000253C0">
        <w:rPr>
          <w:b/>
          <w:bCs/>
          <w:color w:val="010000"/>
        </w:rPr>
        <w:t>İTİRAZIN KONUSU:</w:t>
      </w:r>
      <w:r w:rsidRPr="000253C0">
        <w:rPr>
          <w:color w:val="010000"/>
        </w:rPr>
        <w:t xml:space="preserve"> </w:t>
      </w:r>
      <w:r w:rsidRPr="000253C0">
        <w:rPr>
          <w:color w:val="010000"/>
          <w:lang w:eastAsia="en-US"/>
        </w:rPr>
        <w:t>12/1/2011 tarihli ve 6100 sayılı Hukuk Muhakemeleri Kanunu’nun;</w:t>
      </w:r>
    </w:p>
    <w:p w:rsidR="005D70A2" w:rsidRPr="000253C0" w:rsidRDefault="005D70A2" w:rsidP="000253C0">
      <w:pPr>
        <w:spacing w:after="200"/>
        <w:ind w:right="283" w:firstLine="709"/>
        <w:jc w:val="both"/>
        <w:rPr>
          <w:color w:val="010000"/>
        </w:rPr>
      </w:pPr>
      <w:r w:rsidRPr="000253C0">
        <w:rPr>
          <w:b/>
          <w:color w:val="010000"/>
        </w:rPr>
        <w:t>A.</w:t>
      </w:r>
      <w:r w:rsidRPr="000253C0">
        <w:rPr>
          <w:color w:val="010000"/>
        </w:rPr>
        <w:t xml:space="preserve"> </w:t>
      </w:r>
      <w:r w:rsidRPr="000253C0">
        <w:rPr>
          <w:color w:val="010000"/>
          <w:lang w:eastAsia="en-US"/>
        </w:rPr>
        <w:t>140. maddesinin</w:t>
      </w:r>
      <w:r w:rsidRPr="000253C0">
        <w:rPr>
          <w:bCs/>
          <w:color w:val="010000"/>
          <w:lang w:eastAsia="en-US"/>
        </w:rPr>
        <w:t xml:space="preserve"> (3) numaralı fıkrasının ikinci cümlesinin</w:t>
      </w:r>
      <w:r w:rsidRPr="000253C0">
        <w:rPr>
          <w:color w:val="010000"/>
        </w:rPr>
        <w:t>,</w:t>
      </w:r>
    </w:p>
    <w:p w:rsidR="005D70A2" w:rsidRPr="000253C0" w:rsidRDefault="005D70A2" w:rsidP="000253C0">
      <w:pPr>
        <w:spacing w:after="200"/>
        <w:ind w:right="283" w:firstLine="709"/>
        <w:jc w:val="both"/>
        <w:rPr>
          <w:color w:val="010000"/>
        </w:rPr>
      </w:pPr>
      <w:r w:rsidRPr="000253C0">
        <w:rPr>
          <w:b/>
          <w:color w:val="010000"/>
        </w:rPr>
        <w:t>B.</w:t>
      </w:r>
      <w:r w:rsidRPr="000253C0">
        <w:rPr>
          <w:color w:val="010000"/>
        </w:rPr>
        <w:t xml:space="preserve"> </w:t>
      </w:r>
      <w:r w:rsidRPr="000253C0">
        <w:rPr>
          <w:bCs/>
          <w:color w:val="010000"/>
          <w:lang w:eastAsia="en-US"/>
        </w:rPr>
        <w:t>320. maddesinin (2) numaralı fıkrasının üçüncü cümlesinde yer alan “</w:t>
      </w:r>
      <w:r w:rsidRPr="000253C0">
        <w:rPr>
          <w:bCs/>
          <w:i/>
          <w:color w:val="010000"/>
          <w:lang w:eastAsia="en-US"/>
        </w:rPr>
        <w:t>…</w:t>
      </w:r>
      <w:r w:rsidRPr="000253C0">
        <w:rPr>
          <w:i/>
          <w:color w:val="010000"/>
        </w:rPr>
        <w:t>tutanağın altı hazır bulunan taraflarca imzalanır.</w:t>
      </w:r>
      <w:r w:rsidRPr="000253C0">
        <w:rPr>
          <w:color w:val="010000"/>
        </w:rPr>
        <w:t xml:space="preserve">” ibaresinin, </w:t>
      </w:r>
    </w:p>
    <w:p w:rsidR="005D70A2" w:rsidRPr="000253C0" w:rsidRDefault="005D70A2" w:rsidP="000253C0">
      <w:pPr>
        <w:spacing w:after="200"/>
        <w:ind w:right="283" w:firstLine="709"/>
        <w:jc w:val="both"/>
        <w:rPr>
          <w:color w:val="010000"/>
        </w:rPr>
      </w:pPr>
      <w:r w:rsidRPr="000253C0">
        <w:rPr>
          <w:color w:val="010000"/>
        </w:rPr>
        <w:t xml:space="preserve"> Anayasa’nın </w:t>
      </w:r>
      <w:r w:rsidRPr="000253C0">
        <w:rPr>
          <w:color w:val="010000"/>
          <w:lang w:eastAsia="en-US"/>
        </w:rPr>
        <w:t>2., 5., 13., 36., 40. ve 141. m</w:t>
      </w:r>
      <w:r w:rsidRPr="000253C0">
        <w:rPr>
          <w:color w:val="010000"/>
        </w:rPr>
        <w:t>addelerine aykırılığı ileri sürülerek iptallerine karar verilmesi talebidir.</w:t>
      </w:r>
    </w:p>
    <w:p w:rsidR="005D70A2" w:rsidRPr="000253C0" w:rsidRDefault="005D70A2" w:rsidP="000253C0">
      <w:pPr>
        <w:spacing w:after="200"/>
        <w:ind w:right="283" w:firstLine="709"/>
        <w:jc w:val="both"/>
        <w:rPr>
          <w:color w:val="010000"/>
        </w:rPr>
      </w:pPr>
      <w:r w:rsidRPr="000253C0">
        <w:rPr>
          <w:b/>
          <w:bCs/>
          <w:color w:val="010000"/>
        </w:rPr>
        <w:t>OLAY:</w:t>
      </w:r>
      <w:r w:rsidRPr="000253C0">
        <w:rPr>
          <w:color w:val="010000"/>
        </w:rPr>
        <w:t xml:space="preserve"> </w:t>
      </w:r>
      <w:bookmarkStart w:id="2" w:name="_Hlk157083839"/>
      <w:r w:rsidRPr="000253C0">
        <w:rPr>
          <w:color w:val="010000"/>
          <w:lang w:eastAsia="en-US"/>
        </w:rPr>
        <w:t>İşçilik alacağının tahsili talebiyle açılan davada itiraz konusu kuralların</w:t>
      </w:r>
      <w:r w:rsidRPr="000253C0">
        <w:rPr>
          <w:color w:val="010000"/>
          <w:shd w:val="clear" w:color="auto" w:fill="FFFFFF"/>
          <w:lang w:eastAsia="en-US"/>
        </w:rPr>
        <w:t xml:space="preserve"> Anayasa’ya aykırı olduğu kanısına varan Mahkeme, iptalleri için başvurmuştur. </w:t>
      </w:r>
      <w:bookmarkEnd w:id="2"/>
    </w:p>
    <w:p w:rsidR="005D70A2" w:rsidRPr="000253C0" w:rsidRDefault="005D70A2" w:rsidP="000253C0">
      <w:pPr>
        <w:spacing w:after="200"/>
        <w:ind w:right="283" w:firstLine="709"/>
        <w:jc w:val="both"/>
        <w:rPr>
          <w:b/>
          <w:bCs/>
          <w:color w:val="010000"/>
          <w:lang w:val="en-GB"/>
        </w:rPr>
      </w:pPr>
      <w:r w:rsidRPr="000253C0">
        <w:rPr>
          <w:b/>
          <w:bCs/>
          <w:color w:val="010000"/>
        </w:rPr>
        <w:t xml:space="preserve">I. </w:t>
      </w:r>
      <w:r w:rsidRPr="000253C0">
        <w:rPr>
          <w:b/>
          <w:bCs/>
          <w:color w:val="010000"/>
          <w:lang w:val="x-none"/>
        </w:rPr>
        <w:t>İPTALİ İSTE</w:t>
      </w:r>
      <w:r w:rsidRPr="000253C0">
        <w:rPr>
          <w:b/>
          <w:bCs/>
          <w:color w:val="010000"/>
          <w:lang w:val="en-GB"/>
        </w:rPr>
        <w:t>NEN KANUN HÜKÜMLERİ</w:t>
      </w:r>
    </w:p>
    <w:p w:rsidR="005D70A2" w:rsidRPr="000253C0" w:rsidRDefault="005D70A2" w:rsidP="000253C0">
      <w:pPr>
        <w:spacing w:after="200"/>
        <w:ind w:right="283" w:firstLine="709"/>
        <w:jc w:val="both"/>
        <w:rPr>
          <w:bCs/>
          <w:color w:val="010000"/>
          <w:lang w:val="en-GB"/>
        </w:rPr>
      </w:pPr>
      <w:proofErr w:type="spellStart"/>
      <w:r w:rsidRPr="000253C0">
        <w:rPr>
          <w:bCs/>
          <w:color w:val="010000"/>
          <w:lang w:val="en-GB"/>
        </w:rPr>
        <w:t>Kanun’un</w:t>
      </w:r>
      <w:proofErr w:type="spellEnd"/>
      <w:r w:rsidRPr="000253C0">
        <w:rPr>
          <w:bCs/>
          <w:color w:val="010000"/>
          <w:lang w:val="en-GB"/>
        </w:rPr>
        <w:t xml:space="preserve"> </w:t>
      </w:r>
      <w:proofErr w:type="spellStart"/>
      <w:r w:rsidRPr="000253C0">
        <w:rPr>
          <w:bCs/>
          <w:color w:val="010000"/>
          <w:lang w:val="en-GB"/>
        </w:rPr>
        <w:t>itiraz</w:t>
      </w:r>
      <w:proofErr w:type="spellEnd"/>
      <w:r w:rsidRPr="000253C0">
        <w:rPr>
          <w:bCs/>
          <w:color w:val="010000"/>
          <w:lang w:val="en-GB"/>
        </w:rPr>
        <w:t xml:space="preserve"> </w:t>
      </w:r>
      <w:proofErr w:type="spellStart"/>
      <w:r w:rsidRPr="000253C0">
        <w:rPr>
          <w:bCs/>
          <w:color w:val="010000"/>
          <w:lang w:val="en-GB"/>
        </w:rPr>
        <w:t>konusu</w:t>
      </w:r>
      <w:proofErr w:type="spellEnd"/>
      <w:r w:rsidRPr="000253C0">
        <w:rPr>
          <w:bCs/>
          <w:color w:val="010000"/>
          <w:lang w:val="en-GB"/>
        </w:rPr>
        <w:t xml:space="preserve"> </w:t>
      </w:r>
      <w:proofErr w:type="spellStart"/>
      <w:r w:rsidRPr="000253C0">
        <w:rPr>
          <w:bCs/>
          <w:color w:val="010000"/>
          <w:lang w:val="en-GB"/>
        </w:rPr>
        <w:t>kuralların</w:t>
      </w:r>
      <w:proofErr w:type="spellEnd"/>
      <w:r w:rsidRPr="000253C0">
        <w:rPr>
          <w:bCs/>
          <w:color w:val="010000"/>
          <w:lang w:val="en-GB"/>
        </w:rPr>
        <w:t xml:space="preserve"> da </w:t>
      </w:r>
      <w:proofErr w:type="spellStart"/>
      <w:r w:rsidRPr="000253C0">
        <w:rPr>
          <w:bCs/>
          <w:color w:val="010000"/>
          <w:lang w:val="en-GB"/>
        </w:rPr>
        <w:t>yer</w:t>
      </w:r>
      <w:proofErr w:type="spellEnd"/>
      <w:r w:rsidRPr="000253C0">
        <w:rPr>
          <w:bCs/>
          <w:color w:val="010000"/>
          <w:lang w:val="en-GB"/>
        </w:rPr>
        <w:t xml:space="preserve"> </w:t>
      </w:r>
      <w:proofErr w:type="spellStart"/>
      <w:r w:rsidRPr="000253C0">
        <w:rPr>
          <w:bCs/>
          <w:color w:val="010000"/>
          <w:lang w:val="en-GB"/>
        </w:rPr>
        <w:t>aldığı</w:t>
      </w:r>
      <w:proofErr w:type="spellEnd"/>
      <w:r w:rsidRPr="000253C0">
        <w:rPr>
          <w:bCs/>
          <w:color w:val="010000"/>
          <w:lang w:val="en-GB"/>
        </w:rPr>
        <w:t xml:space="preserve">; </w:t>
      </w:r>
    </w:p>
    <w:p w:rsidR="005D70A2" w:rsidRPr="000253C0" w:rsidRDefault="005D70A2" w:rsidP="000253C0">
      <w:pPr>
        <w:spacing w:after="200"/>
        <w:ind w:right="283" w:firstLine="709"/>
        <w:jc w:val="both"/>
        <w:rPr>
          <w:i/>
          <w:color w:val="010000"/>
        </w:rPr>
      </w:pPr>
      <w:r w:rsidRPr="000253C0">
        <w:rPr>
          <w:b/>
          <w:bCs/>
          <w:color w:val="010000"/>
          <w:lang w:val="en-GB"/>
        </w:rPr>
        <w:t>1.</w:t>
      </w:r>
      <w:r w:rsidRPr="000253C0">
        <w:rPr>
          <w:bCs/>
          <w:color w:val="010000"/>
          <w:lang w:val="en-GB"/>
        </w:rPr>
        <w:t xml:space="preserve"> 140.</w:t>
      </w:r>
      <w:r w:rsidRPr="000253C0">
        <w:rPr>
          <w:color w:val="010000"/>
        </w:rPr>
        <w:t xml:space="preserve"> </w:t>
      </w:r>
      <w:proofErr w:type="gramStart"/>
      <w:r w:rsidRPr="000253C0">
        <w:rPr>
          <w:color w:val="010000"/>
        </w:rPr>
        <w:t>maddesinin</w:t>
      </w:r>
      <w:proofErr w:type="gramEnd"/>
      <w:r w:rsidRPr="000253C0">
        <w:rPr>
          <w:color w:val="010000"/>
        </w:rPr>
        <w:t xml:space="preserve"> (3) numaralı fıkrası </w:t>
      </w:r>
      <w:r w:rsidRPr="000253C0">
        <w:rPr>
          <w:color w:val="010000"/>
          <w:shd w:val="clear" w:color="auto" w:fill="FFFFFF"/>
        </w:rPr>
        <w:t>şöyledir:</w:t>
      </w:r>
    </w:p>
    <w:p w:rsidR="005D70A2" w:rsidRPr="000253C0" w:rsidRDefault="005D70A2" w:rsidP="000253C0">
      <w:pPr>
        <w:spacing w:after="200"/>
        <w:ind w:right="283" w:firstLine="709"/>
        <w:jc w:val="both"/>
        <w:rPr>
          <w:i/>
          <w:color w:val="010000"/>
        </w:rPr>
      </w:pPr>
      <w:r w:rsidRPr="000253C0">
        <w:rPr>
          <w:i/>
          <w:color w:val="010000"/>
        </w:rPr>
        <w:t xml:space="preserve">“(3) Ön inceleme duruşmasının sonunda, tarafların sulh veya arabuluculuk faaliyetinden bir sonuç alıp almadıkları, sonuç alamadıkları takdirde anlaşamadıkları hususların nelerden ibaret olduğu tutanakla tespit edilir. </w:t>
      </w:r>
      <w:r w:rsidRPr="000253C0">
        <w:rPr>
          <w:b/>
          <w:i/>
          <w:color w:val="010000"/>
          <w:u w:val="single"/>
        </w:rPr>
        <w:t>Bu tutanağın altı, duruşmada hazır bulunan taraflarca imzalanır.</w:t>
      </w:r>
      <w:r w:rsidRPr="000253C0">
        <w:rPr>
          <w:i/>
          <w:color w:val="010000"/>
        </w:rPr>
        <w:t xml:space="preserve"> Tahkikat bu tutanak esas alınmak suretiyle yürütülür.”</w:t>
      </w:r>
    </w:p>
    <w:p w:rsidR="005D70A2" w:rsidRPr="000253C0" w:rsidRDefault="005D70A2" w:rsidP="000253C0">
      <w:pPr>
        <w:spacing w:after="200"/>
        <w:ind w:right="283" w:firstLine="709"/>
        <w:jc w:val="both"/>
        <w:rPr>
          <w:bCs/>
          <w:color w:val="010000"/>
          <w:lang w:val="en-GB"/>
        </w:rPr>
      </w:pPr>
      <w:r w:rsidRPr="000253C0">
        <w:rPr>
          <w:b/>
          <w:bCs/>
          <w:color w:val="010000"/>
          <w:lang w:val="en-GB"/>
        </w:rPr>
        <w:t>2.</w:t>
      </w:r>
      <w:r w:rsidRPr="000253C0">
        <w:rPr>
          <w:bCs/>
          <w:color w:val="010000"/>
          <w:lang w:val="en-GB"/>
        </w:rPr>
        <w:t xml:space="preserve"> 320. </w:t>
      </w:r>
      <w:proofErr w:type="spellStart"/>
      <w:r w:rsidRPr="000253C0">
        <w:rPr>
          <w:bCs/>
          <w:color w:val="010000"/>
          <w:lang w:val="en-GB"/>
        </w:rPr>
        <w:t>maddesinin</w:t>
      </w:r>
      <w:proofErr w:type="spellEnd"/>
      <w:r w:rsidRPr="000253C0">
        <w:rPr>
          <w:bCs/>
          <w:color w:val="010000"/>
          <w:lang w:val="en-GB"/>
        </w:rPr>
        <w:t xml:space="preserve"> (2) </w:t>
      </w:r>
      <w:proofErr w:type="spellStart"/>
      <w:r w:rsidRPr="000253C0">
        <w:rPr>
          <w:bCs/>
          <w:color w:val="010000"/>
          <w:lang w:val="en-GB"/>
        </w:rPr>
        <w:t>numaralı</w:t>
      </w:r>
      <w:proofErr w:type="spellEnd"/>
      <w:r w:rsidRPr="000253C0">
        <w:rPr>
          <w:bCs/>
          <w:color w:val="010000"/>
          <w:lang w:val="en-GB"/>
        </w:rPr>
        <w:t xml:space="preserve"> </w:t>
      </w:r>
      <w:proofErr w:type="spellStart"/>
      <w:r w:rsidRPr="000253C0">
        <w:rPr>
          <w:bCs/>
          <w:color w:val="010000"/>
          <w:lang w:val="en-GB"/>
        </w:rPr>
        <w:t>fıkrası</w:t>
      </w:r>
      <w:proofErr w:type="spellEnd"/>
      <w:r w:rsidRPr="000253C0">
        <w:rPr>
          <w:bCs/>
          <w:color w:val="010000"/>
          <w:lang w:val="en-GB"/>
        </w:rPr>
        <w:t xml:space="preserve"> </w:t>
      </w:r>
      <w:proofErr w:type="spellStart"/>
      <w:r w:rsidRPr="000253C0">
        <w:rPr>
          <w:bCs/>
          <w:color w:val="010000"/>
          <w:lang w:val="en-GB"/>
        </w:rPr>
        <w:t>şöyledir</w:t>
      </w:r>
      <w:proofErr w:type="spellEnd"/>
      <w:r w:rsidRPr="000253C0">
        <w:rPr>
          <w:bCs/>
          <w:color w:val="010000"/>
          <w:lang w:val="en-GB"/>
        </w:rPr>
        <w:t>:</w:t>
      </w:r>
    </w:p>
    <w:p w:rsidR="005D70A2" w:rsidRPr="000253C0" w:rsidRDefault="005D70A2" w:rsidP="000253C0">
      <w:pPr>
        <w:spacing w:after="200"/>
        <w:ind w:right="283" w:firstLine="709"/>
        <w:jc w:val="both"/>
        <w:rPr>
          <w:i/>
          <w:color w:val="010000"/>
        </w:rPr>
      </w:pPr>
      <w:r w:rsidRPr="000253C0">
        <w:rPr>
          <w:i/>
          <w:color w:val="010000"/>
        </w:rPr>
        <w:t xml:space="preserve">“(2) Daha önce karar verilemeyen hâllerde mahkeme, ilk duruşmada </w:t>
      </w:r>
      <w:bookmarkStart w:id="3" w:name="_Hlk203380320"/>
      <w:r w:rsidRPr="000253C0">
        <w:rPr>
          <w:i/>
          <w:color w:val="010000"/>
        </w:rPr>
        <w:t xml:space="preserve">dava </w:t>
      </w:r>
      <w:proofErr w:type="gramStart"/>
      <w:r w:rsidRPr="000253C0">
        <w:rPr>
          <w:i/>
          <w:color w:val="010000"/>
        </w:rPr>
        <w:t>şartları</w:t>
      </w:r>
      <w:proofErr w:type="gramEnd"/>
      <w:r w:rsidRPr="000253C0">
        <w:rPr>
          <w:i/>
          <w:color w:val="010000"/>
        </w:rPr>
        <w:t xml:space="preserve"> ve ilk itirazlarla hak düşürücü süre ve zamanaşımı hakkında tarafları dinler; daha sonra tarafların iddia ve savunmaları çerçevesinde, anlaştıkları ve anlaşamadıkları hususları tek tek tespit eder. Uyuşmazlık konularının tespitinden sonra hâkim, tarafları </w:t>
      </w:r>
      <w:proofErr w:type="spellStart"/>
      <w:r w:rsidRPr="000253C0">
        <w:rPr>
          <w:i/>
          <w:color w:val="010000"/>
        </w:rPr>
        <w:t>sulhe</w:t>
      </w:r>
      <w:proofErr w:type="spellEnd"/>
      <w:r w:rsidRPr="000253C0">
        <w:rPr>
          <w:i/>
          <w:color w:val="010000"/>
        </w:rPr>
        <w:t xml:space="preserve"> veya arabuluculuğa teşvik eder. Tarafların sulh olup olmadıkları, sulh olmadıkları takdirde anlaşamadıkları hususların nelerden ibaret olduğu tutanağa yazılır;</w:t>
      </w:r>
      <w:r w:rsidRPr="000253C0">
        <w:rPr>
          <w:b/>
          <w:i/>
          <w:color w:val="010000"/>
          <w:u w:val="single"/>
        </w:rPr>
        <w:t xml:space="preserve"> tutanağın altı hazır bulunan taraflarca imzalanır</w:t>
      </w:r>
      <w:bookmarkEnd w:id="3"/>
      <w:r w:rsidRPr="000253C0">
        <w:rPr>
          <w:b/>
          <w:i/>
          <w:color w:val="010000"/>
          <w:u w:val="single"/>
        </w:rPr>
        <w:t>.</w:t>
      </w:r>
      <w:r w:rsidRPr="000253C0">
        <w:rPr>
          <w:i/>
          <w:color w:val="010000"/>
        </w:rPr>
        <w:t xml:space="preserve"> Tahkikat bu tutanak esas alınmak suretiyle yürütülür.</w:t>
      </w:r>
    </w:p>
    <w:p w:rsidR="005D70A2" w:rsidRPr="000253C0" w:rsidRDefault="005D70A2" w:rsidP="000253C0">
      <w:pPr>
        <w:spacing w:after="200"/>
        <w:ind w:right="283" w:firstLine="709"/>
        <w:jc w:val="both"/>
        <w:rPr>
          <w:b/>
          <w:bCs/>
          <w:color w:val="010000"/>
          <w:shd w:val="clear" w:color="auto" w:fill="FFFFFF"/>
        </w:rPr>
      </w:pPr>
      <w:r w:rsidRPr="000253C0">
        <w:rPr>
          <w:b/>
          <w:bCs/>
          <w:color w:val="010000"/>
          <w:shd w:val="clear" w:color="auto" w:fill="FFFFFF"/>
        </w:rPr>
        <w:t>II. İLK İNCELEME</w:t>
      </w:r>
    </w:p>
    <w:p w:rsidR="005D70A2" w:rsidRPr="000253C0" w:rsidRDefault="005D70A2" w:rsidP="000253C0">
      <w:pPr>
        <w:spacing w:after="200"/>
        <w:ind w:right="283" w:firstLine="709"/>
        <w:jc w:val="both"/>
        <w:rPr>
          <w:color w:val="010000"/>
        </w:rPr>
      </w:pPr>
      <w:r w:rsidRPr="000253C0">
        <w:rPr>
          <w:color w:val="010000"/>
        </w:rPr>
        <w:t>1. Anayasa Mahkemesi İçtüzüğü hükümleri uyarınca yapılan ilk inceleme toplantısında başvuru kararı ve ekleri, Raportör Elif ÇELİKDEMİR ANKITCI tarafından hazırlanan ilk inceleme raporu ve itiraz konusu kanun hükümleri okunup incelendikten sonra gereği görüşülüp düşünüldü:</w:t>
      </w:r>
    </w:p>
    <w:p w:rsidR="005D70A2" w:rsidRPr="000253C0" w:rsidRDefault="005D70A2" w:rsidP="000253C0">
      <w:pPr>
        <w:spacing w:after="200"/>
        <w:ind w:right="283" w:firstLine="709"/>
        <w:jc w:val="both"/>
        <w:rPr>
          <w:bCs/>
          <w:color w:val="010000"/>
          <w:shd w:val="clear" w:color="auto" w:fill="FFFFFF"/>
        </w:rPr>
      </w:pPr>
      <w:r w:rsidRPr="000253C0">
        <w:rPr>
          <w:bCs/>
          <w:color w:val="010000"/>
          <w:shd w:val="clear" w:color="auto" w:fill="FFFFFF"/>
        </w:rPr>
        <w:t xml:space="preserve">2. Anayasa’nın 152. ile 30/3/2011 tarihli ve 6216 sayılı Anayasa Mahkemesinin Kuruluşu ve Yargılama Usulleri Hakkında Kanun’un 40. maddelerine göre bir davaya bakmakta olan mahkeme, bu dava sebebiyle uygulanacak bir kanunun veya Cumhurbaşkanlığı kararnamesinin hükümlerini Anayasa’ya aykırı görmesi hâlinde veya taraflardan birinin ileri sürdüğü aykırılık iddiasının ciddi olduğu kanısına varması durumunda bu hükümlerin iptalleri için Anayasa </w:t>
      </w:r>
      <w:r w:rsidRPr="000253C0">
        <w:rPr>
          <w:bCs/>
          <w:color w:val="010000"/>
          <w:shd w:val="clear" w:color="auto" w:fill="FFFFFF"/>
        </w:rPr>
        <w:lastRenderedPageBreak/>
        <w:t xml:space="preserve">Mahkemesine başvurmaya yetkilidir. Ancak anılan maddeler uyarınca bir mahkemenin Anayasa Mahkemesine başvurabilmesi için elinde yöntemince açılmış ve mahkemenin görevine giren bir davanın bulunması, iptali talep edilen kuralın da o davada uygulanacak olması gerekir. </w:t>
      </w:r>
    </w:p>
    <w:p w:rsidR="005D70A2" w:rsidRPr="000253C0" w:rsidRDefault="005D70A2" w:rsidP="000253C0">
      <w:pPr>
        <w:spacing w:after="200"/>
        <w:ind w:right="283" w:firstLine="709"/>
        <w:jc w:val="both"/>
        <w:rPr>
          <w:bCs/>
          <w:color w:val="010000"/>
          <w:shd w:val="clear" w:color="auto" w:fill="FFFFFF"/>
        </w:rPr>
      </w:pPr>
      <w:r w:rsidRPr="000253C0">
        <w:rPr>
          <w:bCs/>
          <w:color w:val="010000"/>
          <w:shd w:val="clear" w:color="auto" w:fill="FFFFFF"/>
        </w:rPr>
        <w:t xml:space="preserve">3. İtiraz yoluna başvuran Mahkeme 6100 sayılı Kanun’un </w:t>
      </w:r>
      <w:r w:rsidRPr="000253C0">
        <w:rPr>
          <w:color w:val="010000"/>
          <w:lang w:eastAsia="en-US"/>
        </w:rPr>
        <w:t>140. maddesinin</w:t>
      </w:r>
      <w:r w:rsidRPr="000253C0">
        <w:rPr>
          <w:bCs/>
          <w:color w:val="010000"/>
          <w:lang w:eastAsia="en-US"/>
        </w:rPr>
        <w:t xml:space="preserve"> (3) numaralı fıkrasının ikinci cümlesi ile</w:t>
      </w:r>
      <w:r w:rsidRPr="000253C0">
        <w:rPr>
          <w:color w:val="010000"/>
        </w:rPr>
        <w:t xml:space="preserve"> </w:t>
      </w:r>
      <w:r w:rsidRPr="000253C0">
        <w:rPr>
          <w:bCs/>
          <w:color w:val="010000"/>
          <w:lang w:eastAsia="en-US"/>
        </w:rPr>
        <w:t>320. maddesinin (2) numaralı fıkrasının üçüncü cümlesinde yer alan “</w:t>
      </w:r>
      <w:r w:rsidRPr="000253C0">
        <w:rPr>
          <w:bCs/>
          <w:i/>
          <w:color w:val="010000"/>
          <w:lang w:eastAsia="en-US"/>
        </w:rPr>
        <w:t>…</w:t>
      </w:r>
      <w:r w:rsidRPr="000253C0">
        <w:rPr>
          <w:i/>
          <w:color w:val="010000"/>
        </w:rPr>
        <w:t>tutanağın altı hazır bulunan taraflarca imzalanır.</w:t>
      </w:r>
      <w:r w:rsidRPr="000253C0">
        <w:rPr>
          <w:color w:val="010000"/>
        </w:rPr>
        <w:t>” ibaresinin iptallerini talep etmiştir.</w:t>
      </w:r>
    </w:p>
    <w:p w:rsidR="005D70A2" w:rsidRPr="000253C0" w:rsidRDefault="005D70A2" w:rsidP="000253C0">
      <w:pPr>
        <w:spacing w:after="200"/>
        <w:ind w:right="283" w:firstLine="709"/>
        <w:jc w:val="both"/>
        <w:rPr>
          <w:bCs/>
          <w:color w:val="010000"/>
          <w:shd w:val="clear" w:color="auto" w:fill="FFFFFF"/>
        </w:rPr>
      </w:pPr>
      <w:r w:rsidRPr="000253C0">
        <w:rPr>
          <w:bCs/>
          <w:color w:val="010000"/>
          <w:shd w:val="clear" w:color="auto" w:fill="FFFFFF"/>
        </w:rPr>
        <w:t>4. Anılan Kanun’un ön inceleme duruşmasını düzenleyen 140. maddesinin (3) numaralı fıkrasının birinci cümlesinde ö</w:t>
      </w:r>
      <w:r w:rsidRPr="000253C0">
        <w:rPr>
          <w:color w:val="010000"/>
          <w:spacing w:val="-2"/>
        </w:rPr>
        <w:t>n inceleme duruşmasının sonunda, tarafların sulh veya arabuluculuk faaliyetinden bir sonuç alıp almadıklarının, sonuç alamadıkları takdirde anlaşamadıkları hususların nelerden ibaret olduğunun tutanakla tespit edileceği öngörülmüştür. Söz konusu fıkranın itiraz konusu ikinci cümlesinde de bu tutanağın altının, duruşmada hazır bulunan taraflarca imzalanacağı hüküm altına alınmıştır.</w:t>
      </w:r>
      <w:r w:rsidR="000253C0" w:rsidRPr="000253C0">
        <w:rPr>
          <w:color w:val="010000"/>
          <w:spacing w:val="-2"/>
        </w:rPr>
        <w:t xml:space="preserve"> </w:t>
      </w:r>
    </w:p>
    <w:p w:rsidR="005D70A2" w:rsidRPr="000253C0" w:rsidRDefault="005D70A2" w:rsidP="000253C0">
      <w:pPr>
        <w:spacing w:after="200"/>
        <w:ind w:right="283" w:firstLine="709"/>
        <w:jc w:val="both"/>
        <w:rPr>
          <w:bCs/>
          <w:color w:val="010000"/>
          <w:shd w:val="clear" w:color="auto" w:fill="FFFFFF"/>
        </w:rPr>
      </w:pPr>
      <w:r w:rsidRPr="000253C0">
        <w:rPr>
          <w:bCs/>
          <w:color w:val="010000"/>
          <w:shd w:val="clear" w:color="auto" w:fill="FFFFFF"/>
        </w:rPr>
        <w:t xml:space="preserve">5. Kanun’un 320. maddesinin (2) numaralı fıkrasının birinci ve ikinci cümlelerinde daha önce karar verilmeyen hâllerde mahkemenin, </w:t>
      </w:r>
      <w:r w:rsidRPr="000253C0">
        <w:rPr>
          <w:bCs/>
          <w:i/>
          <w:color w:val="010000"/>
          <w:shd w:val="clear" w:color="auto" w:fill="FFFFFF"/>
        </w:rPr>
        <w:t>ilk duruşmada</w:t>
      </w:r>
      <w:r w:rsidRPr="000253C0">
        <w:rPr>
          <w:bCs/>
          <w:color w:val="010000"/>
          <w:shd w:val="clear" w:color="auto" w:fill="FFFFFF"/>
        </w:rPr>
        <w:t xml:space="preserve"> dava şartları ve ilk itirazlarla hak düşürücü süre ve zamanaşımı hakkında tarafları dinleyeceği; daha sonra tarafların iddia ve savunmaları çerçevesinde, anlaştıkları ve anlaşamadıkları hususları tek tek tespit edeceği; uyuşmazlık konularının tespitinden sonra hâkimin, tarafları </w:t>
      </w:r>
      <w:proofErr w:type="spellStart"/>
      <w:r w:rsidRPr="000253C0">
        <w:rPr>
          <w:bCs/>
          <w:color w:val="010000"/>
          <w:shd w:val="clear" w:color="auto" w:fill="FFFFFF"/>
        </w:rPr>
        <w:t>sulhe</w:t>
      </w:r>
      <w:proofErr w:type="spellEnd"/>
      <w:r w:rsidRPr="000253C0">
        <w:rPr>
          <w:bCs/>
          <w:color w:val="010000"/>
          <w:shd w:val="clear" w:color="auto" w:fill="FFFFFF"/>
        </w:rPr>
        <w:t xml:space="preserve"> veya arabuluculuğa teşvik edeceği belirtilmiştir. Anılan fıkranın itiraz konusu kuralın da yer aldığı üçüncü cümlesinde de tarafların sulh olup olmadıkları, sulh olmadıkları takdirde anlaşamadıkları hususların nelerden ibaret olduğunun tutanağa yazılacağı ve tutanağın altının hazır bulunan taraflarca imzalanacağı hükme bağlanmıştır. </w:t>
      </w:r>
    </w:p>
    <w:p w:rsidR="005D70A2" w:rsidRPr="000253C0" w:rsidRDefault="005D70A2" w:rsidP="000253C0">
      <w:pPr>
        <w:spacing w:after="200"/>
        <w:ind w:right="283" w:firstLine="709"/>
        <w:jc w:val="both"/>
        <w:rPr>
          <w:bCs/>
          <w:color w:val="010000"/>
          <w:shd w:val="clear" w:color="auto" w:fill="FFFFFF"/>
        </w:rPr>
      </w:pPr>
      <w:r w:rsidRPr="000253C0">
        <w:rPr>
          <w:bCs/>
          <w:color w:val="010000"/>
          <w:shd w:val="clear" w:color="auto" w:fill="FFFFFF"/>
        </w:rPr>
        <w:t xml:space="preserve">6. Bakılmakta olan davanın basit yargılama usulüne tabi olduğu, söz konusu usulün uygulandığı davalarda ön inceleme ile ilgili olarak Kanun’da hüküm bulunmayan hâllerde yazılı yargılama usulünde ön inceleme ile ilgili hükümlere atıf yapıldığı, basit yargılama usulünün uygulandığı davalarda ön inceleme duruşmasında tutanağın altının hazır bulunan taraflarca imzalanmasına ilişkin hususların ayrıca ve açıkça düzenlendiği dolayısıyla somut davanın niteliği itibarıyla 6100 sayılı Kanun’un 140. maddesinin (3) numaralı fıkrasının itiraz konusu ikinci cümlesinin davada uygulanma imkânının bulunmadığı anlaşılmaktadır. </w:t>
      </w:r>
    </w:p>
    <w:p w:rsidR="005D70A2" w:rsidRPr="000253C0" w:rsidRDefault="005D70A2" w:rsidP="000253C0">
      <w:pPr>
        <w:spacing w:after="200"/>
        <w:ind w:right="283" w:firstLine="709"/>
        <w:jc w:val="both"/>
        <w:rPr>
          <w:bCs/>
          <w:color w:val="010000"/>
          <w:shd w:val="clear" w:color="auto" w:fill="FFFFFF"/>
        </w:rPr>
      </w:pPr>
      <w:r w:rsidRPr="000253C0">
        <w:rPr>
          <w:bCs/>
          <w:color w:val="010000"/>
          <w:shd w:val="clear" w:color="auto" w:fill="FFFFFF"/>
        </w:rPr>
        <w:t>7. Bunun yanında yargılamada ilk duruşmanın 30/6/2025 tarihinde tarafların yokluğunda yapıldığı, dolayısıyla basit yargılama usulünün uygulandığı davalarda ilk duruşmadan sonra tahkikat aşamasına geçildiği gözetildiğinde Kanun’un 320. maddesinin (2) numaralı fıkrasının itiraz konusu üçüncü cümlesinin de davada uygulanma imkânının bulunmadığı açıktır.</w:t>
      </w:r>
      <w:r w:rsidR="000253C0" w:rsidRPr="000253C0">
        <w:rPr>
          <w:bCs/>
          <w:color w:val="010000"/>
          <w:shd w:val="clear" w:color="auto" w:fill="FFFFFF"/>
        </w:rPr>
        <w:t xml:space="preserve"> </w:t>
      </w:r>
    </w:p>
    <w:p w:rsidR="005D70A2" w:rsidRPr="000253C0" w:rsidRDefault="005D70A2" w:rsidP="000253C0">
      <w:pPr>
        <w:spacing w:after="200"/>
        <w:ind w:right="283" w:firstLine="709"/>
        <w:jc w:val="both"/>
        <w:rPr>
          <w:bCs/>
          <w:color w:val="010000"/>
          <w:shd w:val="clear" w:color="auto" w:fill="FFFFFF"/>
        </w:rPr>
      </w:pPr>
      <w:r w:rsidRPr="000253C0">
        <w:rPr>
          <w:bCs/>
          <w:color w:val="010000"/>
          <w:shd w:val="clear" w:color="auto" w:fill="FFFFFF"/>
        </w:rPr>
        <w:t>8. Açıklanan nedenlerle başvurunun Mahkemenin yetkisizliği nedeniyle reddi gerekir.</w:t>
      </w:r>
    </w:p>
    <w:p w:rsidR="005D70A2" w:rsidRPr="000253C0" w:rsidRDefault="005D70A2" w:rsidP="000253C0">
      <w:pPr>
        <w:pStyle w:val="KonuBal"/>
        <w:widowControl/>
        <w:spacing w:after="200"/>
        <w:ind w:right="283" w:firstLine="709"/>
        <w:jc w:val="both"/>
        <w:rPr>
          <w:b/>
          <w:bCs/>
          <w:color w:val="010000"/>
          <w:shd w:val="clear" w:color="auto" w:fill="FFFFFF"/>
        </w:rPr>
      </w:pPr>
      <w:r w:rsidRPr="000253C0">
        <w:rPr>
          <w:b/>
          <w:bCs/>
          <w:color w:val="010000"/>
          <w:shd w:val="clear" w:color="auto" w:fill="FFFFFF"/>
        </w:rPr>
        <w:t>III. HÜKÜM</w:t>
      </w:r>
      <w:bookmarkEnd w:id="0"/>
    </w:p>
    <w:p w:rsidR="00D1135F" w:rsidRPr="000253C0" w:rsidRDefault="00D1135F" w:rsidP="000253C0">
      <w:pPr>
        <w:pStyle w:val="KonuBal"/>
        <w:widowControl/>
        <w:spacing w:after="200"/>
        <w:ind w:right="283" w:firstLine="709"/>
        <w:jc w:val="both"/>
        <w:rPr>
          <w:color w:val="010000"/>
          <w:szCs w:val="24"/>
        </w:rPr>
      </w:pPr>
      <w:bookmarkStart w:id="4" w:name="_Hlk167364087"/>
      <w:r w:rsidRPr="000253C0">
        <w:rPr>
          <w:color w:val="010000"/>
          <w:szCs w:val="24"/>
        </w:rPr>
        <w:t>12/1/2011 tarihli ve 6100 sayılı Hukuk Muhakemeleri Kanunu’nun;</w:t>
      </w:r>
    </w:p>
    <w:p w:rsidR="00D1135F" w:rsidRPr="000253C0" w:rsidRDefault="00D1135F" w:rsidP="000253C0">
      <w:pPr>
        <w:pStyle w:val="KonuBal"/>
        <w:widowControl/>
        <w:spacing w:after="200"/>
        <w:ind w:right="283" w:firstLine="709"/>
        <w:jc w:val="both"/>
        <w:rPr>
          <w:color w:val="010000"/>
          <w:szCs w:val="24"/>
        </w:rPr>
      </w:pPr>
      <w:r w:rsidRPr="000253C0">
        <w:rPr>
          <w:b/>
          <w:color w:val="010000"/>
          <w:szCs w:val="24"/>
        </w:rPr>
        <w:t>A.</w:t>
      </w:r>
      <w:r w:rsidRPr="000253C0">
        <w:rPr>
          <w:color w:val="010000"/>
          <w:szCs w:val="24"/>
        </w:rPr>
        <w:t xml:space="preserve"> 140. maddesinin (3) numaralı fıkrasının ikinci cümlesinin,</w:t>
      </w:r>
    </w:p>
    <w:p w:rsidR="00D1135F" w:rsidRPr="000253C0" w:rsidRDefault="00D1135F" w:rsidP="000253C0">
      <w:pPr>
        <w:pStyle w:val="KonuBal"/>
        <w:widowControl/>
        <w:spacing w:after="200"/>
        <w:ind w:right="283" w:firstLine="709"/>
        <w:jc w:val="both"/>
        <w:rPr>
          <w:color w:val="010000"/>
          <w:szCs w:val="24"/>
        </w:rPr>
      </w:pPr>
      <w:r w:rsidRPr="000253C0">
        <w:rPr>
          <w:b/>
          <w:color w:val="010000"/>
          <w:szCs w:val="24"/>
        </w:rPr>
        <w:t>B.</w:t>
      </w:r>
      <w:r w:rsidRPr="000253C0">
        <w:rPr>
          <w:color w:val="010000"/>
          <w:szCs w:val="24"/>
        </w:rPr>
        <w:t xml:space="preserve"> 320. maddesinin (2) numaralı fıkrasının üçüncü cümlesinde yer alan “</w:t>
      </w:r>
      <w:r w:rsidRPr="000253C0">
        <w:rPr>
          <w:i/>
          <w:color w:val="010000"/>
          <w:szCs w:val="24"/>
        </w:rPr>
        <w:t>…tutanağın altı hazır bulunan taraflarca imzalanır.</w:t>
      </w:r>
      <w:r w:rsidRPr="000253C0">
        <w:rPr>
          <w:color w:val="010000"/>
          <w:szCs w:val="24"/>
        </w:rPr>
        <w:t>” ibaresinin,</w:t>
      </w:r>
    </w:p>
    <w:p w:rsidR="00D1135F" w:rsidRPr="000253C0" w:rsidRDefault="00D1135F" w:rsidP="000253C0">
      <w:pPr>
        <w:spacing w:after="200"/>
        <w:ind w:right="283" w:firstLine="709"/>
        <w:jc w:val="both"/>
        <w:rPr>
          <w:color w:val="010000"/>
        </w:rPr>
      </w:pPr>
      <w:proofErr w:type="gramStart"/>
      <w:r w:rsidRPr="000253C0">
        <w:rPr>
          <w:bCs/>
          <w:color w:val="010000"/>
        </w:rPr>
        <w:t>itiraz</w:t>
      </w:r>
      <w:proofErr w:type="gramEnd"/>
      <w:r w:rsidRPr="000253C0">
        <w:rPr>
          <w:bCs/>
          <w:color w:val="010000"/>
        </w:rPr>
        <w:t xml:space="preserve"> başvurusunda bulunan Mahkemenin bakmakta olduğu davada uygulanma imkânı bulunmadığından başvurunun Mahkemenin yetkisizliği nedeniyle REDDİNE </w:t>
      </w:r>
      <w:r w:rsidRPr="000253C0">
        <w:rPr>
          <w:rFonts w:eastAsia="ヒラギノ明朝 Pro W3"/>
          <w:color w:val="010000"/>
          <w:lang w:eastAsia="en-US"/>
        </w:rPr>
        <w:t>10/7/2025</w:t>
      </w:r>
      <w:r w:rsidRPr="000253C0">
        <w:rPr>
          <w:color w:val="010000"/>
        </w:rPr>
        <w:t xml:space="preserve"> tarihinde OYBİRLİĞİYLE karar verildi.</w:t>
      </w:r>
    </w:p>
    <w:p w:rsidR="000253C0" w:rsidRDefault="000253C0">
      <w:bookmarkStart w:id="5" w:name="_GoBack"/>
      <w:bookmarkEnd w:id="5"/>
    </w:p>
    <w:tbl>
      <w:tblPr>
        <w:tblW w:w="5000" w:type="pct"/>
        <w:jc w:val="center"/>
        <w:tblCellMar>
          <w:left w:w="70" w:type="dxa"/>
          <w:right w:w="70" w:type="dxa"/>
        </w:tblCellMar>
        <w:tblLook w:val="00A0" w:firstRow="1" w:lastRow="0" w:firstColumn="1" w:lastColumn="0" w:noHBand="0" w:noVBand="0"/>
      </w:tblPr>
      <w:tblGrid>
        <w:gridCol w:w="3212"/>
        <w:gridCol w:w="1891"/>
        <w:gridCol w:w="1393"/>
        <w:gridCol w:w="3284"/>
      </w:tblGrid>
      <w:tr w:rsidR="00D1135F" w:rsidRPr="000253C0" w:rsidTr="000253C0">
        <w:trPr>
          <w:trHeight w:val="1600"/>
          <w:jc w:val="center"/>
        </w:trPr>
        <w:tc>
          <w:tcPr>
            <w:tcW w:w="1642" w:type="pct"/>
            <w:vAlign w:val="center"/>
            <w:hideMark/>
          </w:tcPr>
          <w:bookmarkEnd w:id="4"/>
          <w:p w:rsidR="00D1135F" w:rsidRPr="000253C0" w:rsidRDefault="00D1135F" w:rsidP="000253C0">
            <w:pPr>
              <w:spacing w:after="120"/>
              <w:jc w:val="center"/>
              <w:rPr>
                <w:color w:val="010000"/>
              </w:rPr>
            </w:pPr>
            <w:r w:rsidRPr="000253C0">
              <w:rPr>
                <w:color w:val="010000"/>
              </w:rPr>
              <w:t>Başkan</w:t>
            </w:r>
          </w:p>
          <w:p w:rsidR="00D1135F" w:rsidRPr="000253C0" w:rsidRDefault="00D1135F" w:rsidP="000253C0">
            <w:pPr>
              <w:spacing w:after="120"/>
              <w:jc w:val="center"/>
              <w:rPr>
                <w:color w:val="010000"/>
              </w:rPr>
            </w:pPr>
            <w:r w:rsidRPr="000253C0">
              <w:rPr>
                <w:color w:val="010000"/>
              </w:rPr>
              <w:t>Kadir ÖZKAYA</w:t>
            </w:r>
          </w:p>
        </w:tc>
        <w:tc>
          <w:tcPr>
            <w:tcW w:w="1679" w:type="pct"/>
            <w:gridSpan w:val="2"/>
            <w:vAlign w:val="center"/>
            <w:hideMark/>
          </w:tcPr>
          <w:p w:rsidR="00D1135F" w:rsidRPr="000253C0" w:rsidRDefault="00D1135F" w:rsidP="000253C0">
            <w:pPr>
              <w:spacing w:after="120"/>
              <w:jc w:val="center"/>
              <w:rPr>
                <w:color w:val="010000"/>
              </w:rPr>
            </w:pPr>
            <w:r w:rsidRPr="000253C0">
              <w:rPr>
                <w:color w:val="010000"/>
              </w:rPr>
              <w:t>Başkanvekili</w:t>
            </w:r>
          </w:p>
          <w:p w:rsidR="00D1135F" w:rsidRPr="000253C0" w:rsidRDefault="00D1135F" w:rsidP="000253C0">
            <w:pPr>
              <w:spacing w:after="120"/>
              <w:jc w:val="center"/>
              <w:rPr>
                <w:color w:val="010000"/>
              </w:rPr>
            </w:pPr>
            <w:r w:rsidRPr="000253C0">
              <w:rPr>
                <w:color w:val="010000"/>
              </w:rPr>
              <w:t>Hasan Tahsin GÖKCAN</w:t>
            </w:r>
          </w:p>
        </w:tc>
        <w:tc>
          <w:tcPr>
            <w:tcW w:w="1679" w:type="pct"/>
            <w:vAlign w:val="center"/>
            <w:hideMark/>
          </w:tcPr>
          <w:p w:rsidR="00D1135F" w:rsidRPr="000253C0" w:rsidRDefault="00D1135F" w:rsidP="000253C0">
            <w:pPr>
              <w:spacing w:after="120"/>
              <w:jc w:val="center"/>
              <w:rPr>
                <w:color w:val="010000"/>
              </w:rPr>
            </w:pPr>
            <w:r w:rsidRPr="000253C0">
              <w:rPr>
                <w:color w:val="010000"/>
              </w:rPr>
              <w:t xml:space="preserve">Başkanvekili </w:t>
            </w:r>
          </w:p>
          <w:p w:rsidR="00D1135F" w:rsidRPr="000253C0" w:rsidRDefault="00D1135F" w:rsidP="000253C0">
            <w:pPr>
              <w:spacing w:after="120"/>
              <w:jc w:val="center"/>
              <w:rPr>
                <w:color w:val="010000"/>
              </w:rPr>
            </w:pPr>
            <w:r w:rsidRPr="000253C0">
              <w:rPr>
                <w:color w:val="010000"/>
              </w:rPr>
              <w:t>Basri BAĞCI</w:t>
            </w:r>
          </w:p>
        </w:tc>
      </w:tr>
      <w:tr w:rsidR="00D1135F" w:rsidRPr="000253C0" w:rsidTr="000253C0">
        <w:trPr>
          <w:trHeight w:val="1600"/>
          <w:jc w:val="center"/>
        </w:trPr>
        <w:tc>
          <w:tcPr>
            <w:tcW w:w="1642" w:type="pct"/>
            <w:vAlign w:val="center"/>
            <w:hideMark/>
          </w:tcPr>
          <w:p w:rsidR="00D1135F" w:rsidRPr="000253C0" w:rsidRDefault="00D1135F" w:rsidP="000253C0">
            <w:pPr>
              <w:spacing w:after="120"/>
              <w:jc w:val="center"/>
              <w:rPr>
                <w:color w:val="010000"/>
              </w:rPr>
            </w:pPr>
            <w:r w:rsidRPr="000253C0">
              <w:rPr>
                <w:color w:val="010000"/>
              </w:rPr>
              <w:t xml:space="preserve">Üye </w:t>
            </w:r>
          </w:p>
          <w:p w:rsidR="00D1135F" w:rsidRPr="000253C0" w:rsidRDefault="00D1135F" w:rsidP="000253C0">
            <w:pPr>
              <w:spacing w:after="120"/>
              <w:jc w:val="center"/>
              <w:rPr>
                <w:color w:val="010000"/>
              </w:rPr>
            </w:pPr>
            <w:r w:rsidRPr="000253C0">
              <w:rPr>
                <w:color w:val="010000"/>
              </w:rPr>
              <w:t>Engin YILDIRIM</w:t>
            </w:r>
          </w:p>
        </w:tc>
        <w:tc>
          <w:tcPr>
            <w:tcW w:w="1679" w:type="pct"/>
            <w:gridSpan w:val="2"/>
            <w:vAlign w:val="center"/>
            <w:hideMark/>
          </w:tcPr>
          <w:p w:rsidR="00D1135F" w:rsidRPr="000253C0" w:rsidRDefault="00D1135F" w:rsidP="000253C0">
            <w:pPr>
              <w:spacing w:after="120"/>
              <w:jc w:val="center"/>
              <w:rPr>
                <w:color w:val="010000"/>
              </w:rPr>
            </w:pPr>
            <w:r w:rsidRPr="000253C0">
              <w:rPr>
                <w:color w:val="010000"/>
              </w:rPr>
              <w:t>Üye</w:t>
            </w:r>
          </w:p>
          <w:p w:rsidR="00D1135F" w:rsidRPr="000253C0" w:rsidRDefault="00D1135F" w:rsidP="000253C0">
            <w:pPr>
              <w:spacing w:after="120"/>
              <w:jc w:val="center"/>
              <w:rPr>
                <w:color w:val="010000"/>
              </w:rPr>
            </w:pPr>
            <w:r w:rsidRPr="000253C0">
              <w:rPr>
                <w:color w:val="010000"/>
              </w:rPr>
              <w:t>Rıdvan GÜLEÇ</w:t>
            </w:r>
          </w:p>
        </w:tc>
        <w:tc>
          <w:tcPr>
            <w:tcW w:w="1679" w:type="pct"/>
            <w:vAlign w:val="center"/>
            <w:hideMark/>
          </w:tcPr>
          <w:p w:rsidR="00D1135F" w:rsidRPr="000253C0" w:rsidRDefault="00D1135F" w:rsidP="000253C0">
            <w:pPr>
              <w:spacing w:after="120"/>
              <w:jc w:val="center"/>
              <w:rPr>
                <w:color w:val="010000"/>
              </w:rPr>
            </w:pPr>
            <w:r w:rsidRPr="000253C0">
              <w:rPr>
                <w:color w:val="010000"/>
              </w:rPr>
              <w:t>Üye</w:t>
            </w:r>
          </w:p>
          <w:p w:rsidR="00D1135F" w:rsidRPr="000253C0" w:rsidRDefault="00D1135F" w:rsidP="000253C0">
            <w:pPr>
              <w:spacing w:after="120"/>
              <w:jc w:val="center"/>
              <w:rPr>
                <w:color w:val="010000"/>
              </w:rPr>
            </w:pPr>
            <w:r w:rsidRPr="000253C0">
              <w:rPr>
                <w:bCs/>
                <w:color w:val="010000"/>
              </w:rPr>
              <w:t>Recai AKYEL</w:t>
            </w:r>
          </w:p>
        </w:tc>
      </w:tr>
      <w:tr w:rsidR="00D1135F" w:rsidRPr="000253C0" w:rsidTr="000253C0">
        <w:trPr>
          <w:trHeight w:val="1600"/>
          <w:jc w:val="center"/>
        </w:trPr>
        <w:tc>
          <w:tcPr>
            <w:tcW w:w="1642" w:type="pct"/>
            <w:vAlign w:val="center"/>
            <w:hideMark/>
          </w:tcPr>
          <w:p w:rsidR="00D1135F" w:rsidRPr="000253C0" w:rsidRDefault="00D1135F" w:rsidP="000253C0">
            <w:pPr>
              <w:spacing w:after="120"/>
              <w:jc w:val="center"/>
              <w:rPr>
                <w:color w:val="010000"/>
              </w:rPr>
            </w:pPr>
            <w:r w:rsidRPr="000253C0">
              <w:rPr>
                <w:color w:val="010000"/>
              </w:rPr>
              <w:t xml:space="preserve">Üye </w:t>
            </w:r>
          </w:p>
          <w:p w:rsidR="00D1135F" w:rsidRPr="000253C0" w:rsidRDefault="00D1135F" w:rsidP="000253C0">
            <w:pPr>
              <w:spacing w:after="120"/>
              <w:jc w:val="center"/>
              <w:rPr>
                <w:color w:val="010000"/>
              </w:rPr>
            </w:pPr>
            <w:r w:rsidRPr="000253C0">
              <w:rPr>
                <w:bCs/>
                <w:color w:val="010000"/>
              </w:rPr>
              <w:t>Yusuf Şevki HAKYEMEZ</w:t>
            </w:r>
          </w:p>
        </w:tc>
        <w:tc>
          <w:tcPr>
            <w:tcW w:w="1679" w:type="pct"/>
            <w:gridSpan w:val="2"/>
            <w:vAlign w:val="center"/>
            <w:hideMark/>
          </w:tcPr>
          <w:p w:rsidR="00D1135F" w:rsidRPr="000253C0" w:rsidRDefault="00D1135F" w:rsidP="000253C0">
            <w:pPr>
              <w:spacing w:after="120"/>
              <w:jc w:val="center"/>
              <w:rPr>
                <w:color w:val="010000"/>
              </w:rPr>
            </w:pPr>
            <w:r w:rsidRPr="000253C0">
              <w:rPr>
                <w:color w:val="010000"/>
              </w:rPr>
              <w:t>Üye</w:t>
            </w:r>
          </w:p>
          <w:p w:rsidR="00D1135F" w:rsidRPr="000253C0" w:rsidRDefault="00D1135F" w:rsidP="000253C0">
            <w:pPr>
              <w:spacing w:after="120"/>
              <w:jc w:val="center"/>
              <w:rPr>
                <w:color w:val="010000"/>
              </w:rPr>
            </w:pPr>
            <w:r w:rsidRPr="000253C0">
              <w:rPr>
                <w:bCs/>
                <w:color w:val="010000"/>
              </w:rPr>
              <w:t>Yıldız SEFERİNOĞLU</w:t>
            </w:r>
          </w:p>
        </w:tc>
        <w:tc>
          <w:tcPr>
            <w:tcW w:w="1679" w:type="pct"/>
            <w:vAlign w:val="center"/>
            <w:hideMark/>
          </w:tcPr>
          <w:p w:rsidR="00D1135F" w:rsidRPr="000253C0" w:rsidRDefault="00D1135F" w:rsidP="000253C0">
            <w:pPr>
              <w:spacing w:after="120"/>
              <w:jc w:val="center"/>
              <w:rPr>
                <w:color w:val="010000"/>
              </w:rPr>
            </w:pPr>
            <w:r w:rsidRPr="000253C0">
              <w:rPr>
                <w:color w:val="010000"/>
              </w:rPr>
              <w:t>Üye</w:t>
            </w:r>
          </w:p>
          <w:p w:rsidR="00D1135F" w:rsidRPr="000253C0" w:rsidRDefault="00D1135F" w:rsidP="000253C0">
            <w:pPr>
              <w:spacing w:after="120"/>
              <w:jc w:val="center"/>
              <w:rPr>
                <w:color w:val="010000"/>
              </w:rPr>
            </w:pPr>
            <w:r w:rsidRPr="000253C0">
              <w:rPr>
                <w:color w:val="010000"/>
              </w:rPr>
              <w:t>Selahaddin MENTEŞ</w:t>
            </w:r>
          </w:p>
        </w:tc>
      </w:tr>
      <w:tr w:rsidR="00D1135F" w:rsidRPr="000253C0" w:rsidTr="000253C0">
        <w:trPr>
          <w:trHeight w:val="1600"/>
          <w:jc w:val="center"/>
        </w:trPr>
        <w:tc>
          <w:tcPr>
            <w:tcW w:w="1642" w:type="pct"/>
            <w:vAlign w:val="center"/>
            <w:hideMark/>
          </w:tcPr>
          <w:p w:rsidR="00D1135F" w:rsidRPr="000253C0" w:rsidRDefault="00D1135F" w:rsidP="000253C0">
            <w:pPr>
              <w:spacing w:after="120"/>
              <w:jc w:val="center"/>
              <w:rPr>
                <w:color w:val="010000"/>
              </w:rPr>
            </w:pPr>
            <w:r w:rsidRPr="000253C0">
              <w:rPr>
                <w:color w:val="010000"/>
              </w:rPr>
              <w:t xml:space="preserve">Üye </w:t>
            </w:r>
          </w:p>
          <w:p w:rsidR="00D1135F" w:rsidRPr="000253C0" w:rsidRDefault="00D1135F" w:rsidP="000253C0">
            <w:pPr>
              <w:spacing w:after="120"/>
              <w:jc w:val="center"/>
              <w:rPr>
                <w:color w:val="010000"/>
              </w:rPr>
            </w:pPr>
            <w:r w:rsidRPr="000253C0">
              <w:rPr>
                <w:bCs/>
                <w:color w:val="010000"/>
              </w:rPr>
              <w:t>İrfan FİDAN</w:t>
            </w:r>
          </w:p>
        </w:tc>
        <w:tc>
          <w:tcPr>
            <w:tcW w:w="1679" w:type="pct"/>
            <w:gridSpan w:val="2"/>
            <w:vAlign w:val="center"/>
            <w:hideMark/>
          </w:tcPr>
          <w:p w:rsidR="00D1135F" w:rsidRPr="000253C0" w:rsidRDefault="00D1135F" w:rsidP="000253C0">
            <w:pPr>
              <w:spacing w:after="120"/>
              <w:jc w:val="center"/>
              <w:rPr>
                <w:color w:val="010000"/>
              </w:rPr>
            </w:pPr>
            <w:r w:rsidRPr="000253C0">
              <w:rPr>
                <w:color w:val="010000"/>
              </w:rPr>
              <w:t>Üye</w:t>
            </w:r>
          </w:p>
          <w:p w:rsidR="00D1135F" w:rsidRPr="000253C0" w:rsidRDefault="00D1135F" w:rsidP="000253C0">
            <w:pPr>
              <w:spacing w:after="120"/>
              <w:jc w:val="center"/>
              <w:rPr>
                <w:color w:val="010000"/>
              </w:rPr>
            </w:pPr>
            <w:r w:rsidRPr="000253C0">
              <w:rPr>
                <w:color w:val="010000"/>
              </w:rPr>
              <w:t>Muhterem İNCE</w:t>
            </w:r>
          </w:p>
        </w:tc>
        <w:tc>
          <w:tcPr>
            <w:tcW w:w="1679" w:type="pct"/>
            <w:vAlign w:val="center"/>
            <w:hideMark/>
          </w:tcPr>
          <w:p w:rsidR="00D1135F" w:rsidRPr="000253C0" w:rsidRDefault="00D1135F" w:rsidP="000253C0">
            <w:pPr>
              <w:spacing w:after="120"/>
              <w:jc w:val="center"/>
              <w:rPr>
                <w:color w:val="010000"/>
              </w:rPr>
            </w:pPr>
            <w:r w:rsidRPr="000253C0">
              <w:rPr>
                <w:color w:val="010000"/>
              </w:rPr>
              <w:t>Üye</w:t>
            </w:r>
          </w:p>
          <w:p w:rsidR="00D1135F" w:rsidRPr="000253C0" w:rsidRDefault="00D1135F" w:rsidP="000253C0">
            <w:pPr>
              <w:spacing w:after="120"/>
              <w:jc w:val="center"/>
              <w:rPr>
                <w:color w:val="010000"/>
              </w:rPr>
            </w:pPr>
            <w:r w:rsidRPr="000253C0">
              <w:rPr>
                <w:bCs/>
                <w:color w:val="010000"/>
              </w:rPr>
              <w:t>Yılmaz AKÇİL</w:t>
            </w:r>
          </w:p>
        </w:tc>
      </w:tr>
      <w:tr w:rsidR="00D1135F" w:rsidRPr="000253C0" w:rsidTr="000253C0">
        <w:trPr>
          <w:trHeight w:val="1600"/>
          <w:jc w:val="center"/>
        </w:trPr>
        <w:tc>
          <w:tcPr>
            <w:tcW w:w="2609" w:type="pct"/>
            <w:gridSpan w:val="2"/>
            <w:vAlign w:val="center"/>
            <w:hideMark/>
          </w:tcPr>
          <w:p w:rsidR="00D1135F" w:rsidRPr="000253C0" w:rsidRDefault="00D1135F" w:rsidP="000253C0">
            <w:pPr>
              <w:spacing w:after="120"/>
              <w:jc w:val="center"/>
              <w:rPr>
                <w:color w:val="010000"/>
              </w:rPr>
            </w:pPr>
            <w:r w:rsidRPr="000253C0">
              <w:rPr>
                <w:color w:val="010000"/>
              </w:rPr>
              <w:t>Üye</w:t>
            </w:r>
          </w:p>
          <w:p w:rsidR="00D1135F" w:rsidRPr="000253C0" w:rsidRDefault="00D1135F" w:rsidP="000253C0">
            <w:pPr>
              <w:spacing w:after="120"/>
              <w:jc w:val="center"/>
              <w:rPr>
                <w:color w:val="010000"/>
              </w:rPr>
            </w:pPr>
            <w:r w:rsidRPr="000253C0">
              <w:rPr>
                <w:bCs/>
                <w:color w:val="010000"/>
              </w:rPr>
              <w:t>Ömer ÇINAR</w:t>
            </w:r>
          </w:p>
        </w:tc>
        <w:tc>
          <w:tcPr>
            <w:tcW w:w="2391" w:type="pct"/>
            <w:gridSpan w:val="2"/>
            <w:vAlign w:val="center"/>
            <w:hideMark/>
          </w:tcPr>
          <w:p w:rsidR="00D1135F" w:rsidRPr="000253C0" w:rsidRDefault="00D1135F" w:rsidP="000253C0">
            <w:pPr>
              <w:spacing w:after="120"/>
              <w:jc w:val="center"/>
              <w:rPr>
                <w:color w:val="010000"/>
              </w:rPr>
            </w:pPr>
            <w:r w:rsidRPr="000253C0">
              <w:rPr>
                <w:color w:val="010000"/>
              </w:rPr>
              <w:t>Üye</w:t>
            </w:r>
          </w:p>
          <w:p w:rsidR="00D1135F" w:rsidRPr="000253C0" w:rsidRDefault="00D1135F" w:rsidP="000253C0">
            <w:pPr>
              <w:spacing w:after="120"/>
              <w:jc w:val="center"/>
              <w:rPr>
                <w:color w:val="010000"/>
              </w:rPr>
            </w:pPr>
            <w:r w:rsidRPr="000253C0">
              <w:rPr>
                <w:color w:val="010000"/>
              </w:rPr>
              <w:t>Metin KIRATLI</w:t>
            </w:r>
          </w:p>
        </w:tc>
      </w:tr>
    </w:tbl>
    <w:p w:rsidR="00D1135F" w:rsidRPr="000253C0" w:rsidRDefault="00D1135F" w:rsidP="000253C0">
      <w:pPr>
        <w:spacing w:after="200"/>
        <w:ind w:right="283" w:firstLine="709"/>
        <w:jc w:val="both"/>
        <w:rPr>
          <w:color w:val="010000"/>
        </w:rPr>
      </w:pPr>
    </w:p>
    <w:sectPr w:rsidR="00D1135F" w:rsidRPr="000253C0" w:rsidSect="000253C0">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680A" w:rsidRDefault="00DD680A" w:rsidP="00910940">
      <w:r>
        <w:separator/>
      </w:r>
    </w:p>
  </w:endnote>
  <w:endnote w:type="continuationSeparator" w:id="0">
    <w:p w:rsidR="00DD680A" w:rsidRDefault="00DD680A" w:rsidP="00910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ヒラギノ明朝 Pro W3">
    <w:altName w:val="Yu Gothic"/>
    <w:charset w:val="80"/>
    <w:family w:val="auto"/>
    <w:pitch w:val="variable"/>
    <w:sig w:usb0="00000001" w:usb1="08070000" w:usb2="01000417" w:usb3="00000000" w:csb0="00020000"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36D0" w:rsidRDefault="001036D0" w:rsidP="001036D0">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1036D0" w:rsidRDefault="001036D0" w:rsidP="001036D0">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36D0" w:rsidRPr="000253C0" w:rsidRDefault="001036D0" w:rsidP="001036D0">
    <w:pPr>
      <w:pStyle w:val="AltBilgi"/>
      <w:framePr w:wrap="around" w:vAnchor="text" w:hAnchor="margin" w:xAlign="right" w:y="1"/>
      <w:rPr>
        <w:rStyle w:val="SayfaNumaras"/>
      </w:rPr>
    </w:pPr>
    <w:r w:rsidRPr="000253C0">
      <w:rPr>
        <w:rStyle w:val="SayfaNumaras"/>
      </w:rPr>
      <w:fldChar w:fldCharType="begin"/>
    </w:r>
    <w:r w:rsidRPr="000253C0">
      <w:rPr>
        <w:rStyle w:val="SayfaNumaras"/>
      </w:rPr>
      <w:instrText xml:space="preserve"> PAGE </w:instrText>
    </w:r>
    <w:r w:rsidRPr="000253C0">
      <w:rPr>
        <w:rStyle w:val="SayfaNumaras"/>
      </w:rPr>
      <w:fldChar w:fldCharType="separate"/>
    </w:r>
    <w:r w:rsidR="009F2695" w:rsidRPr="000253C0">
      <w:rPr>
        <w:rStyle w:val="SayfaNumaras"/>
        <w:noProof/>
      </w:rPr>
      <w:t>3</w:t>
    </w:r>
    <w:r w:rsidRPr="000253C0">
      <w:rPr>
        <w:rStyle w:val="SayfaNumaras"/>
      </w:rPr>
      <w:fldChar w:fldCharType="end"/>
    </w:r>
  </w:p>
  <w:p w:rsidR="001036D0" w:rsidRDefault="001036D0" w:rsidP="001036D0">
    <w:pPr>
      <w:pStyle w:val="AltBilgi"/>
      <w:ind w:right="360"/>
      <w:jc w:val="right"/>
    </w:pPr>
  </w:p>
  <w:p w:rsidR="001036D0" w:rsidRDefault="001036D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680A" w:rsidRDefault="00DD680A" w:rsidP="00910940">
      <w:r>
        <w:separator/>
      </w:r>
    </w:p>
  </w:footnote>
  <w:footnote w:type="continuationSeparator" w:id="0">
    <w:p w:rsidR="00DD680A" w:rsidRDefault="00DD680A" w:rsidP="009109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53C0" w:rsidRPr="000253C0" w:rsidRDefault="000253C0" w:rsidP="000253C0">
    <w:pPr>
      <w:pStyle w:val="stBilgi"/>
      <w:rPr>
        <w:b/>
      </w:rPr>
    </w:pPr>
    <w:r w:rsidRPr="000253C0">
      <w:rPr>
        <w:b/>
      </w:rPr>
      <w:t xml:space="preserve">Esas </w:t>
    </w:r>
    <w:proofErr w:type="gramStart"/>
    <w:r w:rsidRPr="000253C0">
      <w:rPr>
        <w:b/>
      </w:rPr>
      <w:t>Sayısı :</w:t>
    </w:r>
    <w:proofErr w:type="gramEnd"/>
    <w:r w:rsidRPr="000253C0">
      <w:rPr>
        <w:b/>
      </w:rPr>
      <w:t xml:space="preserve"> 2025/159</w:t>
    </w:r>
  </w:p>
  <w:p w:rsidR="000253C0" w:rsidRDefault="000253C0" w:rsidP="000253C0">
    <w:pPr>
      <w:pStyle w:val="stBilgi"/>
      <w:rPr>
        <w:b/>
      </w:rPr>
    </w:pPr>
    <w:r>
      <w:rPr>
        <w:b/>
      </w:rPr>
      <w:t xml:space="preserve">Karar </w:t>
    </w:r>
    <w:proofErr w:type="gramStart"/>
    <w:r>
      <w:rPr>
        <w:b/>
      </w:rPr>
      <w:t>Sayısı :</w:t>
    </w:r>
    <w:proofErr w:type="gramEnd"/>
    <w:r>
      <w:rPr>
        <w:b/>
      </w:rPr>
      <w:t xml:space="preserve"> 2025/144</w:t>
    </w:r>
  </w:p>
  <w:p w:rsidR="001036D0" w:rsidRPr="000253C0" w:rsidRDefault="001036D0" w:rsidP="000253C0">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253C0"/>
    <w:rsid w:val="001036D0"/>
    <w:rsid w:val="002C04DB"/>
    <w:rsid w:val="0033238F"/>
    <w:rsid w:val="003A5F68"/>
    <w:rsid w:val="005D70A2"/>
    <w:rsid w:val="00751EA0"/>
    <w:rsid w:val="00910940"/>
    <w:rsid w:val="00952B5F"/>
    <w:rsid w:val="009F2695"/>
    <w:rsid w:val="00D1135F"/>
    <w:rsid w:val="00D67F53"/>
    <w:rsid w:val="00DD680A"/>
    <w:rsid w:val="00E83A51"/>
    <w:rsid w:val="00EB593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F053710-49D9-4D93-94B2-093531A42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uiPriority w:val="99"/>
    <w:rsid w:val="00910940"/>
    <w:pPr>
      <w:tabs>
        <w:tab w:val="center" w:pos="4536"/>
        <w:tab w:val="right" w:pos="9072"/>
      </w:tabs>
    </w:pPr>
  </w:style>
  <w:style w:type="character" w:customStyle="1" w:styleId="AltBilgiChar">
    <w:name w:val="Alt Bilgi Char"/>
    <w:link w:val="AltBilgi"/>
    <w:uiPriority w:val="99"/>
    <w:rsid w:val="00910940"/>
    <w:rPr>
      <w:sz w:val="24"/>
      <w:szCs w:val="24"/>
    </w:rPr>
  </w:style>
  <w:style w:type="paragraph" w:styleId="stBilgi">
    <w:name w:val="header"/>
    <w:basedOn w:val="Normal"/>
    <w:link w:val="stBilgiChar"/>
    <w:rsid w:val="00910940"/>
    <w:pPr>
      <w:tabs>
        <w:tab w:val="center" w:pos="4536"/>
        <w:tab w:val="right" w:pos="9072"/>
      </w:tabs>
    </w:pPr>
  </w:style>
  <w:style w:type="character" w:customStyle="1" w:styleId="stBilgiChar">
    <w:name w:val="Üst Bilgi Char"/>
    <w:link w:val="stBilgi"/>
    <w:rsid w:val="00910940"/>
    <w:rPr>
      <w:sz w:val="24"/>
      <w:szCs w:val="24"/>
    </w:rPr>
  </w:style>
  <w:style w:type="paragraph" w:styleId="KonuBal">
    <w:name w:val="Title"/>
    <w:basedOn w:val="Normal"/>
    <w:link w:val="KonuBalChar"/>
    <w:qFormat/>
    <w:rsid w:val="00910940"/>
    <w:pPr>
      <w:widowControl w:val="0"/>
      <w:overflowPunct w:val="0"/>
      <w:autoSpaceDE w:val="0"/>
      <w:autoSpaceDN w:val="0"/>
      <w:adjustRightInd w:val="0"/>
      <w:jc w:val="center"/>
    </w:pPr>
    <w:rPr>
      <w:szCs w:val="20"/>
    </w:rPr>
  </w:style>
  <w:style w:type="character" w:customStyle="1" w:styleId="KonuBalChar">
    <w:name w:val="Konu Başlığı Char"/>
    <w:link w:val="KonuBal"/>
    <w:rsid w:val="00910940"/>
    <w:rPr>
      <w:sz w:val="24"/>
    </w:rPr>
  </w:style>
  <w:style w:type="character" w:styleId="SayfaNumaras">
    <w:name w:val="page number"/>
    <w:rsid w:val="00910940"/>
  </w:style>
  <w:style w:type="paragraph" w:styleId="BalonMetni">
    <w:name w:val="Balloon Text"/>
    <w:basedOn w:val="Normal"/>
    <w:link w:val="BalonMetniChar"/>
    <w:rsid w:val="00D67F53"/>
    <w:rPr>
      <w:rFonts w:ascii="Segoe UI" w:hAnsi="Segoe UI" w:cs="Segoe UI"/>
      <w:sz w:val="18"/>
      <w:szCs w:val="18"/>
    </w:rPr>
  </w:style>
  <w:style w:type="character" w:customStyle="1" w:styleId="BalonMetniChar">
    <w:name w:val="Balon Metni Char"/>
    <w:basedOn w:val="VarsaylanParagrafYazTipi"/>
    <w:link w:val="BalonMetni"/>
    <w:rsid w:val="00D67F5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930</Words>
  <Characters>5305</Characters>
  <Application>Microsoft Office Word</Application>
  <DocSecurity>0</DocSecurity>
  <Lines>44</Lines>
  <Paragraphs>12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ANAYASA MAHKEMESI</Company>
  <LinksUpToDate>false</LinksUpToDate>
  <CharactersWithSpaces>6223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Dilek DAĞLI</cp:lastModifiedBy>
  <cp:revision>2</cp:revision>
  <cp:lastPrinted>2025-10-06T14:15:00Z</cp:lastPrinted>
  <dcterms:created xsi:type="dcterms:W3CDTF">2025-10-07T06:53:00Z</dcterms:created>
  <dcterms:modified xsi:type="dcterms:W3CDTF">2025-10-07T06:53:00Z</dcterms:modified>
</cp:coreProperties>
</file>