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3FB6" w:rsidRDefault="00203FB6" w:rsidP="00B91812">
      <w:pPr>
        <w:overflowPunct w:val="0"/>
        <w:autoSpaceDE w:val="0"/>
        <w:autoSpaceDN w:val="0"/>
        <w:adjustRightInd w:val="0"/>
        <w:spacing w:after="200"/>
        <w:ind w:right="283"/>
        <w:jc w:val="center"/>
        <w:rPr>
          <w:b/>
          <w:bCs/>
          <w:caps/>
          <w:color w:val="010000"/>
        </w:rPr>
      </w:pPr>
      <w:r w:rsidRPr="00B91812">
        <w:rPr>
          <w:b/>
          <w:bCs/>
          <w:caps/>
          <w:color w:val="010000"/>
        </w:rPr>
        <w:t>ANAYASA MAHKEMESİ KARARI</w:t>
      </w:r>
    </w:p>
    <w:p w:rsidR="00B91812" w:rsidRPr="00B91812" w:rsidRDefault="00B91812" w:rsidP="00B91812">
      <w:pPr>
        <w:overflowPunct w:val="0"/>
        <w:autoSpaceDE w:val="0"/>
        <w:autoSpaceDN w:val="0"/>
        <w:adjustRightInd w:val="0"/>
        <w:spacing w:after="200"/>
        <w:ind w:right="283" w:firstLine="709"/>
        <w:jc w:val="center"/>
        <w:rPr>
          <w:b/>
          <w:bCs/>
          <w:caps/>
          <w:color w:val="010000"/>
        </w:rPr>
      </w:pPr>
    </w:p>
    <w:p w:rsidR="00B91812" w:rsidRDefault="00B91812" w:rsidP="00B91812">
      <w:pPr>
        <w:overflowPunct w:val="0"/>
        <w:autoSpaceDE w:val="0"/>
        <w:autoSpaceDN w:val="0"/>
        <w:adjustRightInd w:val="0"/>
        <w:rPr>
          <w:b/>
          <w:bCs/>
          <w:color w:val="010000"/>
        </w:rPr>
      </w:pPr>
      <w:r>
        <w:rPr>
          <w:b/>
          <w:bCs/>
          <w:color w:val="010000"/>
        </w:rPr>
        <w:t xml:space="preserve">Esas </w:t>
      </w:r>
      <w:proofErr w:type="gramStart"/>
      <w:r>
        <w:rPr>
          <w:b/>
          <w:bCs/>
          <w:color w:val="010000"/>
        </w:rPr>
        <w:t>Sayısı :</w:t>
      </w:r>
      <w:proofErr w:type="gramEnd"/>
      <w:r>
        <w:rPr>
          <w:b/>
          <w:bCs/>
          <w:color w:val="010000"/>
        </w:rPr>
        <w:t xml:space="preserve"> 2024/35</w:t>
      </w:r>
    </w:p>
    <w:p w:rsidR="00B91812" w:rsidRDefault="00B91812" w:rsidP="00B91812">
      <w:pPr>
        <w:overflowPunct w:val="0"/>
        <w:autoSpaceDE w:val="0"/>
        <w:autoSpaceDN w:val="0"/>
        <w:adjustRightInd w:val="0"/>
        <w:rPr>
          <w:b/>
          <w:color w:val="010000"/>
          <w:shd w:val="clear" w:color="auto" w:fill="FFFFFF"/>
        </w:rPr>
      </w:pPr>
      <w:r>
        <w:rPr>
          <w:b/>
          <w:color w:val="010000"/>
          <w:shd w:val="clear" w:color="auto" w:fill="FFFFFF"/>
        </w:rPr>
        <w:t xml:space="preserve">Karar </w:t>
      </w:r>
      <w:proofErr w:type="gramStart"/>
      <w:r>
        <w:rPr>
          <w:b/>
          <w:color w:val="010000"/>
          <w:shd w:val="clear" w:color="auto" w:fill="FFFFFF"/>
        </w:rPr>
        <w:t>Sayısı :</w:t>
      </w:r>
      <w:proofErr w:type="gramEnd"/>
      <w:r>
        <w:rPr>
          <w:b/>
          <w:color w:val="010000"/>
          <w:shd w:val="clear" w:color="auto" w:fill="FFFFFF"/>
        </w:rPr>
        <w:t xml:space="preserve"> 2024/42</w:t>
      </w:r>
    </w:p>
    <w:p w:rsidR="00B91812" w:rsidRDefault="00B91812" w:rsidP="00B91812">
      <w:pPr>
        <w:overflowPunct w:val="0"/>
        <w:autoSpaceDE w:val="0"/>
        <w:autoSpaceDN w:val="0"/>
        <w:adjustRightInd w:val="0"/>
        <w:rPr>
          <w:b/>
          <w:color w:val="010000"/>
          <w:shd w:val="clear" w:color="auto" w:fill="FFFFFF"/>
        </w:rPr>
      </w:pPr>
      <w:r>
        <w:rPr>
          <w:b/>
          <w:color w:val="010000"/>
          <w:shd w:val="clear" w:color="auto" w:fill="FFFFFF"/>
        </w:rPr>
        <w:t xml:space="preserve">Karar </w:t>
      </w:r>
      <w:proofErr w:type="gramStart"/>
      <w:r>
        <w:rPr>
          <w:b/>
          <w:color w:val="010000"/>
          <w:shd w:val="clear" w:color="auto" w:fill="FFFFFF"/>
        </w:rPr>
        <w:t>Tarihi :</w:t>
      </w:r>
      <w:proofErr w:type="gramEnd"/>
      <w:r>
        <w:rPr>
          <w:b/>
          <w:color w:val="010000"/>
          <w:shd w:val="clear" w:color="auto" w:fill="FFFFFF"/>
        </w:rPr>
        <w:t xml:space="preserve"> 22/2/2024</w:t>
      </w:r>
    </w:p>
    <w:p w:rsidR="00B91812" w:rsidRDefault="00B91812" w:rsidP="00B91812">
      <w:pPr>
        <w:overflowPunct w:val="0"/>
        <w:autoSpaceDE w:val="0"/>
        <w:autoSpaceDN w:val="0"/>
        <w:adjustRightInd w:val="0"/>
        <w:rPr>
          <w:b/>
          <w:color w:val="010000"/>
          <w:shd w:val="clear" w:color="auto" w:fill="FFFFFF"/>
        </w:rPr>
      </w:pPr>
      <w:proofErr w:type="spellStart"/>
      <w:r>
        <w:rPr>
          <w:b/>
          <w:color w:val="010000"/>
          <w:shd w:val="clear" w:color="auto" w:fill="FFFFFF"/>
        </w:rPr>
        <w:t>R.</w:t>
      </w:r>
      <w:proofErr w:type="gramStart"/>
      <w:r>
        <w:rPr>
          <w:b/>
          <w:color w:val="010000"/>
          <w:shd w:val="clear" w:color="auto" w:fill="FFFFFF"/>
        </w:rPr>
        <w:t>G.Tarih</w:t>
      </w:r>
      <w:proofErr w:type="spellEnd"/>
      <w:proofErr w:type="gramEnd"/>
      <w:r>
        <w:rPr>
          <w:b/>
          <w:color w:val="010000"/>
          <w:shd w:val="clear" w:color="auto" w:fill="FFFFFF"/>
        </w:rPr>
        <w:t>-Sayı : Tebliğ edildi.</w:t>
      </w:r>
    </w:p>
    <w:p w:rsidR="00263848" w:rsidRPr="00B91812" w:rsidRDefault="00263848" w:rsidP="00B91812">
      <w:pPr>
        <w:overflowPunct w:val="0"/>
        <w:autoSpaceDE w:val="0"/>
        <w:autoSpaceDN w:val="0"/>
        <w:adjustRightInd w:val="0"/>
        <w:rPr>
          <w:b/>
          <w:color w:val="010000"/>
          <w:shd w:val="clear" w:color="auto" w:fill="FFFFFF"/>
        </w:rPr>
      </w:pP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b/>
          <w:bCs/>
          <w:color w:val="010000"/>
        </w:rPr>
        <w:t xml:space="preserve">İTİRAZ YOLUNA BAŞVURAN: </w:t>
      </w:r>
      <w:r w:rsidRPr="00B91812">
        <w:rPr>
          <w:color w:val="010000"/>
        </w:rPr>
        <w:t>Sakarya 11. Asliye Ceza Mahkemesi</w:t>
      </w:r>
    </w:p>
    <w:p w:rsidR="00203FB6" w:rsidRPr="00B91812" w:rsidRDefault="00203FB6" w:rsidP="00B91812">
      <w:pPr>
        <w:overflowPunct w:val="0"/>
        <w:autoSpaceDE w:val="0"/>
        <w:autoSpaceDN w:val="0"/>
        <w:adjustRightInd w:val="0"/>
        <w:spacing w:after="200"/>
        <w:ind w:right="283" w:firstLine="709"/>
        <w:jc w:val="both"/>
        <w:rPr>
          <w:rFonts w:eastAsia="Calibri"/>
          <w:color w:val="010000"/>
          <w:szCs w:val="22"/>
          <w:lang w:eastAsia="en-US"/>
        </w:rPr>
      </w:pPr>
      <w:r w:rsidRPr="00B91812">
        <w:rPr>
          <w:b/>
          <w:bCs/>
          <w:color w:val="010000"/>
        </w:rPr>
        <w:t>İTİRAZIN KONUSU:</w:t>
      </w:r>
      <w:r w:rsidRPr="00B91812">
        <w:rPr>
          <w:color w:val="010000"/>
        </w:rPr>
        <w:t xml:space="preserve"> </w:t>
      </w:r>
      <w:r w:rsidRPr="00B91812">
        <w:rPr>
          <w:rFonts w:eastAsia="Calibri"/>
          <w:color w:val="010000"/>
          <w:lang w:eastAsia="en-US"/>
        </w:rPr>
        <w:t xml:space="preserve">4/12/2004 tarihli ve 5271 sayılı Ceza Muhakemesi Kanunu’nun 284. maddesinin (1) numaralı fıkrasının </w:t>
      </w:r>
      <w:r w:rsidRPr="00B91812">
        <w:rPr>
          <w:rFonts w:eastAsia="Calibri"/>
          <w:color w:val="010000"/>
          <w:szCs w:val="22"/>
          <w:lang w:eastAsia="en-US"/>
        </w:rPr>
        <w:t>Anayasa’nın 138. maddesine aykırılığı ileri sürülerek iptaline karar verilmesi talebidir.</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b/>
          <w:bCs/>
          <w:color w:val="010000"/>
        </w:rPr>
        <w:t>OLAY:</w:t>
      </w:r>
      <w:r w:rsidRPr="00B91812">
        <w:rPr>
          <w:color w:val="010000"/>
        </w:rPr>
        <w:t xml:space="preserve"> Hakaret suçundan açılan ceza davasında Mahkeme, itiraz konusu kuralın Anayasa’ya aykırı olduğu iddiasıyla iptali için başvurmuştur.</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b/>
          <w:bCs/>
          <w:color w:val="010000"/>
        </w:rPr>
        <w:t>I. İPTALİ İSTENEN KANUN HÜKMÜ</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lang w:eastAsia="zh-CN"/>
        </w:rPr>
        <w:t>Kanun’un itiraz konusu kuralın da yer aldığı</w:t>
      </w:r>
      <w:r w:rsidRPr="00B91812">
        <w:rPr>
          <w:color w:val="010000"/>
        </w:rPr>
        <w:t xml:space="preserve"> 284. maddesi şöyledir:</w:t>
      </w:r>
    </w:p>
    <w:p w:rsidR="00203FB6" w:rsidRPr="00B91812" w:rsidRDefault="00203FB6" w:rsidP="00B91812">
      <w:pPr>
        <w:overflowPunct w:val="0"/>
        <w:autoSpaceDE w:val="0"/>
        <w:autoSpaceDN w:val="0"/>
        <w:adjustRightInd w:val="0"/>
        <w:spacing w:after="200"/>
        <w:ind w:right="283" w:firstLine="709"/>
        <w:jc w:val="both"/>
        <w:rPr>
          <w:i/>
          <w:color w:val="010000"/>
          <w:szCs w:val="22"/>
        </w:rPr>
      </w:pPr>
      <w:r w:rsidRPr="00B91812">
        <w:rPr>
          <w:color w:val="010000"/>
          <w:szCs w:val="22"/>
        </w:rPr>
        <w:t xml:space="preserve"> “</w:t>
      </w:r>
      <w:r w:rsidRPr="00B91812">
        <w:rPr>
          <w:i/>
          <w:color w:val="010000"/>
        </w:rPr>
        <w:t>Direnme yasağı</w:t>
      </w:r>
    </w:p>
    <w:p w:rsidR="00203FB6" w:rsidRPr="00B91812" w:rsidRDefault="00203FB6" w:rsidP="00B91812">
      <w:pPr>
        <w:overflowPunct w:val="0"/>
        <w:autoSpaceDE w:val="0"/>
        <w:autoSpaceDN w:val="0"/>
        <w:adjustRightInd w:val="0"/>
        <w:spacing w:after="200"/>
        <w:ind w:right="283" w:firstLine="709"/>
        <w:jc w:val="both"/>
        <w:rPr>
          <w:i/>
          <w:color w:val="010000"/>
        </w:rPr>
      </w:pPr>
      <w:r w:rsidRPr="00B91812">
        <w:rPr>
          <w:i/>
          <w:color w:val="010000"/>
          <w:szCs w:val="22"/>
        </w:rPr>
        <w:t xml:space="preserve">Madde 284 </w:t>
      </w:r>
      <w:r w:rsidRPr="00B91812">
        <w:rPr>
          <w:b/>
          <w:i/>
          <w:color w:val="010000"/>
          <w:szCs w:val="22"/>
        </w:rPr>
        <w:t xml:space="preserve">– </w:t>
      </w:r>
      <w:r w:rsidRPr="00B91812">
        <w:rPr>
          <w:b/>
          <w:i/>
          <w:color w:val="010000"/>
        </w:rPr>
        <w:t>(1) Bölge adliye mahkemesi karar ve hükümlerine karşı direnilemez; bunlara karşı herhangi bir kanun yoluna gidilemez.</w:t>
      </w:r>
      <w:r w:rsidRPr="00B91812">
        <w:rPr>
          <w:i/>
          <w:color w:val="010000"/>
        </w:rPr>
        <w:t xml:space="preserve"> </w:t>
      </w:r>
    </w:p>
    <w:p w:rsidR="00203FB6" w:rsidRPr="00B91812" w:rsidRDefault="00203FB6" w:rsidP="00B91812">
      <w:pPr>
        <w:overflowPunct w:val="0"/>
        <w:autoSpaceDE w:val="0"/>
        <w:autoSpaceDN w:val="0"/>
        <w:adjustRightInd w:val="0"/>
        <w:spacing w:after="200"/>
        <w:ind w:right="283" w:firstLine="709"/>
        <w:jc w:val="both"/>
        <w:rPr>
          <w:i/>
          <w:color w:val="010000"/>
          <w:szCs w:val="22"/>
        </w:rPr>
      </w:pPr>
      <w:r w:rsidRPr="00B91812">
        <w:rPr>
          <w:i/>
          <w:color w:val="010000"/>
        </w:rPr>
        <w:t>(2) İtiraz ve temyize ilişkin hükümler saklıdır.</w:t>
      </w:r>
      <w:r w:rsidRPr="00B91812">
        <w:rPr>
          <w:color w:val="010000"/>
          <w:szCs w:val="22"/>
        </w:rPr>
        <w:t>”</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b/>
          <w:bCs/>
          <w:color w:val="010000"/>
        </w:rPr>
        <w:t>II. İLK İNCELEME</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rPr>
        <w:t xml:space="preserve">1. Anayasa Mahkemesi İçtüzüğü hükümleri uyarınca yapılan ilk inceleme toplantısında başvuru kararı ve ekleri, Raportör Sümeyye KOCAMAN tarafından hazırlanan ilk inceleme raporu ve itiraz konusu kanun hükmü okunup incelendikten </w:t>
      </w:r>
      <w:proofErr w:type="gramStart"/>
      <w:r w:rsidRPr="00B91812">
        <w:rPr>
          <w:color w:val="010000"/>
        </w:rPr>
        <w:t>sonra</w:t>
      </w:r>
      <w:proofErr w:type="gramEnd"/>
      <w:r w:rsidRPr="00B91812">
        <w:rPr>
          <w:color w:val="010000"/>
        </w:rPr>
        <w:t xml:space="preserve"> gereği görüşülüp düşünüldü:</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rPr>
        <w:t>2. 30/3/2011 tarihli ve 6216 sayılı Anayasa Mahkemesinin Kuruluşu ve Yargılama Usulleri Hakkında Kanun’un “</w:t>
      </w:r>
      <w:r w:rsidRPr="00B91812">
        <w:rPr>
          <w:i/>
          <w:iCs/>
          <w:color w:val="010000"/>
        </w:rPr>
        <w:t>Başvuruya engel durumlar</w:t>
      </w:r>
      <w:r w:rsidRPr="00B91812">
        <w:rPr>
          <w:color w:val="010000"/>
        </w:rPr>
        <w:t>” başlıklı</w:t>
      </w:r>
      <w:r w:rsidRPr="00B91812">
        <w:rPr>
          <w:i/>
          <w:iCs/>
          <w:color w:val="010000"/>
        </w:rPr>
        <w:t xml:space="preserve"> </w:t>
      </w:r>
      <w:r w:rsidRPr="00B91812">
        <w:rPr>
          <w:color w:val="010000"/>
        </w:rPr>
        <w:t>41. maddesinin (2) numaralı fıkrasında “</w:t>
      </w:r>
      <w:r w:rsidRPr="00B91812">
        <w:rPr>
          <w:i/>
          <w:iCs/>
          <w:color w:val="010000"/>
        </w:rPr>
        <w:t>İtiraz yoluna başvuran mahkemede itiraz konusu kuralın uygulanacağı başka dava dosyalarının bulunması hâlinde, yapılmış olan itiraz başvurusu bu dosyalar için de bekletici mesele sayılır</w:t>
      </w:r>
      <w:r w:rsidRPr="00B91812">
        <w:rPr>
          <w:color w:val="010000"/>
        </w:rPr>
        <w:t>” denilmektedir. Anılan fıkra uyarınca aynı mahkeme tarafından aynı kurala ilişkin birden fazla itiraz başvurusunda bulunulması mümkün değildir.</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rPr>
        <w:t>3. Söz konusu Kanun’un “</w:t>
      </w:r>
      <w:r w:rsidRPr="00B91812">
        <w:rPr>
          <w:i/>
          <w:iCs/>
          <w:color w:val="010000"/>
        </w:rPr>
        <w:t>Anayasaya aykırılığın mahkemelerce ileri sürülmesi</w:t>
      </w:r>
      <w:r w:rsidRPr="00B91812">
        <w:rPr>
          <w:color w:val="010000"/>
        </w:rPr>
        <w:t>” başlıklı 40. maddesinde ise Anayasa Mahkemesine itiraz yoluyla yapılacak başvurularda izlenecek yöntem belirtilmiş ve anılan maddenin (4) numaralı fıkrasında yöntemine uygun olmayan itiraz başvurularının Anayasa Mahkemesi tarafından esas incelemeye geçilmeksizin gerekçeleriyle reddedileceği hükme bağlanmıştır.</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rPr>
        <w:t>4. Yapılan incelemede, itiraz yoluna başvuran Mahkemenin itiraz konusu kuralın iptali talebiyle Anayasa Mahkemesine birden fazla başvuruda bulunduğu anlaşılmıştır. Anayasa Mahkemesinin E.2024/32 esasına kayıtlı ilk başvurunun diğer dava dosyaları için bekletici mesele yapılması gerekirken aynı kuralın iptali talebiyle tekrar başvuruda bulunulmuş olması sebebiyle bu başvurunun incelenme imkânı bulunmamaktadır.</w:t>
      </w:r>
    </w:p>
    <w:p w:rsidR="00203FB6" w:rsidRPr="00B91812" w:rsidRDefault="00203FB6" w:rsidP="00B91812">
      <w:pPr>
        <w:overflowPunct w:val="0"/>
        <w:autoSpaceDE w:val="0"/>
        <w:autoSpaceDN w:val="0"/>
        <w:adjustRightInd w:val="0"/>
        <w:spacing w:after="200"/>
        <w:ind w:right="283" w:firstLine="709"/>
        <w:jc w:val="both"/>
        <w:rPr>
          <w:color w:val="010000"/>
        </w:rPr>
      </w:pPr>
      <w:r w:rsidRPr="00B91812">
        <w:rPr>
          <w:color w:val="010000"/>
        </w:rPr>
        <w:lastRenderedPageBreak/>
        <w:t>5. Açıklanan nedenle Kanun’un 41. maddesinin (2) numaralı fıkrasına aykırı olduğu anlaşılan itiraz başvurusunun Kanun’un 40. maddesinin (4) numaralı fıkrası gereğince yöntemine uygun olmadığından reddi gerekir.</w:t>
      </w:r>
    </w:p>
    <w:p w:rsidR="007E188A" w:rsidRPr="00B91812" w:rsidRDefault="007E188A" w:rsidP="00B91812">
      <w:pPr>
        <w:overflowPunct w:val="0"/>
        <w:autoSpaceDE w:val="0"/>
        <w:autoSpaceDN w:val="0"/>
        <w:adjustRightInd w:val="0"/>
        <w:spacing w:after="200"/>
        <w:ind w:right="283" w:firstLine="709"/>
        <w:jc w:val="both"/>
        <w:rPr>
          <w:b/>
          <w:bCs/>
          <w:color w:val="010000"/>
        </w:rPr>
      </w:pPr>
      <w:r w:rsidRPr="00B91812">
        <w:rPr>
          <w:b/>
          <w:bCs/>
          <w:color w:val="010000"/>
        </w:rPr>
        <w:t>III. HÜKÜM</w:t>
      </w:r>
    </w:p>
    <w:p w:rsidR="007E188A" w:rsidRPr="00B91812" w:rsidRDefault="007E188A" w:rsidP="00B91812">
      <w:pPr>
        <w:spacing w:after="200"/>
        <w:ind w:right="283" w:firstLine="709"/>
        <w:jc w:val="both"/>
        <w:rPr>
          <w:color w:val="010000"/>
        </w:rPr>
      </w:pPr>
      <w:r w:rsidRPr="00B91812">
        <w:rPr>
          <w:rFonts w:eastAsia="Calibri"/>
          <w:color w:val="010000"/>
        </w:rPr>
        <w:t xml:space="preserve">4/12/2004 tarihli ve 5271 sayılı Ceza Muhakemesi Kanunu’nun 284. maddesinin (1) numaralı </w:t>
      </w:r>
      <w:r w:rsidRPr="00B91812">
        <w:rPr>
          <w:color w:val="010000"/>
        </w:rPr>
        <w:t>fıkrasının iptaline karar verilmesi talebiyle yapılan itiraz başvurusunun 30/3/2011 tarihli ve 6216 sayılı Anayasa Mahkemesinin Kuruluşu ve Yargılama Usulleri Hakkında Kanun’un 41. maddesinin (2) ve 40. maddesinin (4) numaralı fıkraları gereğince yöntemine uygun olmadığından REDDİNE 22/2/2024 tarihinde OYBİRLİĞİYLE karar verildi.</w:t>
      </w:r>
    </w:p>
    <w:p w:rsidR="00B91812" w:rsidRDefault="00B91812">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94"/>
        <w:gridCol w:w="1738"/>
        <w:gridCol w:w="1551"/>
        <w:gridCol w:w="3293"/>
        <w:gridCol w:w="44"/>
      </w:tblGrid>
      <w:tr w:rsidR="007E188A" w:rsidRPr="00B91812" w:rsidTr="00B91812">
        <w:trPr>
          <w:gridAfter w:val="1"/>
          <w:wAfter w:w="22" w:type="pct"/>
          <w:trHeight w:val="1600"/>
          <w:jc w:val="center"/>
        </w:trPr>
        <w:tc>
          <w:tcPr>
            <w:tcW w:w="1660" w:type="pct"/>
            <w:vAlign w:val="center"/>
            <w:hideMark/>
          </w:tcPr>
          <w:p w:rsidR="007E188A" w:rsidRPr="00B91812" w:rsidRDefault="007E188A" w:rsidP="00B91812">
            <w:pPr>
              <w:spacing w:after="120"/>
              <w:jc w:val="center"/>
              <w:rPr>
                <w:color w:val="010000"/>
              </w:rPr>
            </w:pPr>
            <w:r w:rsidRPr="00B91812">
              <w:rPr>
                <w:color w:val="010000"/>
              </w:rPr>
              <w:t>Başkan</w:t>
            </w:r>
          </w:p>
          <w:p w:rsidR="007E188A" w:rsidRPr="00B91812" w:rsidRDefault="007E188A" w:rsidP="00B91812">
            <w:pPr>
              <w:spacing w:after="120"/>
              <w:jc w:val="center"/>
              <w:rPr>
                <w:color w:val="010000"/>
              </w:rPr>
            </w:pPr>
            <w:r w:rsidRPr="00B91812">
              <w:rPr>
                <w:color w:val="010000"/>
              </w:rPr>
              <w:t>Zühtü ARSLAN</w:t>
            </w:r>
          </w:p>
        </w:tc>
        <w:tc>
          <w:tcPr>
            <w:tcW w:w="1658" w:type="pct"/>
            <w:gridSpan w:val="2"/>
            <w:vAlign w:val="center"/>
            <w:hideMark/>
          </w:tcPr>
          <w:p w:rsidR="007E188A" w:rsidRPr="00B91812" w:rsidRDefault="007E188A" w:rsidP="00B91812">
            <w:pPr>
              <w:spacing w:after="120"/>
              <w:jc w:val="center"/>
              <w:rPr>
                <w:color w:val="010000"/>
              </w:rPr>
            </w:pPr>
            <w:r w:rsidRPr="00B91812">
              <w:rPr>
                <w:color w:val="010000"/>
              </w:rPr>
              <w:t>Başkanvekili</w:t>
            </w:r>
          </w:p>
          <w:p w:rsidR="007E188A" w:rsidRPr="00B91812" w:rsidRDefault="007E188A" w:rsidP="00B91812">
            <w:pPr>
              <w:spacing w:after="120"/>
              <w:jc w:val="center"/>
              <w:rPr>
                <w:color w:val="010000"/>
              </w:rPr>
            </w:pPr>
            <w:r w:rsidRPr="00B91812">
              <w:rPr>
                <w:color w:val="010000"/>
              </w:rPr>
              <w:t>Hasan Tahsin GÖKCAN</w:t>
            </w:r>
          </w:p>
        </w:tc>
        <w:tc>
          <w:tcPr>
            <w:tcW w:w="1660" w:type="pct"/>
            <w:vAlign w:val="center"/>
            <w:hideMark/>
          </w:tcPr>
          <w:p w:rsidR="007E188A" w:rsidRPr="00B91812" w:rsidRDefault="007E188A" w:rsidP="00B91812">
            <w:pPr>
              <w:spacing w:after="120"/>
              <w:jc w:val="center"/>
              <w:rPr>
                <w:color w:val="010000"/>
              </w:rPr>
            </w:pPr>
            <w:r w:rsidRPr="00B91812">
              <w:rPr>
                <w:color w:val="010000"/>
              </w:rPr>
              <w:t>Başkanvekili</w:t>
            </w:r>
          </w:p>
          <w:p w:rsidR="007E188A" w:rsidRPr="00B91812" w:rsidRDefault="007E188A" w:rsidP="00B91812">
            <w:pPr>
              <w:spacing w:after="120"/>
              <w:jc w:val="center"/>
              <w:rPr>
                <w:color w:val="010000"/>
              </w:rPr>
            </w:pPr>
            <w:r w:rsidRPr="00B91812">
              <w:rPr>
                <w:color w:val="010000"/>
              </w:rPr>
              <w:t>Kadir ÖZKAYA</w:t>
            </w:r>
          </w:p>
        </w:tc>
      </w:tr>
      <w:tr w:rsidR="007E188A" w:rsidRPr="00B91812" w:rsidTr="00B91812">
        <w:trPr>
          <w:gridAfter w:val="1"/>
          <w:wAfter w:w="22" w:type="pct"/>
          <w:trHeight w:val="1600"/>
          <w:jc w:val="center"/>
        </w:trPr>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Engin YILDIRIM</w:t>
            </w:r>
          </w:p>
        </w:tc>
        <w:tc>
          <w:tcPr>
            <w:tcW w:w="1658" w:type="pct"/>
            <w:gridSpan w:val="2"/>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M. Emin KUZ</w:t>
            </w:r>
          </w:p>
        </w:tc>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Rıdvan GÜLEÇ</w:t>
            </w:r>
          </w:p>
        </w:tc>
      </w:tr>
      <w:tr w:rsidR="007E188A" w:rsidRPr="00B91812" w:rsidTr="00B91812">
        <w:trPr>
          <w:gridAfter w:val="1"/>
          <w:wAfter w:w="22" w:type="pct"/>
          <w:trHeight w:val="1600"/>
          <w:jc w:val="center"/>
        </w:trPr>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bCs/>
                <w:color w:val="010000"/>
              </w:rPr>
              <w:t>Yusuf Şevki HAKYEMEZ</w:t>
            </w:r>
          </w:p>
        </w:tc>
        <w:tc>
          <w:tcPr>
            <w:tcW w:w="1658" w:type="pct"/>
            <w:gridSpan w:val="2"/>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bCs/>
                <w:color w:val="010000"/>
              </w:rPr>
              <w:t>Yıldız SEFERİNOĞLU</w:t>
            </w:r>
          </w:p>
        </w:tc>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Selahaddin MENTEŞ</w:t>
            </w:r>
          </w:p>
        </w:tc>
      </w:tr>
      <w:tr w:rsidR="007E188A" w:rsidRPr="00B91812" w:rsidTr="00B91812">
        <w:trPr>
          <w:gridAfter w:val="1"/>
          <w:wAfter w:w="22" w:type="pct"/>
          <w:trHeight w:val="1600"/>
          <w:jc w:val="center"/>
        </w:trPr>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Basri BAĞCI</w:t>
            </w:r>
          </w:p>
        </w:tc>
        <w:tc>
          <w:tcPr>
            <w:tcW w:w="1658" w:type="pct"/>
            <w:gridSpan w:val="2"/>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bCs/>
                <w:color w:val="010000"/>
              </w:rPr>
              <w:t>İrfan FİDAN</w:t>
            </w:r>
          </w:p>
        </w:tc>
        <w:tc>
          <w:tcPr>
            <w:tcW w:w="1660" w:type="pct"/>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Kenan YAŞAR</w:t>
            </w:r>
          </w:p>
        </w:tc>
      </w:tr>
      <w:tr w:rsidR="007E188A" w:rsidRPr="00B91812" w:rsidTr="00B91812">
        <w:trPr>
          <w:trHeight w:val="1600"/>
          <w:jc w:val="center"/>
        </w:trPr>
        <w:tc>
          <w:tcPr>
            <w:tcW w:w="2536" w:type="pct"/>
            <w:gridSpan w:val="2"/>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color w:val="010000"/>
              </w:rPr>
              <w:t>Muhterem İNCE</w:t>
            </w:r>
          </w:p>
        </w:tc>
        <w:tc>
          <w:tcPr>
            <w:tcW w:w="2464" w:type="pct"/>
            <w:gridSpan w:val="3"/>
            <w:vAlign w:val="center"/>
            <w:hideMark/>
          </w:tcPr>
          <w:p w:rsidR="007E188A" w:rsidRPr="00B91812" w:rsidRDefault="007E188A" w:rsidP="00B91812">
            <w:pPr>
              <w:spacing w:after="120"/>
              <w:jc w:val="center"/>
              <w:rPr>
                <w:color w:val="010000"/>
              </w:rPr>
            </w:pPr>
            <w:r w:rsidRPr="00B91812">
              <w:rPr>
                <w:color w:val="010000"/>
              </w:rPr>
              <w:t>Üye</w:t>
            </w:r>
          </w:p>
          <w:p w:rsidR="007E188A" w:rsidRPr="00B91812" w:rsidRDefault="007E188A" w:rsidP="00B91812">
            <w:pPr>
              <w:spacing w:after="120"/>
              <w:jc w:val="center"/>
              <w:rPr>
                <w:color w:val="010000"/>
              </w:rPr>
            </w:pPr>
            <w:r w:rsidRPr="00B91812">
              <w:rPr>
                <w:bCs/>
                <w:color w:val="010000"/>
              </w:rPr>
              <w:t>Yılmaz AKÇİL</w:t>
            </w:r>
          </w:p>
        </w:tc>
      </w:tr>
    </w:tbl>
    <w:p w:rsidR="007E188A" w:rsidRPr="00B91812" w:rsidRDefault="007E188A" w:rsidP="00B91812">
      <w:pPr>
        <w:ind w:right="-2" w:firstLine="851"/>
        <w:jc w:val="both"/>
        <w:rPr>
          <w:color w:val="010000"/>
        </w:rPr>
      </w:pPr>
    </w:p>
    <w:sectPr w:rsidR="007E188A" w:rsidRPr="00B91812" w:rsidSect="00B9181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1E52" w:rsidRDefault="00201E52" w:rsidP="007E188A">
      <w:r>
        <w:separator/>
      </w:r>
    </w:p>
  </w:endnote>
  <w:endnote w:type="continuationSeparator" w:id="0">
    <w:p w:rsidR="00201E52" w:rsidRDefault="00201E52" w:rsidP="007E1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812" w:rsidRDefault="00B91812" w:rsidP="009F79CC">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91812" w:rsidRDefault="00B91812" w:rsidP="00B9181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812" w:rsidRPr="00B91812" w:rsidRDefault="00B91812" w:rsidP="009F79CC">
    <w:pPr>
      <w:pStyle w:val="AltBilgi"/>
      <w:framePr w:wrap="around" w:vAnchor="text" w:hAnchor="margin" w:xAlign="right" w:y="1"/>
      <w:rPr>
        <w:rStyle w:val="SayfaNumaras"/>
      </w:rPr>
    </w:pPr>
    <w:r w:rsidRPr="00B91812">
      <w:rPr>
        <w:rStyle w:val="SayfaNumaras"/>
      </w:rPr>
      <w:fldChar w:fldCharType="begin"/>
    </w:r>
    <w:r w:rsidRPr="00B91812">
      <w:rPr>
        <w:rStyle w:val="SayfaNumaras"/>
      </w:rPr>
      <w:instrText xml:space="preserve"> PAGE </w:instrText>
    </w:r>
    <w:r w:rsidRPr="00B91812">
      <w:rPr>
        <w:rStyle w:val="SayfaNumaras"/>
      </w:rPr>
      <w:fldChar w:fldCharType="separate"/>
    </w:r>
    <w:r w:rsidRPr="00B91812">
      <w:rPr>
        <w:rStyle w:val="SayfaNumaras"/>
        <w:noProof/>
      </w:rPr>
      <w:t>2</w:t>
    </w:r>
    <w:r w:rsidRPr="00B91812">
      <w:rPr>
        <w:rStyle w:val="SayfaNumaras"/>
      </w:rPr>
      <w:fldChar w:fldCharType="end"/>
    </w:r>
  </w:p>
  <w:p w:rsidR="007E188A" w:rsidRDefault="007E188A" w:rsidP="00B91812">
    <w:pPr>
      <w:pStyle w:val="AltBilgi"/>
      <w:ind w:right="360"/>
      <w:jc w:val="right"/>
    </w:pPr>
  </w:p>
  <w:p w:rsidR="007E188A" w:rsidRDefault="007E188A">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1E52" w:rsidRDefault="00201E52" w:rsidP="007E188A">
      <w:r>
        <w:separator/>
      </w:r>
    </w:p>
  </w:footnote>
  <w:footnote w:type="continuationSeparator" w:id="0">
    <w:p w:rsidR="00201E52" w:rsidRDefault="00201E52" w:rsidP="007E18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812" w:rsidRPr="00B91812" w:rsidRDefault="00B91812" w:rsidP="00B91812">
    <w:pPr>
      <w:pStyle w:val="stBilgi"/>
      <w:rPr>
        <w:b/>
      </w:rPr>
    </w:pPr>
    <w:r w:rsidRPr="00B91812">
      <w:rPr>
        <w:b/>
      </w:rPr>
      <w:t xml:space="preserve">Esas </w:t>
    </w:r>
    <w:proofErr w:type="gramStart"/>
    <w:r w:rsidRPr="00B91812">
      <w:rPr>
        <w:b/>
      </w:rPr>
      <w:t>Sayısı :</w:t>
    </w:r>
    <w:proofErr w:type="gramEnd"/>
    <w:r w:rsidRPr="00B91812">
      <w:rPr>
        <w:b/>
      </w:rPr>
      <w:t xml:space="preserve"> 2024/35</w:t>
    </w:r>
  </w:p>
  <w:p w:rsidR="00B91812" w:rsidRDefault="00B91812" w:rsidP="00B91812">
    <w:pPr>
      <w:pStyle w:val="stBilgi"/>
      <w:rPr>
        <w:b/>
      </w:rPr>
    </w:pPr>
    <w:r>
      <w:rPr>
        <w:b/>
      </w:rPr>
      <w:t xml:space="preserve">Karar </w:t>
    </w:r>
    <w:proofErr w:type="gramStart"/>
    <w:r>
      <w:rPr>
        <w:b/>
      </w:rPr>
      <w:t>Sayısı :</w:t>
    </w:r>
    <w:proofErr w:type="gramEnd"/>
    <w:r>
      <w:rPr>
        <w:b/>
      </w:rPr>
      <w:t xml:space="preserve"> 2024/42</w:t>
    </w:r>
  </w:p>
  <w:p w:rsidR="007E188A" w:rsidRPr="00B91812" w:rsidRDefault="007E188A" w:rsidP="00B9181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83359"/>
    <w:rsid w:val="00201E52"/>
    <w:rsid w:val="00203FB6"/>
    <w:rsid w:val="00263848"/>
    <w:rsid w:val="0068170C"/>
    <w:rsid w:val="006E64ED"/>
    <w:rsid w:val="007E188A"/>
    <w:rsid w:val="00935BCF"/>
    <w:rsid w:val="00952B5F"/>
    <w:rsid w:val="00B407D6"/>
    <w:rsid w:val="00B91812"/>
    <w:rsid w:val="00CC2789"/>
    <w:rsid w:val="00CD39E4"/>
    <w:rsid w:val="00D64781"/>
    <w:rsid w:val="00D776BA"/>
    <w:rsid w:val="00E5225A"/>
    <w:rsid w:val="00E600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93828FF-012F-4E49-88F3-14B2D6582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stBilgi">
    <w:name w:val="header"/>
    <w:basedOn w:val="Normal"/>
    <w:link w:val="stBilgiChar"/>
    <w:rsid w:val="007E188A"/>
    <w:pPr>
      <w:tabs>
        <w:tab w:val="center" w:pos="4536"/>
        <w:tab w:val="right" w:pos="9072"/>
      </w:tabs>
    </w:pPr>
  </w:style>
  <w:style w:type="character" w:customStyle="1" w:styleId="stBilgiChar">
    <w:name w:val="Üst Bilgi Char"/>
    <w:link w:val="stBilgi"/>
    <w:rsid w:val="007E188A"/>
    <w:rPr>
      <w:sz w:val="24"/>
      <w:szCs w:val="24"/>
    </w:rPr>
  </w:style>
  <w:style w:type="paragraph" w:styleId="AltBilgi">
    <w:name w:val="footer"/>
    <w:basedOn w:val="Normal"/>
    <w:link w:val="AltBilgiChar"/>
    <w:uiPriority w:val="99"/>
    <w:rsid w:val="007E188A"/>
    <w:pPr>
      <w:tabs>
        <w:tab w:val="center" w:pos="4536"/>
        <w:tab w:val="right" w:pos="9072"/>
      </w:tabs>
    </w:pPr>
  </w:style>
  <w:style w:type="character" w:customStyle="1" w:styleId="AltBilgiChar">
    <w:name w:val="Alt Bilgi Char"/>
    <w:link w:val="AltBilgi"/>
    <w:uiPriority w:val="99"/>
    <w:rsid w:val="007E188A"/>
    <w:rPr>
      <w:sz w:val="24"/>
      <w:szCs w:val="24"/>
    </w:rPr>
  </w:style>
  <w:style w:type="character" w:styleId="SayfaNumaras">
    <w:name w:val="page number"/>
    <w:basedOn w:val="VarsaylanParagrafYazTipi"/>
    <w:rsid w:val="00B918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7488669">
      <w:bodyDiv w:val="1"/>
      <w:marLeft w:val="0"/>
      <w:marRight w:val="0"/>
      <w:marTop w:val="0"/>
      <w:marBottom w:val="0"/>
      <w:divBdr>
        <w:top w:val="none" w:sz="0" w:space="0" w:color="auto"/>
        <w:left w:val="none" w:sz="0" w:space="0" w:color="auto"/>
        <w:bottom w:val="none" w:sz="0" w:space="0" w:color="auto"/>
        <w:right w:val="none" w:sz="0" w:space="0" w:color="auto"/>
      </w:divBdr>
    </w:div>
    <w:div w:id="2039547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500</Words>
  <Characters>2854</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2024-04-05T08:35:00Z</dcterms:created>
  <dcterms:modified xsi:type="dcterms:W3CDTF">2024-04-05T08:35:00Z</dcterms:modified>
</cp:coreProperties>
</file>