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3F10" w:rsidRDefault="006D3F10" w:rsidP="00E01538">
      <w:pPr>
        <w:spacing w:after="200"/>
        <w:ind w:right="283"/>
        <w:jc w:val="center"/>
        <w:rPr>
          <w:b/>
          <w:bCs/>
          <w:caps/>
          <w:color w:val="010000"/>
          <w:lang w:eastAsia="zh-CN"/>
        </w:rPr>
      </w:pPr>
      <w:r w:rsidRPr="00E01538">
        <w:rPr>
          <w:b/>
          <w:bCs/>
          <w:caps/>
          <w:color w:val="010000"/>
          <w:lang w:eastAsia="zh-CN"/>
        </w:rPr>
        <w:t>ANAYASA MAHKEMESİ KARARI</w:t>
      </w:r>
    </w:p>
    <w:p w:rsidR="00E01538" w:rsidRPr="00E01538" w:rsidRDefault="00E01538" w:rsidP="00E01538">
      <w:pPr>
        <w:spacing w:after="200"/>
        <w:ind w:right="283" w:firstLine="709"/>
        <w:jc w:val="center"/>
        <w:rPr>
          <w:b/>
          <w:bCs/>
          <w:caps/>
          <w:color w:val="010000"/>
          <w:lang w:eastAsia="zh-CN"/>
        </w:rPr>
      </w:pPr>
    </w:p>
    <w:p w:rsidR="00E01538" w:rsidRDefault="00E01538" w:rsidP="00E01538">
      <w:pPr>
        <w:overflowPunct w:val="0"/>
        <w:autoSpaceDE w:val="0"/>
        <w:autoSpaceDN w:val="0"/>
        <w:adjustRightInd w:val="0"/>
        <w:rPr>
          <w:b/>
          <w:bCs/>
          <w:color w:val="010000"/>
          <w:lang w:eastAsia="zh-CN"/>
        </w:rPr>
      </w:pPr>
      <w:r>
        <w:rPr>
          <w:b/>
          <w:bCs/>
          <w:color w:val="010000"/>
          <w:lang w:eastAsia="zh-CN"/>
        </w:rPr>
        <w:t xml:space="preserve">Esas </w:t>
      </w:r>
      <w:proofErr w:type="gramStart"/>
      <w:r>
        <w:rPr>
          <w:b/>
          <w:bCs/>
          <w:color w:val="010000"/>
          <w:lang w:eastAsia="zh-CN"/>
        </w:rPr>
        <w:t>Sayısı :</w:t>
      </w:r>
      <w:proofErr w:type="gramEnd"/>
      <w:r>
        <w:rPr>
          <w:b/>
          <w:bCs/>
          <w:color w:val="010000"/>
          <w:lang w:eastAsia="zh-CN"/>
        </w:rPr>
        <w:t xml:space="preserve"> 2024/31</w:t>
      </w:r>
    </w:p>
    <w:p w:rsidR="00E01538" w:rsidRDefault="00E01538" w:rsidP="00E01538">
      <w:pPr>
        <w:overflowPunct w:val="0"/>
        <w:autoSpaceDE w:val="0"/>
        <w:autoSpaceDN w:val="0"/>
        <w:adjustRightInd w:val="0"/>
        <w:rPr>
          <w:b/>
          <w:color w:val="010000"/>
          <w:shd w:val="clear" w:color="auto" w:fill="FFFFFF"/>
        </w:rPr>
      </w:pPr>
      <w:r>
        <w:rPr>
          <w:b/>
          <w:color w:val="010000"/>
          <w:shd w:val="clear" w:color="auto" w:fill="FFFFFF"/>
        </w:rPr>
        <w:t xml:space="preserve">Karar </w:t>
      </w:r>
      <w:proofErr w:type="gramStart"/>
      <w:r>
        <w:rPr>
          <w:b/>
          <w:color w:val="010000"/>
          <w:shd w:val="clear" w:color="auto" w:fill="FFFFFF"/>
        </w:rPr>
        <w:t>Sayısı :</w:t>
      </w:r>
      <w:proofErr w:type="gramEnd"/>
      <w:r>
        <w:rPr>
          <w:b/>
          <w:color w:val="010000"/>
          <w:shd w:val="clear" w:color="auto" w:fill="FFFFFF"/>
        </w:rPr>
        <w:t xml:space="preserve"> 2024/37</w:t>
      </w:r>
    </w:p>
    <w:p w:rsidR="00E01538" w:rsidRDefault="00E01538" w:rsidP="00E01538">
      <w:pPr>
        <w:overflowPunct w:val="0"/>
        <w:autoSpaceDE w:val="0"/>
        <w:autoSpaceDN w:val="0"/>
        <w:adjustRightInd w:val="0"/>
        <w:rPr>
          <w:b/>
          <w:color w:val="010000"/>
          <w:shd w:val="clear" w:color="auto" w:fill="FFFFFF"/>
        </w:rPr>
      </w:pPr>
      <w:r>
        <w:rPr>
          <w:b/>
          <w:color w:val="010000"/>
          <w:shd w:val="clear" w:color="auto" w:fill="FFFFFF"/>
        </w:rPr>
        <w:t xml:space="preserve">Karar </w:t>
      </w:r>
      <w:proofErr w:type="gramStart"/>
      <w:r>
        <w:rPr>
          <w:b/>
          <w:color w:val="010000"/>
          <w:shd w:val="clear" w:color="auto" w:fill="FFFFFF"/>
        </w:rPr>
        <w:t>Tarihi :</w:t>
      </w:r>
      <w:proofErr w:type="gramEnd"/>
      <w:r>
        <w:rPr>
          <w:b/>
          <w:color w:val="010000"/>
          <w:shd w:val="clear" w:color="auto" w:fill="FFFFFF"/>
        </w:rPr>
        <w:t xml:space="preserve"> 22/2/2024</w:t>
      </w:r>
    </w:p>
    <w:p w:rsidR="00E01538" w:rsidRDefault="00E01538" w:rsidP="00E01538">
      <w:pPr>
        <w:overflowPunct w:val="0"/>
        <w:autoSpaceDE w:val="0"/>
        <w:autoSpaceDN w:val="0"/>
        <w:adjustRightInd w:val="0"/>
        <w:rPr>
          <w:b/>
          <w:color w:val="010000"/>
          <w:shd w:val="clear" w:color="auto" w:fill="FFFFFF"/>
        </w:rPr>
      </w:pPr>
      <w:proofErr w:type="spellStart"/>
      <w:r>
        <w:rPr>
          <w:b/>
          <w:color w:val="010000"/>
          <w:shd w:val="clear" w:color="auto" w:fill="FFFFFF"/>
        </w:rPr>
        <w:t>R.</w:t>
      </w:r>
      <w:proofErr w:type="gramStart"/>
      <w:r>
        <w:rPr>
          <w:b/>
          <w:color w:val="010000"/>
          <w:shd w:val="clear" w:color="auto" w:fill="FFFFFF"/>
        </w:rPr>
        <w:t>G.Tarih</w:t>
      </w:r>
      <w:proofErr w:type="spellEnd"/>
      <w:proofErr w:type="gramEnd"/>
      <w:r>
        <w:rPr>
          <w:b/>
          <w:color w:val="010000"/>
          <w:shd w:val="clear" w:color="auto" w:fill="FFFFFF"/>
        </w:rPr>
        <w:t>-Sayı : Tebliğ edildi.</w:t>
      </w:r>
    </w:p>
    <w:p w:rsidR="002073EB" w:rsidRPr="00E01538" w:rsidRDefault="002073EB" w:rsidP="00E01538">
      <w:pPr>
        <w:overflowPunct w:val="0"/>
        <w:autoSpaceDE w:val="0"/>
        <w:autoSpaceDN w:val="0"/>
        <w:adjustRightInd w:val="0"/>
        <w:rPr>
          <w:b/>
          <w:color w:val="010000"/>
          <w:shd w:val="clear" w:color="auto" w:fill="FFFFFF"/>
        </w:rPr>
      </w:pPr>
    </w:p>
    <w:p w:rsidR="006D3F10" w:rsidRPr="00E01538" w:rsidRDefault="006D3F10" w:rsidP="00E01538">
      <w:pPr>
        <w:spacing w:after="200"/>
        <w:ind w:right="283" w:firstLine="709"/>
        <w:jc w:val="both"/>
        <w:rPr>
          <w:rFonts w:eastAsia="Calibri"/>
          <w:bCs/>
          <w:color w:val="010000"/>
          <w:lang w:eastAsia="en-US"/>
        </w:rPr>
      </w:pPr>
      <w:r w:rsidRPr="00E01538">
        <w:rPr>
          <w:rFonts w:eastAsia="Calibri"/>
          <w:b/>
          <w:bCs/>
          <w:color w:val="010000"/>
          <w:lang w:eastAsia="en-US"/>
        </w:rPr>
        <w:t>İTİRAZ YOLUNA BAŞVURAN:</w:t>
      </w:r>
      <w:r w:rsidR="00E01538" w:rsidRPr="00E01538">
        <w:rPr>
          <w:rFonts w:eastAsia="Calibri"/>
          <w:b/>
          <w:bCs/>
          <w:color w:val="010000"/>
          <w:lang w:eastAsia="en-US"/>
        </w:rPr>
        <w:t xml:space="preserve"> </w:t>
      </w:r>
      <w:r w:rsidRPr="00E01538">
        <w:rPr>
          <w:rFonts w:eastAsia="Calibri"/>
          <w:bCs/>
          <w:color w:val="010000"/>
          <w:lang w:eastAsia="en-US"/>
        </w:rPr>
        <w:t>Eleşkirt Asliye Hukuk Mahkemesi</w:t>
      </w:r>
    </w:p>
    <w:p w:rsidR="006D3F10" w:rsidRPr="00E01538" w:rsidRDefault="006D3F10" w:rsidP="00E01538">
      <w:pPr>
        <w:spacing w:after="200"/>
        <w:ind w:right="283" w:firstLine="709"/>
        <w:jc w:val="both"/>
        <w:rPr>
          <w:rFonts w:eastAsia="Calibri"/>
          <w:color w:val="010000"/>
          <w:lang w:eastAsia="en-US"/>
        </w:rPr>
      </w:pPr>
      <w:r w:rsidRPr="00E01538">
        <w:rPr>
          <w:rFonts w:eastAsia="Calibri"/>
          <w:b/>
          <w:bCs/>
          <w:color w:val="010000"/>
          <w:lang w:eastAsia="en-US"/>
        </w:rPr>
        <w:t>İTİRAZIN KONUSU:</w:t>
      </w:r>
      <w:r w:rsidR="00E01538" w:rsidRPr="00E01538">
        <w:rPr>
          <w:rFonts w:eastAsia="Calibri"/>
          <w:b/>
          <w:bCs/>
          <w:color w:val="010000"/>
          <w:lang w:eastAsia="en-US"/>
        </w:rPr>
        <w:t xml:space="preserve"> </w:t>
      </w:r>
      <w:r w:rsidRPr="00E01538">
        <w:rPr>
          <w:rFonts w:eastAsia="Calibri"/>
          <w:color w:val="010000"/>
          <w:lang w:eastAsia="en-US"/>
        </w:rPr>
        <w:t xml:space="preserve">9/6/1932 tarihli ve 2004 sayılı İcra ve İflas Kanunu’nun 18/2/1965 tarihli ve 538 sayılı Kanun’un 114. maddesiyle değiştirilen 278. maddesinin üçüncü fıkrasının 9/11/1988 tarihli ve 3494 sayılı Kanun’un 53. maddesiyle değiştirilen (1) numaralı bendinde yer alan </w:t>
      </w:r>
      <w:r w:rsidRPr="00E01538">
        <w:rPr>
          <w:rFonts w:eastAsia="Calibri"/>
          <w:bCs/>
          <w:i/>
          <w:color w:val="010000"/>
          <w:lang w:eastAsia="en-US"/>
        </w:rPr>
        <w:t>“…</w:t>
      </w:r>
      <w:proofErr w:type="gramStart"/>
      <w:r w:rsidRPr="00E01538">
        <w:rPr>
          <w:rFonts w:eastAsia="Calibri"/>
          <w:bCs/>
          <w:i/>
          <w:color w:val="010000"/>
          <w:lang w:eastAsia="en-US"/>
        </w:rPr>
        <w:t>füru,...</w:t>
      </w:r>
      <w:proofErr w:type="gramEnd"/>
      <w:r w:rsidRPr="00E01538">
        <w:rPr>
          <w:rFonts w:eastAsia="Calibri"/>
          <w:bCs/>
          <w:i/>
          <w:color w:val="010000"/>
          <w:lang w:eastAsia="en-US"/>
        </w:rPr>
        <w:t>”</w:t>
      </w:r>
      <w:r w:rsidRPr="00E01538">
        <w:rPr>
          <w:rFonts w:eastAsia="Calibri"/>
          <w:bCs/>
          <w:color w:val="010000"/>
          <w:lang w:eastAsia="en-US"/>
        </w:rPr>
        <w:t xml:space="preserve"> </w:t>
      </w:r>
      <w:r w:rsidRPr="00E01538">
        <w:rPr>
          <w:rFonts w:eastAsia="Calibri"/>
          <w:color w:val="010000"/>
          <w:lang w:eastAsia="en-US"/>
        </w:rPr>
        <w:t>ibaresinin Anayasa’nın 2., 13., 35. ve 36. maddelerine aykırılığı ileri sürerek iptaline karar verilmesi talebidir.</w:t>
      </w:r>
    </w:p>
    <w:p w:rsidR="006D3F10" w:rsidRPr="00E01538" w:rsidRDefault="006D3F10" w:rsidP="00E01538">
      <w:pPr>
        <w:spacing w:after="200"/>
        <w:ind w:right="283" w:firstLine="709"/>
        <w:jc w:val="both"/>
        <w:rPr>
          <w:rFonts w:eastAsia="Calibri"/>
          <w:color w:val="010000"/>
          <w:lang w:eastAsia="en-US"/>
        </w:rPr>
      </w:pPr>
      <w:r w:rsidRPr="00E01538">
        <w:rPr>
          <w:rFonts w:eastAsia="Calibri"/>
          <w:b/>
          <w:bCs/>
          <w:color w:val="010000"/>
          <w:lang w:eastAsia="en-US"/>
        </w:rPr>
        <w:t>OLAY:</w:t>
      </w:r>
      <w:r w:rsidRPr="00E01538">
        <w:rPr>
          <w:rFonts w:eastAsia="Calibri"/>
          <w:color w:val="010000"/>
          <w:lang w:eastAsia="en-US"/>
        </w:rPr>
        <w:t xml:space="preserve"> 2004 sayılı Kanun kapsamında açılan tasarrufun iptali davasında itiraz konusu kuralın </w:t>
      </w:r>
      <w:r w:rsidRPr="00E01538">
        <w:rPr>
          <w:rFonts w:eastAsia="Calibri"/>
          <w:color w:val="010000"/>
          <w:lang w:eastAsia="zh-CN"/>
        </w:rPr>
        <w:t>Anayasa’ya aykırı olduğu kanısına varan Mahkeme, iptali için başvurmuştur.</w:t>
      </w:r>
    </w:p>
    <w:p w:rsidR="006D3F10" w:rsidRPr="00E01538" w:rsidRDefault="006D3F10" w:rsidP="00E01538">
      <w:pPr>
        <w:spacing w:after="200"/>
        <w:ind w:right="283" w:firstLine="709"/>
        <w:jc w:val="both"/>
        <w:rPr>
          <w:rFonts w:eastAsia="Calibri"/>
          <w:color w:val="010000"/>
          <w:lang w:eastAsia="en-US"/>
        </w:rPr>
      </w:pPr>
      <w:r w:rsidRPr="00E01538">
        <w:rPr>
          <w:rFonts w:eastAsia="Calibri"/>
          <w:b/>
          <w:bCs/>
          <w:color w:val="010000"/>
          <w:lang w:eastAsia="en-US"/>
        </w:rPr>
        <w:t>I.</w:t>
      </w:r>
      <w:r w:rsidR="00E01538" w:rsidRPr="00E01538">
        <w:rPr>
          <w:rFonts w:eastAsia="Calibri"/>
          <w:color w:val="010000"/>
          <w:lang w:eastAsia="en-US"/>
        </w:rPr>
        <w:t xml:space="preserve"> </w:t>
      </w:r>
      <w:r w:rsidRPr="00E01538">
        <w:rPr>
          <w:rFonts w:eastAsia="Calibri"/>
          <w:b/>
          <w:bCs/>
          <w:color w:val="010000"/>
          <w:lang w:eastAsia="en-US"/>
        </w:rPr>
        <w:t>İPTALİ İSTENEN KANUN HÜKMÜ</w:t>
      </w:r>
      <w:r w:rsidR="00E01538" w:rsidRPr="00E01538">
        <w:rPr>
          <w:rFonts w:eastAsia="Calibri"/>
          <w:b/>
          <w:bCs/>
          <w:color w:val="010000"/>
          <w:lang w:eastAsia="en-US"/>
        </w:rPr>
        <w:t xml:space="preserve"> </w:t>
      </w:r>
    </w:p>
    <w:p w:rsidR="006D3F10" w:rsidRPr="00E01538" w:rsidRDefault="006D3F10" w:rsidP="00E01538">
      <w:pPr>
        <w:spacing w:after="200"/>
        <w:ind w:right="283" w:firstLine="709"/>
        <w:jc w:val="both"/>
        <w:rPr>
          <w:rFonts w:eastAsia="Calibri"/>
          <w:color w:val="010000"/>
        </w:rPr>
      </w:pPr>
      <w:r w:rsidRPr="00E01538">
        <w:rPr>
          <w:rFonts w:eastAsia="Calibri"/>
          <w:color w:val="010000"/>
        </w:rPr>
        <w:t xml:space="preserve">Kanun’un itiraz konusu kuralın da yer aldığı 278. maddesi şöyledir: </w:t>
      </w:r>
    </w:p>
    <w:p w:rsidR="006D3F10" w:rsidRPr="00E01538" w:rsidRDefault="00E01538" w:rsidP="00E01538">
      <w:pPr>
        <w:spacing w:after="200"/>
        <w:ind w:right="283" w:firstLine="709"/>
        <w:jc w:val="both"/>
        <w:rPr>
          <w:i/>
          <w:iCs/>
          <w:color w:val="010000"/>
          <w:szCs w:val="22"/>
          <w:lang w:eastAsia="en-US"/>
        </w:rPr>
      </w:pPr>
      <w:r w:rsidRPr="00E01538">
        <w:rPr>
          <w:color w:val="010000"/>
          <w:szCs w:val="22"/>
          <w:lang w:eastAsia="en-US"/>
        </w:rPr>
        <w:t xml:space="preserve"> </w:t>
      </w:r>
      <w:r w:rsidR="006D3F10" w:rsidRPr="00E01538">
        <w:rPr>
          <w:color w:val="010000"/>
          <w:szCs w:val="22"/>
          <w:lang w:eastAsia="en-US"/>
        </w:rPr>
        <w:t>“</w:t>
      </w:r>
      <w:r w:rsidR="006D3F10" w:rsidRPr="00E01538">
        <w:rPr>
          <w:i/>
          <w:iCs/>
          <w:color w:val="010000"/>
          <w:szCs w:val="22"/>
          <w:lang w:eastAsia="en-US"/>
        </w:rPr>
        <w:t>İvazsız tasarrufların butlanı:</w:t>
      </w:r>
    </w:p>
    <w:p w:rsidR="006D3F10" w:rsidRPr="00E01538" w:rsidRDefault="006D3F10" w:rsidP="00E01538">
      <w:pPr>
        <w:spacing w:after="200"/>
        <w:ind w:right="283" w:firstLine="709"/>
        <w:jc w:val="both"/>
        <w:rPr>
          <w:bCs/>
          <w:i/>
          <w:color w:val="010000"/>
          <w:szCs w:val="22"/>
          <w:lang w:eastAsia="en-US"/>
        </w:rPr>
      </w:pPr>
      <w:r w:rsidRPr="00E01538">
        <w:rPr>
          <w:bCs/>
          <w:i/>
          <w:color w:val="010000"/>
          <w:szCs w:val="22"/>
          <w:lang w:eastAsia="en-US"/>
        </w:rPr>
        <w:t xml:space="preserve">Madde 278 – (Değişik: 18/2/1965-538/114 </w:t>
      </w:r>
      <w:proofErr w:type="spellStart"/>
      <w:r w:rsidRPr="00E01538">
        <w:rPr>
          <w:bCs/>
          <w:i/>
          <w:color w:val="010000"/>
          <w:szCs w:val="22"/>
          <w:lang w:eastAsia="en-US"/>
        </w:rPr>
        <w:t>md.</w:t>
      </w:r>
      <w:proofErr w:type="spellEnd"/>
      <w:r w:rsidRPr="00E01538">
        <w:rPr>
          <w:bCs/>
          <w:i/>
          <w:color w:val="010000"/>
          <w:szCs w:val="22"/>
          <w:lang w:eastAsia="en-US"/>
        </w:rPr>
        <w:t>)</w:t>
      </w:r>
    </w:p>
    <w:p w:rsidR="006D3F10" w:rsidRPr="00E01538" w:rsidRDefault="006D3F10" w:rsidP="00E01538">
      <w:pPr>
        <w:spacing w:after="200"/>
        <w:ind w:right="283" w:firstLine="709"/>
        <w:jc w:val="both"/>
        <w:rPr>
          <w:i/>
          <w:color w:val="010000"/>
          <w:szCs w:val="22"/>
          <w:lang w:eastAsia="en-US"/>
        </w:rPr>
      </w:pPr>
      <w:proofErr w:type="spellStart"/>
      <w:r w:rsidRPr="00E01538">
        <w:rPr>
          <w:i/>
          <w:color w:val="010000"/>
          <w:szCs w:val="22"/>
          <w:lang w:eastAsia="en-US"/>
        </w:rPr>
        <w:t>Mütat</w:t>
      </w:r>
      <w:proofErr w:type="spellEnd"/>
      <w:r w:rsidRPr="00E01538">
        <w:rPr>
          <w:i/>
          <w:color w:val="010000"/>
          <w:szCs w:val="22"/>
          <w:lang w:eastAsia="en-US"/>
        </w:rPr>
        <w:t xml:space="preserve"> hediyeler müstesna olmak üzere, hacizden veya haczedilecek mal bulunmaması sebebiyle acizden yahut iflasın açılmasından haczin veya aciz vesikası verilmesinin sebebi olan yahut masaya kabul olunan alacaklardan en eskisinin tesis edilmiş olduğu tarihe kadar geriye doğru olan müddet içinde yapılan bütün bağışlamalar ve ivazsız tasarruflar batıldır.</w:t>
      </w:r>
    </w:p>
    <w:p w:rsidR="006D3F10" w:rsidRPr="00E01538" w:rsidRDefault="006D3F10" w:rsidP="00E01538">
      <w:pPr>
        <w:spacing w:after="200"/>
        <w:ind w:right="283" w:firstLine="709"/>
        <w:jc w:val="both"/>
        <w:rPr>
          <w:i/>
          <w:color w:val="010000"/>
          <w:szCs w:val="22"/>
          <w:lang w:eastAsia="en-US"/>
        </w:rPr>
      </w:pPr>
      <w:r w:rsidRPr="00E01538">
        <w:rPr>
          <w:i/>
          <w:color w:val="010000"/>
          <w:szCs w:val="22"/>
          <w:lang w:eastAsia="en-US"/>
        </w:rPr>
        <w:t>Ancak, bu müddet haciz veya aciz yahut iflastan evvelki iki seneyi geçemez.</w:t>
      </w:r>
    </w:p>
    <w:p w:rsidR="006D3F10" w:rsidRPr="00E01538" w:rsidRDefault="006D3F10" w:rsidP="00E01538">
      <w:pPr>
        <w:spacing w:after="200"/>
        <w:ind w:right="283" w:firstLine="709"/>
        <w:jc w:val="both"/>
        <w:rPr>
          <w:i/>
          <w:color w:val="010000"/>
          <w:szCs w:val="22"/>
          <w:lang w:eastAsia="en-US"/>
        </w:rPr>
      </w:pPr>
      <w:r w:rsidRPr="00E01538">
        <w:rPr>
          <w:i/>
          <w:color w:val="010000"/>
          <w:szCs w:val="22"/>
          <w:lang w:eastAsia="en-US"/>
        </w:rPr>
        <w:t>Aşağıdaki tasarruflar bağışlama gibidir.</w:t>
      </w:r>
    </w:p>
    <w:p w:rsidR="006D3F10" w:rsidRPr="00E01538" w:rsidRDefault="006D3F10" w:rsidP="00E01538">
      <w:pPr>
        <w:spacing w:after="200"/>
        <w:ind w:right="283" w:firstLine="709"/>
        <w:jc w:val="both"/>
        <w:rPr>
          <w:i/>
          <w:color w:val="010000"/>
          <w:szCs w:val="22"/>
          <w:lang w:eastAsia="en-US"/>
        </w:rPr>
      </w:pPr>
      <w:r w:rsidRPr="00E01538">
        <w:rPr>
          <w:i/>
          <w:color w:val="010000"/>
          <w:szCs w:val="22"/>
          <w:lang w:eastAsia="en-US"/>
        </w:rPr>
        <w:t>1.</w:t>
      </w:r>
      <w:r w:rsidR="00E01538" w:rsidRPr="00E01538">
        <w:rPr>
          <w:i/>
          <w:color w:val="010000"/>
          <w:szCs w:val="22"/>
          <w:lang w:eastAsia="en-US"/>
        </w:rPr>
        <w:t xml:space="preserve"> </w:t>
      </w:r>
      <w:r w:rsidRPr="00E01538">
        <w:rPr>
          <w:bCs/>
          <w:i/>
          <w:color w:val="010000"/>
          <w:szCs w:val="22"/>
          <w:lang w:eastAsia="en-US"/>
        </w:rPr>
        <w:t>(</w:t>
      </w:r>
      <w:proofErr w:type="gramStart"/>
      <w:r w:rsidRPr="00E01538">
        <w:rPr>
          <w:bCs/>
          <w:i/>
          <w:color w:val="010000"/>
          <w:szCs w:val="22"/>
          <w:lang w:eastAsia="en-US"/>
        </w:rPr>
        <w:t>Değişik :</w:t>
      </w:r>
      <w:proofErr w:type="gramEnd"/>
      <w:r w:rsidRPr="00E01538">
        <w:rPr>
          <w:bCs/>
          <w:i/>
          <w:color w:val="010000"/>
          <w:szCs w:val="22"/>
          <w:lang w:eastAsia="en-US"/>
        </w:rPr>
        <w:t xml:space="preserve"> 9/11/1988-3494/53 </w:t>
      </w:r>
      <w:proofErr w:type="spellStart"/>
      <w:r w:rsidRPr="00E01538">
        <w:rPr>
          <w:bCs/>
          <w:i/>
          <w:color w:val="010000"/>
          <w:szCs w:val="22"/>
          <w:lang w:eastAsia="en-US"/>
        </w:rPr>
        <w:t>md.</w:t>
      </w:r>
      <w:proofErr w:type="spellEnd"/>
      <w:r w:rsidRPr="00E01538">
        <w:rPr>
          <w:bCs/>
          <w:i/>
          <w:color w:val="010000"/>
          <w:szCs w:val="22"/>
          <w:lang w:eastAsia="en-US"/>
        </w:rPr>
        <w:t>)</w:t>
      </w:r>
      <w:r w:rsidR="00E01538" w:rsidRPr="00E01538">
        <w:rPr>
          <w:i/>
          <w:color w:val="010000"/>
          <w:szCs w:val="22"/>
          <w:lang w:eastAsia="en-US"/>
        </w:rPr>
        <w:t xml:space="preserve"> </w:t>
      </w:r>
      <w:r w:rsidRPr="00E01538">
        <w:rPr>
          <w:bCs/>
          <w:i/>
          <w:color w:val="010000"/>
          <w:szCs w:val="22"/>
          <w:lang w:eastAsia="en-US"/>
        </w:rPr>
        <w:t>(İptal ibare: Anayasa Mahkemesi’nin 16/12/2021 tarihli ve</w:t>
      </w:r>
      <w:r w:rsidR="00E01538" w:rsidRPr="00E01538">
        <w:rPr>
          <w:bCs/>
          <w:i/>
          <w:color w:val="010000"/>
          <w:szCs w:val="22"/>
          <w:lang w:eastAsia="en-US"/>
        </w:rPr>
        <w:t xml:space="preserve"> </w:t>
      </w:r>
      <w:r w:rsidRPr="00E01538">
        <w:rPr>
          <w:bCs/>
          <w:i/>
          <w:color w:val="010000"/>
          <w:szCs w:val="22"/>
          <w:lang w:eastAsia="en-US"/>
        </w:rPr>
        <w:t>E.: 2021/52, K.: 2021/97 sayılı Kararı ile.)</w:t>
      </w:r>
      <w:r w:rsidR="00E01538" w:rsidRPr="00E01538">
        <w:rPr>
          <w:i/>
          <w:color w:val="010000"/>
          <w:szCs w:val="22"/>
          <w:lang w:eastAsia="en-US"/>
        </w:rPr>
        <w:t xml:space="preserve"> </w:t>
      </w:r>
      <w:r w:rsidRPr="00E01538">
        <w:rPr>
          <w:bCs/>
          <w:i/>
          <w:color w:val="010000"/>
          <w:szCs w:val="22"/>
          <w:lang w:eastAsia="en-US"/>
        </w:rPr>
        <w:t>(İptal ibare: Anayasa Mahkemesi’nin 26/1/2022 tarihli ve E.: 2021/9, K.: 2022/4 sayılı Kararı ile.)</w:t>
      </w:r>
      <w:r w:rsidR="00E01538" w:rsidRPr="00E01538">
        <w:rPr>
          <w:i/>
          <w:color w:val="010000"/>
          <w:szCs w:val="22"/>
          <w:lang w:eastAsia="en-US"/>
        </w:rPr>
        <w:t xml:space="preserve"> </w:t>
      </w:r>
      <w:r w:rsidRPr="00E01538">
        <w:rPr>
          <w:b/>
          <w:i/>
          <w:color w:val="010000"/>
          <w:szCs w:val="22"/>
          <w:lang w:eastAsia="en-US"/>
        </w:rPr>
        <w:t>füru,</w:t>
      </w:r>
      <w:r w:rsidR="00E01538" w:rsidRPr="00E01538">
        <w:rPr>
          <w:i/>
          <w:color w:val="010000"/>
          <w:szCs w:val="22"/>
          <w:lang w:eastAsia="en-US"/>
        </w:rPr>
        <w:t xml:space="preserve"> </w:t>
      </w:r>
      <w:r w:rsidRPr="00E01538">
        <w:rPr>
          <w:bCs/>
          <w:i/>
          <w:color w:val="010000"/>
          <w:szCs w:val="22"/>
          <w:lang w:eastAsia="en-US"/>
        </w:rPr>
        <w:t>(İptal ibare: Anayasa Mahkemesi’nin 11/7/2018 tarihli ve</w:t>
      </w:r>
      <w:r w:rsidR="00E01538" w:rsidRPr="00E01538">
        <w:rPr>
          <w:bCs/>
          <w:i/>
          <w:color w:val="010000"/>
          <w:szCs w:val="22"/>
          <w:lang w:eastAsia="en-US"/>
        </w:rPr>
        <w:t xml:space="preserve"> </w:t>
      </w:r>
      <w:r w:rsidRPr="00E01538">
        <w:rPr>
          <w:bCs/>
          <w:i/>
          <w:color w:val="010000"/>
          <w:szCs w:val="22"/>
          <w:lang w:eastAsia="en-US"/>
        </w:rPr>
        <w:t>E.: 2018/9, K.: 2018/84 sayılı Kararı ile.)</w:t>
      </w:r>
      <w:r w:rsidR="00E01538" w:rsidRPr="00E01538">
        <w:rPr>
          <w:bCs/>
          <w:i/>
          <w:color w:val="010000"/>
          <w:szCs w:val="22"/>
          <w:vertAlign w:val="superscript"/>
          <w:lang w:eastAsia="en-US"/>
        </w:rPr>
        <w:t xml:space="preserve"> </w:t>
      </w:r>
      <w:r w:rsidRPr="00E01538">
        <w:rPr>
          <w:bCs/>
          <w:i/>
          <w:color w:val="010000"/>
          <w:szCs w:val="22"/>
          <w:lang w:eastAsia="en-US"/>
        </w:rPr>
        <w:t>(…) (İptal ibare: Anayasa Mahkemesi’nin 26/1/2022 tarihli ve E.: 2021/9, K.: 2022/4 sayılı Kararı ile.)</w:t>
      </w:r>
      <w:r w:rsidR="00E01538" w:rsidRPr="00E01538">
        <w:rPr>
          <w:i/>
          <w:color w:val="010000"/>
          <w:szCs w:val="22"/>
          <w:lang w:eastAsia="en-US"/>
        </w:rPr>
        <w:t xml:space="preserve"> </w:t>
      </w:r>
      <w:r w:rsidRPr="00E01538">
        <w:rPr>
          <w:i/>
          <w:color w:val="010000"/>
          <w:szCs w:val="22"/>
          <w:lang w:eastAsia="en-US"/>
        </w:rPr>
        <w:t>evlat edinenle evlatlık arasında yapılan ivazlı tasarruflar,</w:t>
      </w:r>
    </w:p>
    <w:p w:rsidR="006D3F10" w:rsidRPr="00E01538" w:rsidRDefault="006D3F10" w:rsidP="00E01538">
      <w:pPr>
        <w:spacing w:after="200"/>
        <w:ind w:right="283" w:firstLine="709"/>
        <w:jc w:val="both"/>
        <w:rPr>
          <w:i/>
          <w:color w:val="010000"/>
          <w:szCs w:val="22"/>
          <w:lang w:eastAsia="en-US"/>
        </w:rPr>
      </w:pPr>
      <w:r w:rsidRPr="00E01538">
        <w:rPr>
          <w:i/>
          <w:color w:val="010000"/>
          <w:szCs w:val="22"/>
          <w:lang w:eastAsia="en-US"/>
        </w:rPr>
        <w:t>2. Akdin yapıldığı sırada, kendi verdiği şeyin değerine göre borçlunun ivaz olarak pek aşağı bir fiyat kabul ettiği akitler,</w:t>
      </w:r>
    </w:p>
    <w:p w:rsidR="006D3F10" w:rsidRPr="00E01538" w:rsidRDefault="006D3F10" w:rsidP="00E01538">
      <w:pPr>
        <w:spacing w:after="200"/>
        <w:ind w:right="283" w:firstLine="709"/>
        <w:jc w:val="both"/>
        <w:rPr>
          <w:color w:val="010000"/>
          <w:szCs w:val="22"/>
          <w:lang w:eastAsia="en-US"/>
        </w:rPr>
      </w:pPr>
      <w:r w:rsidRPr="00E01538">
        <w:rPr>
          <w:i/>
          <w:color w:val="010000"/>
          <w:szCs w:val="22"/>
          <w:lang w:eastAsia="en-US"/>
        </w:rPr>
        <w:t xml:space="preserve">3. Borçlunun kendisine yahut üçüncü bir şahıs menfaatine kaydı hayat </w:t>
      </w:r>
      <w:proofErr w:type="spellStart"/>
      <w:r w:rsidRPr="00E01538">
        <w:rPr>
          <w:i/>
          <w:color w:val="010000"/>
          <w:szCs w:val="22"/>
          <w:lang w:eastAsia="en-US"/>
        </w:rPr>
        <w:t>şartiyle</w:t>
      </w:r>
      <w:proofErr w:type="spellEnd"/>
      <w:r w:rsidRPr="00E01538">
        <w:rPr>
          <w:i/>
          <w:color w:val="010000"/>
          <w:szCs w:val="22"/>
          <w:lang w:eastAsia="en-US"/>
        </w:rPr>
        <w:t xml:space="preserve"> irat ve intifa hakkı tesis ettiği akitler ve ölünceye kadar bakma akitleri</w:t>
      </w:r>
      <w:r w:rsidRPr="00E01538">
        <w:rPr>
          <w:color w:val="010000"/>
          <w:szCs w:val="22"/>
          <w:lang w:eastAsia="en-US"/>
        </w:rPr>
        <w:t>,”</w:t>
      </w:r>
    </w:p>
    <w:p w:rsidR="006D3F10" w:rsidRPr="00E01538" w:rsidRDefault="006D3F10" w:rsidP="00E01538">
      <w:pPr>
        <w:spacing w:after="200"/>
        <w:ind w:right="283" w:firstLine="709"/>
        <w:jc w:val="both"/>
        <w:rPr>
          <w:rFonts w:eastAsia="Calibri"/>
          <w:color w:val="010000"/>
          <w:lang w:eastAsia="en-US"/>
        </w:rPr>
      </w:pPr>
      <w:r w:rsidRPr="00E01538">
        <w:rPr>
          <w:rFonts w:eastAsia="Calibri"/>
          <w:b/>
          <w:bCs/>
          <w:color w:val="010000"/>
          <w:lang w:eastAsia="en-US"/>
        </w:rPr>
        <w:t>II.</w:t>
      </w:r>
      <w:r w:rsidR="00E01538" w:rsidRPr="00E01538">
        <w:rPr>
          <w:rFonts w:eastAsia="Calibri"/>
          <w:b/>
          <w:bCs/>
          <w:color w:val="010000"/>
          <w:lang w:eastAsia="en-US"/>
        </w:rPr>
        <w:t xml:space="preserve"> </w:t>
      </w:r>
      <w:r w:rsidRPr="00E01538">
        <w:rPr>
          <w:rFonts w:eastAsia="Calibri"/>
          <w:b/>
          <w:bCs/>
          <w:color w:val="010000"/>
          <w:lang w:eastAsia="en-US"/>
        </w:rPr>
        <w:t>İLK İNCELEME</w:t>
      </w:r>
    </w:p>
    <w:p w:rsidR="006D3F10" w:rsidRPr="00E01538" w:rsidRDefault="006D3F10" w:rsidP="00E01538">
      <w:pPr>
        <w:spacing w:after="200"/>
        <w:ind w:right="283" w:firstLine="709"/>
        <w:jc w:val="both"/>
        <w:rPr>
          <w:rFonts w:eastAsia="Calibri"/>
          <w:color w:val="010000"/>
          <w:lang w:eastAsia="en-US"/>
        </w:rPr>
      </w:pPr>
      <w:r w:rsidRPr="00E01538">
        <w:rPr>
          <w:rFonts w:eastAsia="Calibri"/>
          <w:color w:val="010000"/>
          <w:lang w:eastAsia="en-US"/>
        </w:rPr>
        <w:t xml:space="preserve">1. Anayasa Mahkemesi İçtüzüğü hükümleri uyarınca yapılan ilk inceleme toplantısında başvuru kararı ve ekleri, Raportör Fatma KARAMAN ODABAŞI tarafından hazırlanan ilk </w:t>
      </w:r>
      <w:r w:rsidRPr="00E01538">
        <w:rPr>
          <w:rFonts w:eastAsia="Calibri"/>
          <w:color w:val="010000"/>
          <w:lang w:eastAsia="en-US"/>
        </w:rPr>
        <w:lastRenderedPageBreak/>
        <w:t>inceleme raporu ve itiraz konusu kanun hükmü okunup incelendikten sonra gereği görüşülüp düşünüldü:</w:t>
      </w:r>
    </w:p>
    <w:p w:rsidR="006D3F10" w:rsidRPr="00E01538" w:rsidRDefault="006D3F10" w:rsidP="00E01538">
      <w:pPr>
        <w:spacing w:after="200"/>
        <w:ind w:right="283" w:firstLine="709"/>
        <w:jc w:val="both"/>
        <w:rPr>
          <w:rFonts w:eastAsia="Calibri"/>
          <w:color w:val="010000"/>
          <w:shd w:val="clear" w:color="auto" w:fill="FFFFFF"/>
          <w:lang w:eastAsia="en-US"/>
        </w:rPr>
      </w:pPr>
      <w:r w:rsidRPr="00E01538">
        <w:rPr>
          <w:rFonts w:eastAsia="Calibri"/>
          <w:color w:val="010000"/>
          <w:lang w:eastAsia="en-US"/>
        </w:rPr>
        <w:t xml:space="preserve">2. </w:t>
      </w:r>
      <w:r w:rsidRPr="00E01538">
        <w:rPr>
          <w:rFonts w:eastAsia="Calibri"/>
          <w:color w:val="010000"/>
          <w:shd w:val="clear" w:color="auto" w:fill="FFFFFF"/>
          <w:lang w:eastAsia="en-US"/>
        </w:rPr>
        <w:t>30/3/2011 tarihli ve 6216 sayılı Anayasa Mahkemesinin Kuruluşu ve Yargılama Usulleri Hakkında Kanun'un “</w:t>
      </w:r>
      <w:r w:rsidRPr="00E01538">
        <w:rPr>
          <w:rFonts w:eastAsia="Calibri"/>
          <w:i/>
          <w:iCs/>
          <w:color w:val="010000"/>
          <w:lang w:eastAsia="en-US"/>
        </w:rPr>
        <w:t>Anayasaya aykırılığın mahkemelerce ileri sürülmesi</w:t>
      </w:r>
      <w:r w:rsidRPr="00E01538">
        <w:rPr>
          <w:rFonts w:eastAsia="Calibri"/>
          <w:color w:val="010000"/>
          <w:shd w:val="clear" w:color="auto" w:fill="FFFFFF"/>
          <w:lang w:eastAsia="en-US"/>
        </w:rPr>
        <w:t>” başlıklı 40. maddesinde Anayasa Mahkemesine itiraz yoluyla yapılacak başvurularda izlenecek yöntem düzenlenmiştir. Söz konusu maddenin (1) numaralı fıkrasında bir davaya bakmakta olan mahkemenin bu davada uygulanacak bir kanun veya Cumhurbaşkanlığı kararnamesinin hükümlerini Anayasa'ya aykırı görmesi hâlinde veya taraflardan birinin ileri sürdüğü aykırılık iddiasının ciddi olduğu kanısına varması durumunda, bu fıkrada sayılan belgeleri dizi listesine bağlayarak Anayasa Mahkemesine göndereceği belirtilmiş; anılan fıkranın (a) bendinde de “</w:t>
      </w:r>
      <w:r w:rsidRPr="00E01538">
        <w:rPr>
          <w:rFonts w:eastAsia="Calibri"/>
          <w:i/>
          <w:iCs/>
          <w:color w:val="010000"/>
          <w:lang w:eastAsia="en-US"/>
        </w:rPr>
        <w:t>İptali istenen kuralların Anayasanın hangi maddelerine aykırı olduklarını açıklayan gerekçeli başvuru kararının aslı</w:t>
      </w:r>
      <w:r w:rsidRPr="00E01538">
        <w:rPr>
          <w:rFonts w:eastAsia="Calibri"/>
          <w:color w:val="010000"/>
          <w:shd w:val="clear" w:color="auto" w:fill="FFFFFF"/>
          <w:lang w:eastAsia="en-US"/>
        </w:rPr>
        <w:t>” Mahkemeye gönderilecek belgeler arasında sayılmıştır. Maddenin (4) numaralı fıkrasında ise açık bir şekilde dayanaktan yoksun veya yöntemine uygun olmayan itiraz başvurularının Anayasa Mahkemesi tarafından esas incelemeye geçilmeksizin gerekçeleriyle reddedileceği hükme bağlanmıştır.</w:t>
      </w:r>
    </w:p>
    <w:p w:rsidR="006D3F10" w:rsidRPr="00E01538" w:rsidRDefault="006D3F10" w:rsidP="00E01538">
      <w:pPr>
        <w:spacing w:after="200"/>
        <w:ind w:right="283" w:firstLine="709"/>
        <w:jc w:val="both"/>
        <w:rPr>
          <w:color w:val="010000"/>
          <w:shd w:val="clear" w:color="auto" w:fill="FFFFFF"/>
          <w:lang w:eastAsia="en-US"/>
        </w:rPr>
      </w:pPr>
      <w:r w:rsidRPr="00E01538">
        <w:rPr>
          <w:color w:val="010000"/>
          <w:shd w:val="clear" w:color="auto" w:fill="FFFFFF"/>
          <w:lang w:eastAsia="en-US"/>
        </w:rPr>
        <w:t xml:space="preserve">3. Söz konusu </w:t>
      </w:r>
      <w:proofErr w:type="spellStart"/>
      <w:r w:rsidRPr="00E01538">
        <w:rPr>
          <w:color w:val="010000"/>
          <w:shd w:val="clear" w:color="auto" w:fill="FFFFFF"/>
          <w:lang w:eastAsia="en-US"/>
        </w:rPr>
        <w:t>İçtüzük’ün</w:t>
      </w:r>
      <w:proofErr w:type="spellEnd"/>
      <w:r w:rsidRPr="00E01538">
        <w:rPr>
          <w:color w:val="010000"/>
          <w:shd w:val="clear" w:color="auto" w:fill="FFFFFF"/>
          <w:lang w:eastAsia="en-US"/>
        </w:rPr>
        <w:t xml:space="preserve"> 46. maddesinin (1) numaralı fıkrasının (a) bendinde de itiraz yoluna başvuran mahkemenin gerekçeli kararında, Anayasa’ya aykırılıkları ileri sürülen hükümlerin her birinin Anayasa’nın hangi maddelerine, hangi nedenlerle aykırı olduğunun ayrı ayrı ve gerekçeleriyle birlikte açıkça gösterilmesi gerektiği ifade edilmiştir.</w:t>
      </w:r>
    </w:p>
    <w:p w:rsidR="006D3F10" w:rsidRPr="00E01538" w:rsidRDefault="006D3F10" w:rsidP="00E01538">
      <w:pPr>
        <w:spacing w:after="200"/>
        <w:ind w:right="283" w:firstLine="709"/>
        <w:jc w:val="both"/>
        <w:rPr>
          <w:color w:val="010000"/>
          <w:lang w:eastAsia="en-US"/>
        </w:rPr>
      </w:pPr>
      <w:r w:rsidRPr="00E01538">
        <w:rPr>
          <w:color w:val="010000"/>
          <w:shd w:val="clear" w:color="auto" w:fill="FFFFFF"/>
          <w:lang w:eastAsia="en-US"/>
        </w:rPr>
        <w:t xml:space="preserve">4. Yine </w:t>
      </w:r>
      <w:proofErr w:type="spellStart"/>
      <w:r w:rsidRPr="00E01538">
        <w:rPr>
          <w:color w:val="010000"/>
          <w:shd w:val="clear" w:color="auto" w:fill="FFFFFF"/>
          <w:lang w:eastAsia="en-US"/>
        </w:rPr>
        <w:t>İçtüzük’ün</w:t>
      </w:r>
      <w:proofErr w:type="spellEnd"/>
      <w:r w:rsidRPr="00E01538">
        <w:rPr>
          <w:color w:val="010000"/>
          <w:shd w:val="clear" w:color="auto" w:fill="FFFFFF"/>
          <w:lang w:eastAsia="en-US"/>
        </w:rPr>
        <w:t xml:space="preserve"> 49. maddesinin (1) numaralı fıkrasının (b) bendinde Anayasa Mahkemesince yapılan ilk incelemede, başvuruda eksikliklerin bulunduğunun tespit edilmesi hâlinde itiraz yoluna ilişkin işlerde esas incelemeye geçilmeksizin başvurunun reddine karar verileceği; (2) numaralı fıkrasında ise anılan (b) bendi uyarınca verilen kararın itiraz yoluna başvuran mahkemenin eksiklikleri tamamlayarak yeniden başvurmasına engel olmadığı belirtilmiştir.</w:t>
      </w:r>
    </w:p>
    <w:p w:rsidR="006D3F10" w:rsidRPr="00E01538" w:rsidRDefault="006D3F10" w:rsidP="00E01538">
      <w:pPr>
        <w:spacing w:after="200"/>
        <w:ind w:right="283" w:firstLine="709"/>
        <w:jc w:val="both"/>
        <w:rPr>
          <w:color w:val="010000"/>
          <w:shd w:val="clear" w:color="auto" w:fill="FFFFFF"/>
          <w:lang w:eastAsia="en-US"/>
        </w:rPr>
      </w:pPr>
      <w:r w:rsidRPr="00E01538">
        <w:rPr>
          <w:color w:val="010000"/>
          <w:shd w:val="clear" w:color="auto" w:fill="FFFFFF"/>
          <w:lang w:eastAsia="en-US"/>
        </w:rPr>
        <w:t xml:space="preserve">5. Yapılan incelemede başvuru kararında itiraz konusu kuralın Anayasa’nın bazı maddelerine aykırı olduğunun iddia edilmiş olmasına karşın bu maddelere yönelik herhangi bir aykırılık gerekçesine yer verilmediği anlaşılmıştır. Bu itibarla kuralın hangi nedenlerle </w:t>
      </w:r>
      <w:r w:rsidRPr="00E01538">
        <w:rPr>
          <w:rFonts w:eastAsia="Calibri"/>
          <w:color w:val="010000"/>
          <w:shd w:val="clear" w:color="auto" w:fill="FFFFFF"/>
          <w:lang w:eastAsia="en-US"/>
        </w:rPr>
        <w:t>Anayasa’nın anılan maddelerine aykırı olduğu ayrı ayrı ve gerekçeleriyle birlikte açıkça gösterilmemiştir.</w:t>
      </w:r>
      <w:r w:rsidRPr="00E01538">
        <w:rPr>
          <w:color w:val="010000"/>
          <w:shd w:val="clear" w:color="auto" w:fill="FFFFFF"/>
          <w:lang w:eastAsia="en-US"/>
        </w:rPr>
        <w:t xml:space="preserve"> </w:t>
      </w:r>
    </w:p>
    <w:p w:rsidR="006D3F10" w:rsidRPr="00E01538" w:rsidRDefault="006D3F10" w:rsidP="00E01538">
      <w:pPr>
        <w:spacing w:after="200"/>
        <w:ind w:right="283" w:firstLine="709"/>
        <w:jc w:val="both"/>
        <w:rPr>
          <w:color w:val="010000"/>
          <w:shd w:val="clear" w:color="auto" w:fill="FFFFFF"/>
          <w:lang w:eastAsia="en-US"/>
        </w:rPr>
      </w:pPr>
      <w:r w:rsidRPr="00E01538">
        <w:rPr>
          <w:color w:val="010000"/>
          <w:shd w:val="clear" w:color="auto" w:fill="FFFFFF"/>
          <w:lang w:eastAsia="en-US"/>
        </w:rPr>
        <w:t>6. Açıklanan nedenle 6216 sayılı Kanun’un 40. maddesinin (1) numaralı fıkrasının (a) bendi ile İçtüzük’ ün 46. maddesinin (1) numaralı fıkrasının (a) bendine aykırı olduğu anlaşılan başvurunun anılan Kanun’un 40. maddesinin (4) numaralı fıkrası gereğince yöntemine uygun olmadığından reddi gerekir.</w:t>
      </w:r>
    </w:p>
    <w:p w:rsidR="00C01FB6" w:rsidRPr="00E01538" w:rsidRDefault="00C01FB6" w:rsidP="00E01538">
      <w:pPr>
        <w:overflowPunct w:val="0"/>
        <w:autoSpaceDE w:val="0"/>
        <w:autoSpaceDN w:val="0"/>
        <w:adjustRightInd w:val="0"/>
        <w:spacing w:after="200"/>
        <w:ind w:right="283" w:firstLine="709"/>
        <w:jc w:val="both"/>
        <w:rPr>
          <w:rFonts w:eastAsia="Calibri"/>
          <w:b/>
          <w:color w:val="010000"/>
          <w:lang w:eastAsia="en-US"/>
        </w:rPr>
      </w:pPr>
      <w:r w:rsidRPr="00E01538">
        <w:rPr>
          <w:rFonts w:eastAsia="Calibri"/>
          <w:b/>
          <w:color w:val="010000"/>
          <w:lang w:eastAsia="en-US"/>
        </w:rPr>
        <w:t>III. HÜKÜM</w:t>
      </w:r>
    </w:p>
    <w:p w:rsidR="004A0E6F" w:rsidRPr="00E01538" w:rsidRDefault="004A0E6F" w:rsidP="00E01538">
      <w:pPr>
        <w:spacing w:after="200"/>
        <w:ind w:right="283" w:firstLine="709"/>
        <w:jc w:val="both"/>
        <w:rPr>
          <w:bCs/>
          <w:color w:val="010000"/>
        </w:rPr>
      </w:pPr>
      <w:r w:rsidRPr="00E01538">
        <w:rPr>
          <w:color w:val="010000"/>
        </w:rPr>
        <w:t>9/6</w:t>
      </w:r>
      <w:r w:rsidRPr="00E01538">
        <w:rPr>
          <w:bCs/>
          <w:color w:val="010000"/>
        </w:rPr>
        <w:t xml:space="preserve">/1932 tarihli ve 2004 sayılı İcra ve İflas Kanunu’nun 18/2/1965 tarihli ve 538 sayılı Kanun’un 114. maddesiyle değiştirilen 278. maddesinin üçüncü fıkrasının 9/11/1988 tarihli ve 3494 sayılı Kanun’un 53. maddesiyle değiştirilen (1) numaralı bendinde yer alan </w:t>
      </w:r>
      <w:r w:rsidRPr="00E01538">
        <w:rPr>
          <w:bCs/>
          <w:i/>
          <w:color w:val="010000"/>
        </w:rPr>
        <w:t>“…füru,...”</w:t>
      </w:r>
      <w:r w:rsidRPr="00E01538">
        <w:rPr>
          <w:bCs/>
          <w:color w:val="010000"/>
        </w:rPr>
        <w:t xml:space="preserve"> ibaresinin </w:t>
      </w:r>
      <w:r w:rsidRPr="00E01538">
        <w:rPr>
          <w:color w:val="010000"/>
        </w:rPr>
        <w:t xml:space="preserve">iptaline karar verilmesi talebiyle yapılan itiraz başvurusunun 30/3/2011 tarihli ve 6216 sayılı Anayasa Mahkemesinin Kuruluşu ve Yargılama Usulleri Hakkında Kanun’un 40. maddesinin (4) numaralı fıkrası gereğince yöntemine uygun olmadığından REDDİNE </w:t>
      </w:r>
      <w:r w:rsidRPr="00E01538">
        <w:rPr>
          <w:rFonts w:eastAsia="ヒラギノ明朝 Pro W3"/>
          <w:color w:val="010000"/>
          <w:lang w:eastAsia="en-US"/>
        </w:rPr>
        <w:t>22/2/2024</w:t>
      </w:r>
      <w:r w:rsidRPr="00E01538">
        <w:rPr>
          <w:color w:val="010000"/>
        </w:rPr>
        <w:t xml:space="preserve"> tarihinde OYBİRLİĞİYLE karar verildi.</w:t>
      </w:r>
      <w:r w:rsidR="00E01538" w:rsidRPr="00E01538">
        <w:rPr>
          <w:color w:val="010000"/>
        </w:rPr>
        <w:t xml:space="preserve"> </w:t>
      </w:r>
    </w:p>
    <w:p w:rsidR="00E01538" w:rsidRDefault="00E01538">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62"/>
        <w:gridCol w:w="1700"/>
        <w:gridCol w:w="1561"/>
        <w:gridCol w:w="3257"/>
      </w:tblGrid>
      <w:tr w:rsidR="004A0E6F" w:rsidRPr="00E01538" w:rsidTr="00E01538">
        <w:trPr>
          <w:trHeight w:val="1600"/>
          <w:jc w:val="center"/>
        </w:trPr>
        <w:tc>
          <w:tcPr>
            <w:tcW w:w="1668" w:type="pct"/>
            <w:vAlign w:val="center"/>
            <w:hideMark/>
          </w:tcPr>
          <w:p w:rsidR="004A0E6F" w:rsidRPr="00E01538" w:rsidRDefault="004A0E6F" w:rsidP="00E01538">
            <w:pPr>
              <w:spacing w:after="120"/>
              <w:jc w:val="center"/>
              <w:rPr>
                <w:color w:val="010000"/>
              </w:rPr>
            </w:pPr>
            <w:r w:rsidRPr="00E01538">
              <w:rPr>
                <w:color w:val="010000"/>
              </w:rPr>
              <w:lastRenderedPageBreak/>
              <w:t>Başkan</w:t>
            </w:r>
          </w:p>
          <w:p w:rsidR="004A0E6F" w:rsidRPr="00E01538" w:rsidRDefault="004A0E6F" w:rsidP="00E01538">
            <w:pPr>
              <w:spacing w:after="120"/>
              <w:jc w:val="center"/>
              <w:rPr>
                <w:color w:val="010000"/>
              </w:rPr>
            </w:pPr>
            <w:r w:rsidRPr="00E01538">
              <w:rPr>
                <w:color w:val="010000"/>
              </w:rPr>
              <w:t>Zühtü ARSLAN</w:t>
            </w:r>
          </w:p>
        </w:tc>
        <w:tc>
          <w:tcPr>
            <w:tcW w:w="1667" w:type="pct"/>
            <w:gridSpan w:val="2"/>
            <w:vAlign w:val="center"/>
            <w:hideMark/>
          </w:tcPr>
          <w:p w:rsidR="004A0E6F" w:rsidRPr="00E01538" w:rsidRDefault="004A0E6F" w:rsidP="00E01538">
            <w:pPr>
              <w:spacing w:after="120"/>
              <w:jc w:val="center"/>
              <w:rPr>
                <w:color w:val="010000"/>
              </w:rPr>
            </w:pPr>
            <w:r w:rsidRPr="00E01538">
              <w:rPr>
                <w:color w:val="010000"/>
              </w:rPr>
              <w:t>Başkanvekili</w:t>
            </w:r>
          </w:p>
          <w:p w:rsidR="004A0E6F" w:rsidRPr="00E01538" w:rsidRDefault="004A0E6F" w:rsidP="00E01538">
            <w:pPr>
              <w:spacing w:after="120"/>
              <w:jc w:val="center"/>
              <w:rPr>
                <w:color w:val="010000"/>
              </w:rPr>
            </w:pPr>
            <w:r w:rsidRPr="00E01538">
              <w:rPr>
                <w:color w:val="010000"/>
              </w:rPr>
              <w:t>Hasan Tahsin GÖKCAN</w:t>
            </w:r>
          </w:p>
        </w:tc>
        <w:tc>
          <w:tcPr>
            <w:tcW w:w="1665" w:type="pct"/>
            <w:vAlign w:val="center"/>
            <w:hideMark/>
          </w:tcPr>
          <w:p w:rsidR="004A0E6F" w:rsidRPr="00E01538" w:rsidRDefault="004A0E6F" w:rsidP="00E01538">
            <w:pPr>
              <w:spacing w:after="120"/>
              <w:jc w:val="center"/>
              <w:rPr>
                <w:color w:val="010000"/>
              </w:rPr>
            </w:pPr>
            <w:r w:rsidRPr="00E01538">
              <w:rPr>
                <w:color w:val="010000"/>
              </w:rPr>
              <w:t>Başkanvekili</w:t>
            </w:r>
          </w:p>
          <w:p w:rsidR="004A0E6F" w:rsidRPr="00E01538" w:rsidRDefault="004A0E6F" w:rsidP="00E01538">
            <w:pPr>
              <w:spacing w:after="120"/>
              <w:jc w:val="center"/>
              <w:rPr>
                <w:color w:val="010000"/>
              </w:rPr>
            </w:pPr>
            <w:r w:rsidRPr="00E01538">
              <w:rPr>
                <w:color w:val="010000"/>
              </w:rPr>
              <w:t>Kadir ÖZKAYA</w:t>
            </w:r>
          </w:p>
        </w:tc>
      </w:tr>
      <w:tr w:rsidR="004A0E6F" w:rsidRPr="00E01538" w:rsidTr="00E01538">
        <w:trPr>
          <w:trHeight w:val="1600"/>
          <w:jc w:val="center"/>
        </w:trPr>
        <w:tc>
          <w:tcPr>
            <w:tcW w:w="1668" w:type="pct"/>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color w:val="010000"/>
              </w:rPr>
              <w:t>Engin YILDIRIM</w:t>
            </w:r>
          </w:p>
        </w:tc>
        <w:tc>
          <w:tcPr>
            <w:tcW w:w="1667" w:type="pct"/>
            <w:gridSpan w:val="2"/>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color w:val="010000"/>
              </w:rPr>
              <w:t>M. Emin KUZ</w:t>
            </w:r>
          </w:p>
        </w:tc>
        <w:tc>
          <w:tcPr>
            <w:tcW w:w="1665" w:type="pct"/>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color w:val="010000"/>
              </w:rPr>
              <w:t>Rıdvan GÜLEÇ</w:t>
            </w:r>
          </w:p>
        </w:tc>
      </w:tr>
      <w:tr w:rsidR="004A0E6F" w:rsidRPr="00E01538" w:rsidTr="00E01538">
        <w:trPr>
          <w:trHeight w:val="1600"/>
          <w:jc w:val="center"/>
        </w:trPr>
        <w:tc>
          <w:tcPr>
            <w:tcW w:w="1668" w:type="pct"/>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bCs/>
                <w:color w:val="010000"/>
              </w:rPr>
              <w:t>Yusuf Şevki HAKYEMEZ</w:t>
            </w:r>
          </w:p>
        </w:tc>
        <w:tc>
          <w:tcPr>
            <w:tcW w:w="1667" w:type="pct"/>
            <w:gridSpan w:val="2"/>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bCs/>
                <w:color w:val="010000"/>
              </w:rPr>
              <w:t>Yıldız SEFERİNOĞLU</w:t>
            </w:r>
          </w:p>
        </w:tc>
        <w:tc>
          <w:tcPr>
            <w:tcW w:w="1665" w:type="pct"/>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color w:val="010000"/>
              </w:rPr>
              <w:t>Selahaddin MENTEŞ</w:t>
            </w:r>
          </w:p>
        </w:tc>
      </w:tr>
      <w:tr w:rsidR="004A0E6F" w:rsidRPr="00E01538" w:rsidTr="00E01538">
        <w:trPr>
          <w:trHeight w:val="1600"/>
          <w:jc w:val="center"/>
        </w:trPr>
        <w:tc>
          <w:tcPr>
            <w:tcW w:w="1668" w:type="pct"/>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color w:val="010000"/>
              </w:rPr>
              <w:t>Basri BAĞCI</w:t>
            </w:r>
          </w:p>
        </w:tc>
        <w:tc>
          <w:tcPr>
            <w:tcW w:w="1667" w:type="pct"/>
            <w:gridSpan w:val="2"/>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bCs/>
                <w:color w:val="010000"/>
              </w:rPr>
              <w:t>İrfan FİDAN</w:t>
            </w:r>
          </w:p>
        </w:tc>
        <w:tc>
          <w:tcPr>
            <w:tcW w:w="1665" w:type="pct"/>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color w:val="010000"/>
              </w:rPr>
              <w:t>Kenan YAŞAR</w:t>
            </w:r>
          </w:p>
        </w:tc>
      </w:tr>
      <w:tr w:rsidR="004A0E6F" w:rsidRPr="00E01538" w:rsidTr="00E01538">
        <w:trPr>
          <w:trHeight w:val="1600"/>
          <w:jc w:val="center"/>
        </w:trPr>
        <w:tc>
          <w:tcPr>
            <w:tcW w:w="2537" w:type="pct"/>
            <w:gridSpan w:val="2"/>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color w:val="010000"/>
              </w:rPr>
              <w:t>Muhterem İNCE</w:t>
            </w:r>
          </w:p>
        </w:tc>
        <w:tc>
          <w:tcPr>
            <w:tcW w:w="2463" w:type="pct"/>
            <w:gridSpan w:val="2"/>
            <w:vAlign w:val="center"/>
            <w:hideMark/>
          </w:tcPr>
          <w:p w:rsidR="004A0E6F" w:rsidRPr="00E01538" w:rsidRDefault="004A0E6F" w:rsidP="00E01538">
            <w:pPr>
              <w:spacing w:after="120"/>
              <w:jc w:val="center"/>
              <w:rPr>
                <w:color w:val="010000"/>
              </w:rPr>
            </w:pPr>
            <w:r w:rsidRPr="00E01538">
              <w:rPr>
                <w:color w:val="010000"/>
              </w:rPr>
              <w:t>Üye</w:t>
            </w:r>
          </w:p>
          <w:p w:rsidR="004A0E6F" w:rsidRPr="00E01538" w:rsidRDefault="004A0E6F" w:rsidP="00E01538">
            <w:pPr>
              <w:spacing w:after="120"/>
              <w:jc w:val="center"/>
              <w:rPr>
                <w:color w:val="010000"/>
              </w:rPr>
            </w:pPr>
            <w:r w:rsidRPr="00E01538">
              <w:rPr>
                <w:bCs/>
                <w:color w:val="010000"/>
              </w:rPr>
              <w:t>Yılmaz AKÇİL</w:t>
            </w:r>
          </w:p>
        </w:tc>
      </w:tr>
    </w:tbl>
    <w:p w:rsidR="004A0E6F" w:rsidRPr="00E01538" w:rsidRDefault="004A0E6F" w:rsidP="00E01538">
      <w:pPr>
        <w:ind w:firstLine="851"/>
        <w:jc w:val="both"/>
        <w:rPr>
          <w:color w:val="010000"/>
        </w:rPr>
      </w:pPr>
    </w:p>
    <w:sectPr w:rsidR="004A0E6F" w:rsidRPr="00E01538" w:rsidSect="00E01538">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0502D" w:rsidRDefault="00D0502D" w:rsidP="00C01FB6">
      <w:r>
        <w:separator/>
      </w:r>
    </w:p>
  </w:endnote>
  <w:endnote w:type="continuationSeparator" w:id="0">
    <w:p w:rsidR="00D0502D" w:rsidRDefault="00D0502D" w:rsidP="00C01F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ヒラギノ明朝 Pro W3">
    <w:altName w:val="Yu Gothic"/>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1538" w:rsidRDefault="00E01538" w:rsidP="009F3ED6">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01538" w:rsidRDefault="00E01538" w:rsidP="00E0153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1538" w:rsidRPr="00E01538" w:rsidRDefault="00E01538" w:rsidP="009F3ED6">
    <w:pPr>
      <w:pStyle w:val="AltBilgi"/>
      <w:framePr w:wrap="around" w:vAnchor="text" w:hAnchor="margin" w:xAlign="right" w:y="1"/>
      <w:rPr>
        <w:rStyle w:val="SayfaNumaras"/>
      </w:rPr>
    </w:pPr>
    <w:r w:rsidRPr="00E01538">
      <w:rPr>
        <w:rStyle w:val="SayfaNumaras"/>
      </w:rPr>
      <w:fldChar w:fldCharType="begin"/>
    </w:r>
    <w:r w:rsidRPr="00E01538">
      <w:rPr>
        <w:rStyle w:val="SayfaNumaras"/>
      </w:rPr>
      <w:instrText xml:space="preserve"> PAGE </w:instrText>
    </w:r>
    <w:r w:rsidRPr="00E01538">
      <w:rPr>
        <w:rStyle w:val="SayfaNumaras"/>
      </w:rPr>
      <w:fldChar w:fldCharType="separate"/>
    </w:r>
    <w:r w:rsidRPr="00E01538">
      <w:rPr>
        <w:rStyle w:val="SayfaNumaras"/>
        <w:noProof/>
      </w:rPr>
      <w:t>3</w:t>
    </w:r>
    <w:r w:rsidRPr="00E01538">
      <w:rPr>
        <w:rStyle w:val="SayfaNumaras"/>
      </w:rPr>
      <w:fldChar w:fldCharType="end"/>
    </w:r>
  </w:p>
  <w:p w:rsidR="00C01FB6" w:rsidRDefault="00C01FB6" w:rsidP="00E01538">
    <w:pPr>
      <w:pStyle w:val="AltBilgi"/>
      <w:ind w:right="360"/>
      <w:jc w:val="right"/>
    </w:pPr>
  </w:p>
  <w:p w:rsidR="00CC7075" w:rsidRDefault="00CC7075">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0502D" w:rsidRDefault="00D0502D" w:rsidP="00C01FB6">
      <w:r>
        <w:separator/>
      </w:r>
    </w:p>
  </w:footnote>
  <w:footnote w:type="continuationSeparator" w:id="0">
    <w:p w:rsidR="00D0502D" w:rsidRDefault="00D0502D" w:rsidP="00C01F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1538" w:rsidRPr="00E01538" w:rsidRDefault="00E01538" w:rsidP="00E01538">
    <w:pPr>
      <w:pStyle w:val="stBilgi"/>
      <w:rPr>
        <w:rFonts w:ascii="Times New Roman" w:hAnsi="Times New Roman" w:cs="Times New Roman"/>
        <w:b/>
        <w:sz w:val="24"/>
      </w:rPr>
    </w:pPr>
    <w:r w:rsidRPr="00E01538">
      <w:rPr>
        <w:rFonts w:ascii="Times New Roman" w:hAnsi="Times New Roman" w:cs="Times New Roman"/>
        <w:b/>
        <w:sz w:val="24"/>
      </w:rPr>
      <w:t xml:space="preserve">Esas </w:t>
    </w:r>
    <w:proofErr w:type="gramStart"/>
    <w:r w:rsidRPr="00E01538">
      <w:rPr>
        <w:rFonts w:ascii="Times New Roman" w:hAnsi="Times New Roman" w:cs="Times New Roman"/>
        <w:b/>
        <w:sz w:val="24"/>
      </w:rPr>
      <w:t>Sayısı :</w:t>
    </w:r>
    <w:proofErr w:type="gramEnd"/>
    <w:r w:rsidRPr="00E01538">
      <w:rPr>
        <w:rFonts w:ascii="Times New Roman" w:hAnsi="Times New Roman" w:cs="Times New Roman"/>
        <w:b/>
        <w:sz w:val="24"/>
      </w:rPr>
      <w:t xml:space="preserve"> 2024/31</w:t>
    </w:r>
  </w:p>
  <w:p w:rsidR="00E01538" w:rsidRDefault="00E01538" w:rsidP="00E01538">
    <w:pPr>
      <w:pStyle w:val="stBilgi"/>
      <w:rPr>
        <w:rFonts w:ascii="Times New Roman" w:hAnsi="Times New Roman" w:cs="Times New Roman"/>
        <w:b/>
        <w:sz w:val="24"/>
      </w:rPr>
    </w:pPr>
    <w:r>
      <w:rPr>
        <w:rFonts w:ascii="Times New Roman" w:hAnsi="Times New Roman" w:cs="Times New Roman"/>
        <w:b/>
        <w:sz w:val="24"/>
      </w:rPr>
      <w:t xml:space="preserve">Karar </w:t>
    </w:r>
    <w:proofErr w:type="gramStart"/>
    <w:r>
      <w:rPr>
        <w:rFonts w:ascii="Times New Roman" w:hAnsi="Times New Roman" w:cs="Times New Roman"/>
        <w:b/>
        <w:sz w:val="24"/>
      </w:rPr>
      <w:t>Sayısı :</w:t>
    </w:r>
    <w:proofErr w:type="gramEnd"/>
    <w:r>
      <w:rPr>
        <w:rFonts w:ascii="Times New Roman" w:hAnsi="Times New Roman" w:cs="Times New Roman"/>
        <w:b/>
        <w:sz w:val="24"/>
      </w:rPr>
      <w:t xml:space="preserve"> 2024/37</w:t>
    </w:r>
  </w:p>
  <w:p w:rsidR="00CC7075" w:rsidRPr="00E01538" w:rsidRDefault="00CC7075" w:rsidP="00E01538">
    <w:pPr>
      <w:pStyle w:val="stBilgi"/>
      <w:rPr>
        <w:rFonts w:ascii="Times New Roman" w:hAnsi="Times New Roman" w:cs="Times New Roman"/>
        <w:b/>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7075" w:rsidRPr="00931573" w:rsidRDefault="00CC7075" w:rsidP="00CC7075">
    <w:pPr>
      <w:tabs>
        <w:tab w:val="center" w:pos="4536"/>
        <w:tab w:val="right" w:pos="9072"/>
      </w:tabs>
      <w:suppressAutoHyphens/>
      <w:spacing w:after="200" w:line="276" w:lineRule="auto"/>
      <w:rPr>
        <w:b/>
        <w:sz w:val="20"/>
        <w:szCs w:val="20"/>
      </w:rPr>
    </w:pPr>
    <w:r w:rsidRPr="003C79E9">
      <w:rPr>
        <w:b/>
        <w:sz w:val="20"/>
        <w:szCs w:val="20"/>
        <w:lang w:eastAsia="zh-CN"/>
      </w:rPr>
      <w:t xml:space="preserve">                                                                                                                       </w:t>
    </w:r>
  </w:p>
  <w:p w:rsidR="00CC7075" w:rsidRDefault="00CC7075" w:rsidP="00CC7075">
    <w:pPr>
      <w:pStyle w:val="stBilgi"/>
    </w:pPr>
    <w:r w:rsidRPr="00931573">
      <w:rPr>
        <w:rFonts w:ascii="Times New Roman" w:hAnsi="Times New Roman" w:cs="Times New Roman"/>
        <w:b/>
        <w:sz w:val="20"/>
        <w:szCs w:val="20"/>
      </w:rPr>
      <w:tab/>
    </w:r>
    <w:r w:rsidRPr="00931573">
      <w:rPr>
        <w:rFonts w:ascii="Times New Roman" w:hAnsi="Times New Roman" w:cs="Times New Roman"/>
        <w:b/>
        <w:sz w:val="20"/>
        <w:szCs w:val="20"/>
      </w:rPr>
      <w:tab/>
    </w:r>
  </w:p>
  <w:p w:rsidR="00CC7075" w:rsidRDefault="00CC707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12551C"/>
    <w:rsid w:val="001316F6"/>
    <w:rsid w:val="001A5048"/>
    <w:rsid w:val="002073EB"/>
    <w:rsid w:val="004A0E6F"/>
    <w:rsid w:val="004F129D"/>
    <w:rsid w:val="006929E4"/>
    <w:rsid w:val="006D3F10"/>
    <w:rsid w:val="00952B5F"/>
    <w:rsid w:val="00985194"/>
    <w:rsid w:val="00B46B51"/>
    <w:rsid w:val="00C01FB6"/>
    <w:rsid w:val="00CC7075"/>
    <w:rsid w:val="00D0502D"/>
    <w:rsid w:val="00DC1D45"/>
    <w:rsid w:val="00E01538"/>
    <w:rsid w:val="00EC656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AA49437-2247-4C86-8CB1-75118BF0C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rsid w:val="00C01FB6"/>
    <w:pPr>
      <w:tabs>
        <w:tab w:val="center" w:pos="4536"/>
        <w:tab w:val="right" w:pos="9072"/>
      </w:tabs>
    </w:pPr>
  </w:style>
  <w:style w:type="character" w:customStyle="1" w:styleId="AltBilgiChar">
    <w:name w:val="Alt Bilgi Char"/>
    <w:link w:val="AltBilgi"/>
    <w:uiPriority w:val="99"/>
    <w:rsid w:val="00C01FB6"/>
    <w:rPr>
      <w:sz w:val="24"/>
      <w:szCs w:val="24"/>
    </w:rPr>
  </w:style>
  <w:style w:type="paragraph" w:styleId="stBilgi">
    <w:name w:val="header"/>
    <w:basedOn w:val="Normal"/>
    <w:link w:val="stBilgiChar"/>
    <w:uiPriority w:val="99"/>
    <w:unhideWhenUsed/>
    <w:rsid w:val="00C01FB6"/>
    <w:pPr>
      <w:tabs>
        <w:tab w:val="center" w:pos="4536"/>
        <w:tab w:val="right" w:pos="9072"/>
      </w:tabs>
    </w:pPr>
    <w:rPr>
      <w:rFonts w:ascii="Calibri" w:eastAsia="Calibri" w:hAnsi="Calibri" w:cs="Arial"/>
      <w:sz w:val="22"/>
      <w:szCs w:val="22"/>
      <w:lang w:eastAsia="en-US"/>
    </w:rPr>
  </w:style>
  <w:style w:type="character" w:customStyle="1" w:styleId="stBilgiChar">
    <w:name w:val="Üst Bilgi Char"/>
    <w:link w:val="stBilgi"/>
    <w:uiPriority w:val="99"/>
    <w:rsid w:val="00C01FB6"/>
    <w:rPr>
      <w:rFonts w:ascii="Calibri" w:eastAsia="Calibri" w:hAnsi="Calibri" w:cs="Arial"/>
      <w:sz w:val="22"/>
      <w:szCs w:val="22"/>
      <w:lang w:eastAsia="en-US"/>
    </w:rPr>
  </w:style>
  <w:style w:type="character" w:styleId="SayfaNumaras">
    <w:name w:val="page number"/>
    <w:basedOn w:val="VarsaylanParagrafYazTipi"/>
    <w:rsid w:val="00E015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559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887</Words>
  <Characters>5061</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5937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dcterms:created xsi:type="dcterms:W3CDTF">2024-03-27T05:57:00Z</dcterms:created>
  <dcterms:modified xsi:type="dcterms:W3CDTF">2024-03-27T05:57:00Z</dcterms:modified>
</cp:coreProperties>
</file>