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CF6" w:rsidRDefault="00407CF6" w:rsidP="00C05F9E">
      <w:pPr>
        <w:spacing w:after="200"/>
        <w:ind w:right="283"/>
        <w:jc w:val="center"/>
        <w:rPr>
          <w:rFonts w:eastAsia="Calibri"/>
          <w:b/>
          <w:bCs/>
          <w:caps/>
          <w:color w:val="010000"/>
        </w:rPr>
      </w:pPr>
      <w:bookmarkStart w:id="0" w:name="_Hlk170373908"/>
      <w:r w:rsidRPr="00C05F9E">
        <w:rPr>
          <w:rFonts w:eastAsia="Calibri"/>
          <w:b/>
          <w:bCs/>
          <w:caps/>
          <w:color w:val="010000"/>
        </w:rPr>
        <w:t>ANAYASA MAHKEMESİ KARARI</w:t>
      </w:r>
    </w:p>
    <w:p w:rsidR="00C05F9E" w:rsidRPr="00C05F9E" w:rsidRDefault="00C05F9E" w:rsidP="00C05F9E">
      <w:pPr>
        <w:spacing w:after="200"/>
        <w:ind w:right="283" w:firstLine="709"/>
        <w:jc w:val="center"/>
        <w:rPr>
          <w:rFonts w:eastAsia="Calibri"/>
          <w:b/>
          <w:bCs/>
          <w:caps/>
          <w:color w:val="010000"/>
        </w:rPr>
      </w:pPr>
    </w:p>
    <w:p w:rsidR="00C05F9E" w:rsidRDefault="00C05F9E" w:rsidP="00C05F9E">
      <w:pPr>
        <w:pStyle w:val="AralkYok"/>
        <w:rPr>
          <w:rFonts w:ascii="Times New Roman" w:eastAsia="Calibri" w:hAnsi="Times New Roman"/>
          <w:b/>
          <w:bCs/>
          <w:color w:val="010000"/>
          <w:szCs w:val="24"/>
        </w:rPr>
      </w:pPr>
      <w:bookmarkStart w:id="1" w:name="_Hlk183012312"/>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2023/80</w:t>
      </w:r>
    </w:p>
    <w:p w:rsidR="00C05F9E" w:rsidRDefault="00C05F9E" w:rsidP="00C05F9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2024/142</w:t>
      </w:r>
    </w:p>
    <w:p w:rsidR="00C05F9E" w:rsidRDefault="00C05F9E" w:rsidP="00C05F9E">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23/7/2024</w:t>
      </w:r>
    </w:p>
    <w:p w:rsidR="00C05F9E" w:rsidRDefault="00C05F9E" w:rsidP="00C05F9E">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10/12/2024-32748</w:t>
      </w:r>
    </w:p>
    <w:p w:rsidR="002E29D6" w:rsidRPr="00C05F9E" w:rsidRDefault="002E29D6" w:rsidP="00C05F9E">
      <w:pPr>
        <w:pStyle w:val="AralkYok"/>
        <w:rPr>
          <w:rFonts w:ascii="Times New Roman" w:hAnsi="Times New Roman"/>
          <w:b/>
          <w:bCs/>
          <w:color w:val="010000"/>
          <w:szCs w:val="24"/>
        </w:rPr>
      </w:pPr>
    </w:p>
    <w:bookmarkEnd w:id="1"/>
    <w:p w:rsidR="00407CF6" w:rsidRPr="00C05F9E" w:rsidRDefault="00407CF6" w:rsidP="00C05F9E">
      <w:pPr>
        <w:spacing w:after="200"/>
        <w:ind w:right="283" w:firstLine="709"/>
        <w:jc w:val="both"/>
        <w:rPr>
          <w:rFonts w:eastAsia="Calibri"/>
          <w:color w:val="010000"/>
        </w:rPr>
      </w:pPr>
      <w:r w:rsidRPr="00C05F9E">
        <w:rPr>
          <w:rFonts w:eastAsia="Calibri"/>
          <w:b/>
          <w:bCs/>
          <w:color w:val="010000"/>
        </w:rPr>
        <w:t xml:space="preserve">İTİRAZ YOLUNA BAŞVURAN: </w:t>
      </w:r>
      <w:r w:rsidRPr="00C05F9E">
        <w:rPr>
          <w:rFonts w:eastAsia="Calibri"/>
          <w:color w:val="010000"/>
        </w:rPr>
        <w:t>İstanbul Bölge İdare Mahkemesi 7. İdari Dava Dairesi</w:t>
      </w:r>
    </w:p>
    <w:p w:rsidR="00407CF6" w:rsidRPr="00C05F9E" w:rsidRDefault="00407CF6" w:rsidP="00C05F9E">
      <w:pPr>
        <w:spacing w:after="200"/>
        <w:ind w:right="283" w:firstLine="709"/>
        <w:jc w:val="both"/>
        <w:rPr>
          <w:rFonts w:eastAsia="Calibri"/>
          <w:b/>
          <w:bCs/>
          <w:color w:val="010000"/>
        </w:rPr>
      </w:pPr>
      <w:r w:rsidRPr="00C05F9E">
        <w:rPr>
          <w:rFonts w:eastAsia="Calibri"/>
          <w:b/>
          <w:bCs/>
          <w:color w:val="010000"/>
        </w:rPr>
        <w:t xml:space="preserve">İTİRAZIN KONUSU: </w:t>
      </w:r>
      <w:bookmarkStart w:id="2" w:name="_Hlk89701569"/>
      <w:bookmarkStart w:id="3" w:name="_Hlk127197016"/>
      <w:bookmarkStart w:id="4" w:name="_Hlk88148555"/>
      <w:bookmarkStart w:id="5" w:name="_Hlk88139626"/>
      <w:bookmarkStart w:id="6" w:name="_Hlk74410179"/>
      <w:r w:rsidRPr="00C05F9E">
        <w:rPr>
          <w:rFonts w:eastAsia="Calibri"/>
          <w:bCs/>
          <w:color w:val="010000"/>
        </w:rPr>
        <w:t xml:space="preserve">11/4/1928 tarihli ve 1219 sayılı Tababet ve </w:t>
      </w:r>
      <w:proofErr w:type="spellStart"/>
      <w:r w:rsidRPr="00C05F9E">
        <w:rPr>
          <w:rFonts w:eastAsia="Calibri"/>
          <w:bCs/>
          <w:color w:val="010000"/>
        </w:rPr>
        <w:t>Şuabatı</w:t>
      </w:r>
      <w:proofErr w:type="spellEnd"/>
      <w:r w:rsidRPr="00C05F9E">
        <w:rPr>
          <w:rFonts w:eastAsia="Calibri"/>
          <w:bCs/>
          <w:color w:val="010000"/>
        </w:rPr>
        <w:t xml:space="preserve"> </w:t>
      </w:r>
      <w:proofErr w:type="spellStart"/>
      <w:r w:rsidRPr="00C05F9E">
        <w:rPr>
          <w:rFonts w:eastAsia="Calibri"/>
          <w:bCs/>
          <w:color w:val="010000"/>
        </w:rPr>
        <w:t>San'atlarının</w:t>
      </w:r>
      <w:proofErr w:type="spellEnd"/>
      <w:r w:rsidRPr="00C05F9E">
        <w:rPr>
          <w:rFonts w:eastAsia="Calibri"/>
          <w:bCs/>
          <w:color w:val="010000"/>
        </w:rPr>
        <w:t xml:space="preserve"> Tarzı İcrasına Dair Kanun’un 23/1/2008 tarihli ve 5728 sayılı Kanun’un 25. maddesiyle değiştirilen 28. maddesinin Anayasa’nın 20. ve 49. maddelerine aykırılığı ileri sürülerek iptaline karar verilmesi talebidir</w:t>
      </w:r>
      <w:r w:rsidRPr="00C05F9E">
        <w:rPr>
          <w:rFonts w:eastAsia="Calibri"/>
          <w:b/>
          <w:bCs/>
          <w:color w:val="010000"/>
        </w:rPr>
        <w:t>.</w:t>
      </w:r>
      <w:bookmarkEnd w:id="2"/>
      <w:bookmarkEnd w:id="3"/>
      <w:bookmarkEnd w:id="4"/>
      <w:bookmarkEnd w:id="5"/>
      <w:bookmarkEnd w:id="6"/>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 xml:space="preserve">OLAY: </w:t>
      </w:r>
      <w:r w:rsidRPr="00C05F9E">
        <w:rPr>
          <w:rFonts w:eastAsia="Calibri"/>
          <w:color w:val="010000"/>
        </w:rPr>
        <w:t>Çalışma izni talebinin reddine ilişkin işlemin iptali istemiyle açılan davada itiraz konusu kuralın Anayasa’ya aykırı olduğu kanısına varan Mahkeme, iptali için başvurmuştur.</w:t>
      </w:r>
    </w:p>
    <w:p w:rsidR="00407CF6" w:rsidRPr="00C05F9E" w:rsidRDefault="00407CF6" w:rsidP="00C05F9E">
      <w:pPr>
        <w:spacing w:after="200"/>
        <w:ind w:right="283" w:firstLine="709"/>
        <w:jc w:val="both"/>
        <w:rPr>
          <w:rFonts w:eastAsia="Calibri"/>
          <w:b/>
          <w:bCs/>
          <w:color w:val="010000"/>
        </w:rPr>
      </w:pPr>
      <w:r w:rsidRPr="00C05F9E">
        <w:rPr>
          <w:rFonts w:eastAsia="Calibri"/>
          <w:b/>
          <w:color w:val="010000"/>
        </w:rPr>
        <w:t xml:space="preserve">I. </w:t>
      </w:r>
      <w:r w:rsidRPr="00C05F9E">
        <w:rPr>
          <w:rFonts w:eastAsia="Calibri"/>
          <w:b/>
          <w:bCs/>
          <w:color w:val="010000"/>
        </w:rPr>
        <w:t>İPTALİ İSTENEN VE İLGİLİ GÖRÜLEN KANUN HÜKÜMLERİ</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A. İptali İstenen Kanun Hükmü</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Kanun’un itiraz konusu 28. maddesi şöyledir:</w:t>
      </w:r>
    </w:p>
    <w:p w:rsidR="00407CF6" w:rsidRPr="00C05F9E" w:rsidRDefault="00C05F9E" w:rsidP="00C05F9E">
      <w:pPr>
        <w:spacing w:after="200"/>
        <w:ind w:right="283" w:firstLine="709"/>
        <w:jc w:val="both"/>
        <w:rPr>
          <w:rFonts w:eastAsia="Calibri"/>
          <w:b/>
          <w:i/>
          <w:color w:val="010000"/>
          <w:szCs w:val="22"/>
        </w:rPr>
      </w:pPr>
      <w:r w:rsidRPr="00C05F9E">
        <w:rPr>
          <w:rFonts w:eastAsia="Calibri"/>
          <w:i/>
          <w:color w:val="010000"/>
          <w:szCs w:val="22"/>
        </w:rPr>
        <w:t xml:space="preserve"> </w:t>
      </w:r>
      <w:r w:rsidR="00407CF6" w:rsidRPr="00C05F9E">
        <w:rPr>
          <w:rFonts w:eastAsia="Calibri"/>
          <w:i/>
          <w:color w:val="010000"/>
          <w:szCs w:val="22"/>
        </w:rPr>
        <w:t>“</w:t>
      </w:r>
      <w:bookmarkStart w:id="7" w:name="_Hlk84429009"/>
      <w:r w:rsidR="00407CF6" w:rsidRPr="00C05F9E">
        <w:rPr>
          <w:rFonts w:eastAsia="Calibri"/>
          <w:b/>
          <w:i/>
          <w:color w:val="010000"/>
          <w:szCs w:val="22"/>
        </w:rPr>
        <w:t xml:space="preserve">Madde 28 – </w:t>
      </w:r>
      <w:r w:rsidR="00407CF6" w:rsidRPr="00C05F9E">
        <w:rPr>
          <w:rFonts w:eastAsia="Calibri"/>
          <w:i/>
          <w:color w:val="010000"/>
          <w:szCs w:val="22"/>
        </w:rPr>
        <w:t xml:space="preserve">(Değişik: 23/1/2008-5728/25 </w:t>
      </w:r>
      <w:proofErr w:type="spellStart"/>
      <w:r w:rsidR="00407CF6" w:rsidRPr="00C05F9E">
        <w:rPr>
          <w:rFonts w:eastAsia="Calibri"/>
          <w:i/>
          <w:color w:val="010000"/>
          <w:szCs w:val="22"/>
        </w:rPr>
        <w:t>md.</w:t>
      </w:r>
      <w:proofErr w:type="spellEnd"/>
      <w:r w:rsidR="00407CF6" w:rsidRPr="00C05F9E">
        <w:rPr>
          <w:rFonts w:eastAsia="Calibri"/>
          <w:i/>
          <w:color w:val="010000"/>
          <w:szCs w:val="22"/>
        </w:rPr>
        <w:t>)</w:t>
      </w:r>
      <w:r w:rsidR="00407CF6" w:rsidRPr="00C05F9E">
        <w:rPr>
          <w:rFonts w:eastAsia="Calibri"/>
          <w:b/>
          <w:i/>
          <w:color w:val="010000"/>
          <w:szCs w:val="22"/>
        </w:rPr>
        <w:t xml:space="preserve"> </w:t>
      </w:r>
    </w:p>
    <w:p w:rsidR="00407CF6" w:rsidRPr="00C05F9E" w:rsidRDefault="00407CF6" w:rsidP="00C05F9E">
      <w:pPr>
        <w:spacing w:after="200"/>
        <w:ind w:right="283" w:firstLine="709"/>
        <w:jc w:val="both"/>
        <w:rPr>
          <w:rFonts w:eastAsia="Calibri"/>
          <w:b/>
          <w:i/>
          <w:color w:val="010000"/>
          <w:szCs w:val="22"/>
        </w:rPr>
      </w:pPr>
      <w:r w:rsidRPr="00C05F9E">
        <w:rPr>
          <w:rFonts w:eastAsia="Calibri"/>
          <w:b/>
          <w:i/>
          <w:color w:val="010000"/>
          <w:szCs w:val="22"/>
        </w:rPr>
        <w:t>Hekimlik mesleğinin icrası için; Türk Ceza Kanununun 53 üncü maddesinde belirtilen süreler geçmiş olsa bile; kasten işlenen bir suçtan dolayı beş yıl veya daha fazla süreyle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p>
    <w:p w:rsidR="00407CF6" w:rsidRPr="00C05F9E" w:rsidRDefault="00407CF6" w:rsidP="00C05F9E">
      <w:pPr>
        <w:spacing w:after="200"/>
        <w:ind w:right="283" w:firstLine="709"/>
        <w:jc w:val="both"/>
        <w:rPr>
          <w:rFonts w:eastAsia="Calibri"/>
          <w:b/>
          <w:i/>
          <w:color w:val="010000"/>
          <w:szCs w:val="22"/>
        </w:rPr>
      </w:pPr>
      <w:r w:rsidRPr="00C05F9E">
        <w:rPr>
          <w:rFonts w:eastAsia="Calibri"/>
          <w:b/>
          <w:i/>
          <w:color w:val="010000"/>
          <w:szCs w:val="22"/>
        </w:rPr>
        <w:t xml:space="preserve">İcrayı sanat etmesine </w:t>
      </w:r>
      <w:proofErr w:type="gramStart"/>
      <w:r w:rsidRPr="00C05F9E">
        <w:rPr>
          <w:rFonts w:eastAsia="Calibri"/>
          <w:b/>
          <w:i/>
          <w:color w:val="010000"/>
          <w:szCs w:val="22"/>
        </w:rPr>
        <w:t>mani</w:t>
      </w:r>
      <w:proofErr w:type="gramEnd"/>
      <w:r w:rsidRPr="00C05F9E">
        <w:rPr>
          <w:rFonts w:eastAsia="Calibri"/>
          <w:b/>
          <w:i/>
          <w:color w:val="010000"/>
          <w:szCs w:val="22"/>
        </w:rPr>
        <w:t xml:space="preserve"> ve </w:t>
      </w:r>
      <w:proofErr w:type="spellStart"/>
      <w:r w:rsidRPr="00C05F9E">
        <w:rPr>
          <w:rFonts w:eastAsia="Calibri"/>
          <w:b/>
          <w:i/>
          <w:color w:val="010000"/>
          <w:szCs w:val="22"/>
        </w:rPr>
        <w:t>gayrıkabili</w:t>
      </w:r>
      <w:proofErr w:type="spellEnd"/>
      <w:r w:rsidRPr="00C05F9E">
        <w:rPr>
          <w:rFonts w:eastAsia="Calibri"/>
          <w:b/>
          <w:i/>
          <w:color w:val="010000"/>
          <w:szCs w:val="22"/>
        </w:rPr>
        <w:t xml:space="preserve"> şifa bir marazı aklı ile malul olduğu </w:t>
      </w:r>
      <w:proofErr w:type="spellStart"/>
      <w:r w:rsidRPr="00C05F9E">
        <w:rPr>
          <w:rFonts w:eastAsia="Calibri"/>
          <w:b/>
          <w:i/>
          <w:color w:val="010000"/>
          <w:szCs w:val="22"/>
        </w:rPr>
        <w:t>bilmuayene</w:t>
      </w:r>
      <w:proofErr w:type="spellEnd"/>
      <w:r w:rsidRPr="00C05F9E">
        <w:rPr>
          <w:rFonts w:eastAsia="Calibri"/>
          <w:b/>
          <w:i/>
          <w:color w:val="010000"/>
          <w:szCs w:val="22"/>
        </w:rPr>
        <w:t xml:space="preserve"> tebeyyün eden tabipler, Sağlık Bakanlığının teklifi ve Sağlık Bakanlığı Yüksek Disiplin Kurulu kararıyla icrayı sanattan menolunur ve diplomaları geri alınır. </w:t>
      </w:r>
    </w:p>
    <w:p w:rsidR="00407CF6" w:rsidRPr="00C05F9E" w:rsidRDefault="00C05F9E" w:rsidP="00C05F9E">
      <w:pPr>
        <w:spacing w:after="200"/>
        <w:ind w:right="283" w:firstLine="709"/>
        <w:jc w:val="both"/>
        <w:rPr>
          <w:rFonts w:eastAsia="Calibri"/>
          <w:b/>
          <w:i/>
          <w:color w:val="010000"/>
          <w:szCs w:val="22"/>
        </w:rPr>
      </w:pPr>
      <w:r w:rsidRPr="00C05F9E">
        <w:rPr>
          <w:rFonts w:eastAsia="Calibri"/>
          <w:i/>
          <w:color w:val="010000"/>
          <w:szCs w:val="22"/>
        </w:rPr>
        <w:t xml:space="preserve"> </w:t>
      </w:r>
      <w:r w:rsidR="00407CF6" w:rsidRPr="00C05F9E">
        <w:rPr>
          <w:rFonts w:eastAsia="Calibri"/>
          <w:i/>
          <w:color w:val="010000"/>
          <w:szCs w:val="22"/>
        </w:rPr>
        <w:t xml:space="preserve">(Ek fıkra: 15/8/2017-KHK-694/5 </w:t>
      </w:r>
      <w:proofErr w:type="spellStart"/>
      <w:r w:rsidR="00407CF6" w:rsidRPr="00C05F9E">
        <w:rPr>
          <w:rFonts w:eastAsia="Calibri"/>
          <w:i/>
          <w:color w:val="010000"/>
          <w:szCs w:val="22"/>
        </w:rPr>
        <w:t>md.</w:t>
      </w:r>
      <w:proofErr w:type="spellEnd"/>
      <w:r w:rsidR="00407CF6" w:rsidRPr="00C05F9E">
        <w:rPr>
          <w:rFonts w:eastAsia="Calibri"/>
          <w:i/>
          <w:color w:val="010000"/>
          <w:szCs w:val="22"/>
        </w:rPr>
        <w:t xml:space="preserve">; Aynen kabul: 1/2/2018-7078/5 </w:t>
      </w:r>
      <w:proofErr w:type="spellStart"/>
      <w:r w:rsidR="00407CF6" w:rsidRPr="00C05F9E">
        <w:rPr>
          <w:rFonts w:eastAsia="Calibri"/>
          <w:i/>
          <w:color w:val="010000"/>
          <w:szCs w:val="22"/>
        </w:rPr>
        <w:t>md.</w:t>
      </w:r>
      <w:proofErr w:type="spellEnd"/>
      <w:r w:rsidR="00407CF6" w:rsidRPr="00C05F9E">
        <w:rPr>
          <w:rFonts w:eastAsia="Calibri"/>
          <w:i/>
          <w:color w:val="010000"/>
          <w:szCs w:val="22"/>
        </w:rPr>
        <w:t>)</w:t>
      </w:r>
      <w:r w:rsidR="00407CF6" w:rsidRPr="00C05F9E">
        <w:rPr>
          <w:rFonts w:eastAsia="Calibri"/>
          <w:b/>
          <w:i/>
          <w:color w:val="010000"/>
          <w:szCs w:val="22"/>
        </w:rPr>
        <w:t xml:space="preserve"> Millî Savunma Bakanlığı ile Jandarma ve Sahil Güvenlik Akademisi nam ve hesabına tıp fakültelerinde okuyan tabip subaylardan yükümlülük süresini tamamlamadan mahkeme veya disiplin kurulu kararına dayanılarak ilişiği kesilenler, kalan yükümlülük süresince hekimlik mesleğini icra edemezler.</w:t>
      </w:r>
      <w:bookmarkEnd w:id="7"/>
      <w:r w:rsidR="00407CF6" w:rsidRPr="00C05F9E">
        <w:rPr>
          <w:rFonts w:eastAsia="Calibri"/>
          <w:i/>
          <w:color w:val="010000"/>
          <w:szCs w:val="22"/>
        </w:rPr>
        <w:t>”</w:t>
      </w:r>
    </w:p>
    <w:p w:rsidR="00407CF6" w:rsidRPr="00C05F9E" w:rsidRDefault="00407CF6" w:rsidP="00C05F9E">
      <w:pPr>
        <w:spacing w:after="200"/>
        <w:ind w:right="283" w:firstLine="709"/>
        <w:jc w:val="both"/>
        <w:rPr>
          <w:rFonts w:eastAsia="Calibri"/>
          <w:b/>
          <w:bCs/>
          <w:color w:val="010000"/>
        </w:rPr>
      </w:pPr>
      <w:r w:rsidRPr="00C05F9E">
        <w:rPr>
          <w:rFonts w:eastAsia="Calibri"/>
          <w:b/>
          <w:bCs/>
          <w:color w:val="010000"/>
        </w:rPr>
        <w:t>B. İlgili Görülen Kanun Hükmü</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25/5/2005 tarihli ve 5352 sayılı Adlî Sicil Kanunu’nun 13/A maddesinin (1) numaralı fıkrası şöyledir:</w:t>
      </w:r>
    </w:p>
    <w:p w:rsidR="00407CF6" w:rsidRPr="00C05F9E" w:rsidRDefault="00407CF6" w:rsidP="00C05F9E">
      <w:pPr>
        <w:spacing w:after="200"/>
        <w:ind w:right="283" w:firstLine="709"/>
        <w:jc w:val="both"/>
        <w:rPr>
          <w:rFonts w:eastAsia="Calibri"/>
          <w:bCs/>
          <w:i/>
          <w:color w:val="010000"/>
          <w:szCs w:val="22"/>
        </w:rPr>
      </w:pPr>
      <w:r w:rsidRPr="00C05F9E">
        <w:rPr>
          <w:rFonts w:eastAsia="Calibri"/>
          <w:bCs/>
          <w:i/>
          <w:color w:val="010000"/>
          <w:szCs w:val="22"/>
        </w:rPr>
        <w:t xml:space="preserve">“(1) 5237 sayılı Türk Ceza Kanunu dışındaki kanunların belli bir suçtan dolayı veya belli bir cezaya mahkûmiyete bağladığı hak yoksunluklarının giderilebilmesi için, yasaklanmış hakların geri verilmesi yoluna gidilebilir. Bunun için; </w:t>
      </w:r>
      <w:proofErr w:type="gramStart"/>
      <w:r w:rsidRPr="00C05F9E">
        <w:rPr>
          <w:rFonts w:eastAsia="Calibri"/>
          <w:bCs/>
          <w:i/>
          <w:color w:val="010000"/>
          <w:szCs w:val="22"/>
        </w:rPr>
        <w:t>Türk Ceza Kanununun</w:t>
      </w:r>
      <w:proofErr w:type="gramEnd"/>
      <w:r w:rsidRPr="00C05F9E">
        <w:rPr>
          <w:rFonts w:eastAsia="Calibri"/>
          <w:bCs/>
          <w:i/>
          <w:color w:val="010000"/>
          <w:szCs w:val="22"/>
        </w:rPr>
        <w:t xml:space="preserve"> 53 üncü maddesinin beşinci ve altıncı fıkraları saklı kalmak kaydıyla, </w:t>
      </w:r>
    </w:p>
    <w:p w:rsidR="00407CF6" w:rsidRPr="00C05F9E" w:rsidRDefault="00407CF6" w:rsidP="00C05F9E">
      <w:pPr>
        <w:spacing w:after="200"/>
        <w:ind w:right="283" w:firstLine="709"/>
        <w:jc w:val="both"/>
        <w:rPr>
          <w:rFonts w:eastAsia="Calibri"/>
          <w:bCs/>
          <w:i/>
          <w:color w:val="010000"/>
          <w:szCs w:val="22"/>
        </w:rPr>
      </w:pPr>
      <w:r w:rsidRPr="00C05F9E">
        <w:rPr>
          <w:rFonts w:eastAsia="Calibri"/>
          <w:bCs/>
          <w:i/>
          <w:color w:val="010000"/>
          <w:szCs w:val="22"/>
        </w:rPr>
        <w:lastRenderedPageBreak/>
        <w:t xml:space="preserve">a) Mahkûm olunan cezanın infazının tamamlandığı tarihten itibaren üç yıllık bir sürenin geçmiş olması, </w:t>
      </w:r>
    </w:p>
    <w:p w:rsidR="00407CF6" w:rsidRPr="00C05F9E" w:rsidRDefault="00407CF6" w:rsidP="00C05F9E">
      <w:pPr>
        <w:spacing w:after="200"/>
        <w:ind w:right="283" w:firstLine="709"/>
        <w:jc w:val="both"/>
        <w:rPr>
          <w:rFonts w:eastAsia="Calibri"/>
          <w:bCs/>
          <w:i/>
          <w:color w:val="010000"/>
          <w:szCs w:val="22"/>
        </w:rPr>
      </w:pPr>
      <w:r w:rsidRPr="00C05F9E">
        <w:rPr>
          <w:rFonts w:eastAsia="Calibri"/>
          <w:bCs/>
          <w:i/>
          <w:color w:val="010000"/>
          <w:szCs w:val="22"/>
        </w:rPr>
        <w:t xml:space="preserve">b) Kişinin bu süre zarfında yeni bir suç işlememiş olması ve hayatını iyi halli olarak sürdürdüğü hususunda mahkemede bir kanaat oluşması, </w:t>
      </w:r>
    </w:p>
    <w:p w:rsidR="00407CF6" w:rsidRPr="00C05F9E" w:rsidRDefault="00407CF6" w:rsidP="00C05F9E">
      <w:pPr>
        <w:spacing w:after="200"/>
        <w:ind w:right="283" w:firstLine="709"/>
        <w:jc w:val="both"/>
        <w:rPr>
          <w:rFonts w:eastAsia="Calibri"/>
          <w:bCs/>
          <w:i/>
          <w:color w:val="010000"/>
          <w:szCs w:val="22"/>
        </w:rPr>
      </w:pPr>
      <w:proofErr w:type="gramStart"/>
      <w:r w:rsidRPr="00C05F9E">
        <w:rPr>
          <w:rFonts w:eastAsia="Calibri"/>
          <w:bCs/>
          <w:i/>
          <w:color w:val="010000"/>
          <w:szCs w:val="22"/>
        </w:rPr>
        <w:t>gerekir</w:t>
      </w:r>
      <w:proofErr w:type="gramEnd"/>
      <w:r w:rsidRPr="00C05F9E">
        <w:rPr>
          <w:rFonts w:eastAsia="Calibri"/>
          <w:bCs/>
          <w:i/>
          <w:color w:val="010000"/>
          <w:szCs w:val="22"/>
        </w:rPr>
        <w:t>.”</w:t>
      </w:r>
    </w:p>
    <w:p w:rsidR="00407CF6" w:rsidRPr="00C05F9E" w:rsidRDefault="00407CF6" w:rsidP="00C05F9E">
      <w:pPr>
        <w:spacing w:after="200"/>
        <w:ind w:right="283" w:firstLine="709"/>
        <w:jc w:val="both"/>
        <w:rPr>
          <w:rFonts w:eastAsia="Calibri"/>
          <w:b/>
          <w:bCs/>
          <w:color w:val="010000"/>
        </w:rPr>
      </w:pPr>
      <w:r w:rsidRPr="00C05F9E">
        <w:rPr>
          <w:rFonts w:eastAsia="Calibri"/>
          <w:b/>
          <w:bCs/>
          <w:color w:val="010000"/>
        </w:rPr>
        <w:t>II. İLK İNCELEME</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1. Anayasa Mahkemesi İçtüzüğü hükümleri uyarınca Zühtü ARSLAN, Kadir ÖZKAYA, Engin YILDIRIM, M. Emin KUZ, Recai AKYEL, Yusuf Şevki HAKYEMEZ, Yıldız SEFERİNOĞLU, Selahaddin MENTEŞ, Basri BAĞCI, İrfan FİDAN, Kenan YAŞAR ve Muhterem </w:t>
      </w:r>
      <w:proofErr w:type="spellStart"/>
      <w:r w:rsidRPr="00C05F9E">
        <w:rPr>
          <w:rFonts w:eastAsia="Calibri"/>
          <w:color w:val="010000"/>
        </w:rPr>
        <w:t>İNCE’nin</w:t>
      </w:r>
      <w:proofErr w:type="spellEnd"/>
      <w:r w:rsidRPr="00C05F9E">
        <w:rPr>
          <w:rFonts w:eastAsia="Calibri"/>
          <w:color w:val="010000"/>
        </w:rPr>
        <w:t xml:space="preserve"> katılımlarıyla 4/5/2023 tarihinde</w:t>
      </w:r>
      <w:r w:rsidR="00C05F9E" w:rsidRPr="00C05F9E">
        <w:rPr>
          <w:rFonts w:eastAsia="Calibri"/>
          <w:color w:val="010000"/>
        </w:rPr>
        <w:t xml:space="preserve"> </w:t>
      </w:r>
      <w:r w:rsidRPr="00C05F9E">
        <w:rPr>
          <w:rFonts w:eastAsia="Calibri"/>
          <w:color w:val="010000"/>
        </w:rPr>
        <w:t>yapılan ilk inceleme toplantısında</w:t>
      </w:r>
      <w:r w:rsidR="00C05F9E" w:rsidRPr="00C05F9E">
        <w:rPr>
          <w:rFonts w:eastAsia="Calibri"/>
          <w:color w:val="010000"/>
        </w:rPr>
        <w:t xml:space="preserve"> </w:t>
      </w:r>
      <w:r w:rsidRPr="00C05F9E">
        <w:rPr>
          <w:rFonts w:eastAsia="Calibri"/>
          <w:color w:val="010000"/>
        </w:rPr>
        <w:t>öncelikle uygulanacak kural ve sınırlama sorunları görüşülmüştür.</w:t>
      </w:r>
    </w:p>
    <w:p w:rsidR="00407CF6" w:rsidRPr="00C05F9E" w:rsidRDefault="00407CF6" w:rsidP="00C05F9E">
      <w:pPr>
        <w:spacing w:after="200"/>
        <w:ind w:right="283" w:firstLine="709"/>
        <w:jc w:val="both"/>
        <w:rPr>
          <w:rFonts w:eastAsia="Calibri"/>
          <w:color w:val="010000"/>
        </w:rPr>
      </w:pPr>
      <w:r w:rsidRPr="00C05F9E">
        <w:rPr>
          <w:rFonts w:eastAsia="Calibri"/>
          <w:color w:val="010000"/>
          <w:spacing w:val="-2"/>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3. 1219 sayılı Kanun’un itiraz konusu 28. maddesinin birinci fıkrasında hekimlik mesleğinin icrası için 26/9/2004 tarihli ve 5237 sayılı Türk Ceza Kanunu’nun 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olmamak gerektiği ifade edilmiştir. </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4. Başvuran Mahkemede görülmekte olan davanın konusu anayasal düzene ve bu düzenin işleyişine karşı suçlar arasında yer alan silahlı örgüte üye olma suçundan hüküm giyen davacının çalışma izni talebinin reddine ilişkindir.</w:t>
      </w:r>
    </w:p>
    <w:p w:rsidR="00407CF6" w:rsidRPr="00C05F9E" w:rsidRDefault="00407CF6" w:rsidP="00C05F9E">
      <w:pPr>
        <w:spacing w:after="200"/>
        <w:ind w:right="283" w:firstLine="709"/>
        <w:jc w:val="both"/>
        <w:rPr>
          <w:rFonts w:eastAsia="Calibri"/>
          <w:i/>
          <w:color w:val="010000"/>
        </w:rPr>
      </w:pPr>
      <w:r w:rsidRPr="00C05F9E">
        <w:rPr>
          <w:rFonts w:eastAsia="Calibri"/>
          <w:color w:val="010000"/>
        </w:rPr>
        <w:t xml:space="preserve">5. Bakılmakta olan davanın konusu gözetildiğinde itiraz konusu kuralın birinci fıkrasının </w:t>
      </w:r>
      <w:r w:rsidRPr="00C05F9E">
        <w:rPr>
          <w:rFonts w:eastAsia="Calibri"/>
          <w:i/>
          <w:color w:val="010000"/>
        </w:rPr>
        <w:t xml:space="preserve">“Hekimlik mesleğinin icrası için; Türk Ceza Kanununun 53 üncü maddesinde belirtilen süreler geçmiş olsa </w:t>
      </w:r>
      <w:proofErr w:type="gramStart"/>
      <w:r w:rsidRPr="00C05F9E">
        <w:rPr>
          <w:rFonts w:eastAsia="Calibri"/>
          <w:i/>
          <w:color w:val="010000"/>
        </w:rPr>
        <w:t>bile;…</w:t>
      </w:r>
      <w:proofErr w:type="gramEnd"/>
      <w:r w:rsidRPr="00C05F9E">
        <w:rPr>
          <w:rFonts w:eastAsia="Calibri"/>
          <w:i/>
          <w:color w:val="010000"/>
        </w:rPr>
        <w:t xml:space="preserve">” </w:t>
      </w:r>
      <w:r w:rsidRPr="00C05F9E">
        <w:rPr>
          <w:rFonts w:eastAsia="Calibri"/>
          <w:color w:val="010000"/>
        </w:rPr>
        <w:t>bölümü ile</w:t>
      </w:r>
      <w:r w:rsidRPr="00C05F9E">
        <w:rPr>
          <w:rFonts w:eastAsia="Calibri"/>
          <w:i/>
          <w:color w:val="010000"/>
        </w:rPr>
        <w:t xml:space="preserve"> “…Anayasal düzene ve bu düzenin işleyişine karşı suçlar….” </w:t>
      </w:r>
      <w:r w:rsidRPr="00C05F9E">
        <w:rPr>
          <w:rFonts w:eastAsia="Calibri"/>
          <w:color w:val="010000"/>
        </w:rPr>
        <w:t>ve</w:t>
      </w:r>
      <w:r w:rsidRPr="00C05F9E">
        <w:rPr>
          <w:rFonts w:eastAsia="Calibri"/>
          <w:i/>
          <w:color w:val="010000"/>
        </w:rPr>
        <w:t xml:space="preserve"> </w:t>
      </w:r>
      <w:bookmarkStart w:id="8" w:name="_Hlk176165923"/>
      <w:r w:rsidRPr="00C05F9E">
        <w:rPr>
          <w:rFonts w:eastAsia="Calibri"/>
          <w:i/>
          <w:color w:val="010000"/>
        </w:rPr>
        <w:t xml:space="preserve">“…hapis cezasına mahkûm olmamak gerekir.” </w:t>
      </w:r>
      <w:bookmarkEnd w:id="8"/>
      <w:r w:rsidRPr="00C05F9E">
        <w:rPr>
          <w:rFonts w:eastAsia="Calibri"/>
          <w:color w:val="010000"/>
        </w:rPr>
        <w:t>ibareleri dışında kalan kısmı ile ikinci ve üçüncü fıkralarının bakılmakta olan davada uygulanma imkânı bulunmamaktadır. Dolayısıyla kuralın birinci fıkrasının kalan kısmı ile ikinci ve üçüncü fıkralarına ilişkin başvurunun Mahkemenin yetkisizliği nedeniyle reddi gerekir.</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6. Öte yandan kuralın birinci fıkrasının </w:t>
      </w:r>
      <w:r w:rsidRPr="00C05F9E">
        <w:rPr>
          <w:rFonts w:eastAsia="Calibri"/>
          <w:i/>
          <w:color w:val="010000"/>
        </w:rPr>
        <w:t xml:space="preserve">“Hekimlik mesleğinin icrası için; Türk Ceza Kanununun 53 üncü maddesinde belirtilen süreler geçmiş olsa </w:t>
      </w:r>
      <w:proofErr w:type="gramStart"/>
      <w:r w:rsidRPr="00C05F9E">
        <w:rPr>
          <w:rFonts w:eastAsia="Calibri"/>
          <w:i/>
          <w:color w:val="010000"/>
        </w:rPr>
        <w:t>bile;…</w:t>
      </w:r>
      <w:proofErr w:type="gramEnd"/>
      <w:r w:rsidRPr="00C05F9E">
        <w:rPr>
          <w:rFonts w:eastAsia="Calibri"/>
          <w:i/>
          <w:color w:val="010000"/>
        </w:rPr>
        <w:t xml:space="preserve">” </w:t>
      </w:r>
      <w:r w:rsidRPr="00C05F9E">
        <w:rPr>
          <w:rFonts w:eastAsia="Calibri"/>
          <w:color w:val="010000"/>
        </w:rPr>
        <w:t>bölümü ile</w:t>
      </w:r>
      <w:r w:rsidRPr="00C05F9E">
        <w:rPr>
          <w:rFonts w:eastAsia="Calibri"/>
          <w:i/>
          <w:color w:val="010000"/>
        </w:rPr>
        <w:t xml:space="preserve">“…hapis cezasına mahkûm olmamak gerekir.” </w:t>
      </w:r>
      <w:r w:rsidRPr="00C05F9E">
        <w:rPr>
          <w:rFonts w:eastAsia="Calibri"/>
          <w:color w:val="010000"/>
        </w:rPr>
        <w:t>ibareleri, bakılmakta olan davanın konusu olan</w:t>
      </w:r>
      <w:r w:rsidR="00C05F9E" w:rsidRPr="00C05F9E">
        <w:rPr>
          <w:rFonts w:eastAsia="Calibri"/>
          <w:bCs/>
          <w:i/>
          <w:color w:val="010000"/>
        </w:rPr>
        <w:t xml:space="preserve"> </w:t>
      </w:r>
      <w:r w:rsidRPr="00C05F9E">
        <w:rPr>
          <w:rFonts w:eastAsia="Calibri"/>
          <w:i/>
          <w:color w:val="010000"/>
        </w:rPr>
        <w:t>Anayasal düzene ve bu düzenin işleyişine karşı suçlar</w:t>
      </w:r>
      <w:r w:rsidRPr="00C05F9E">
        <w:rPr>
          <w:rFonts w:eastAsia="Calibri"/>
          <w:color w:val="010000"/>
        </w:rPr>
        <w:t>ın</w:t>
      </w:r>
      <w:r w:rsidRPr="00C05F9E">
        <w:rPr>
          <w:rFonts w:eastAsia="Calibri"/>
          <w:bCs/>
          <w:color w:val="010000"/>
        </w:rPr>
        <w:t xml:space="preserve"> </w:t>
      </w:r>
      <w:r w:rsidRPr="00C05F9E">
        <w:rPr>
          <w:rFonts w:eastAsia="Calibri"/>
          <w:color w:val="010000"/>
        </w:rPr>
        <w:t xml:space="preserve">yanı sıra dava konusu olmayan diğer suçlar yönünden de geçerli ortak kural niteliğindedir. Bu itibarla anılan bölüm ve ibarelerin esasına ilişkin </w:t>
      </w:r>
      <w:r w:rsidRPr="00C05F9E">
        <w:rPr>
          <w:rFonts w:eastAsia="Calibri"/>
          <w:color w:val="010000"/>
        </w:rPr>
        <w:lastRenderedPageBreak/>
        <w:t xml:space="preserve">incelemenin </w:t>
      </w:r>
      <w:r w:rsidRPr="00C05F9E">
        <w:rPr>
          <w:rFonts w:eastAsia="Calibri"/>
          <w:i/>
          <w:color w:val="010000"/>
        </w:rPr>
        <w:t>“…Anayasal düzene ve bu düzenin işleyişine karşı suçlar…”</w:t>
      </w:r>
      <w:r w:rsidRPr="00C05F9E">
        <w:rPr>
          <w:rFonts w:eastAsia="Calibri"/>
          <w:color w:val="010000"/>
        </w:rPr>
        <w:t xml:space="preserve"> ibaresiyle sınırlı olarak yapılması gerekir.</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7. Açıklanan nedenlerle 1219 sayılı</w:t>
      </w:r>
      <w:r w:rsidRPr="00C05F9E">
        <w:rPr>
          <w:rFonts w:eastAsia="Calibri"/>
          <w:bCs/>
          <w:color w:val="010000"/>
        </w:rPr>
        <w:t xml:space="preserve"> Kanun</w:t>
      </w:r>
      <w:r w:rsidRPr="00C05F9E">
        <w:rPr>
          <w:rFonts w:eastAsia="Calibri"/>
          <w:color w:val="010000"/>
        </w:rPr>
        <w:t xml:space="preserve">’un 5728 sayılı </w:t>
      </w:r>
      <w:r w:rsidRPr="00C05F9E">
        <w:rPr>
          <w:rFonts w:eastAsia="Calibri"/>
          <w:bCs/>
          <w:color w:val="010000"/>
        </w:rPr>
        <w:t>Kanun’un 25. maddesiyle değiştirilen</w:t>
      </w:r>
      <w:r w:rsidRPr="00C05F9E">
        <w:rPr>
          <w:rFonts w:eastAsia="Calibri"/>
          <w:color w:val="010000"/>
        </w:rPr>
        <w:t xml:space="preserve"> 28. maddesinin;</w:t>
      </w:r>
    </w:p>
    <w:p w:rsidR="00407CF6" w:rsidRPr="00C05F9E" w:rsidRDefault="00407CF6" w:rsidP="00C05F9E">
      <w:pPr>
        <w:spacing w:after="200"/>
        <w:ind w:right="283" w:firstLine="709"/>
        <w:jc w:val="both"/>
        <w:rPr>
          <w:rFonts w:eastAsia="Calibri"/>
          <w:color w:val="010000"/>
        </w:rPr>
      </w:pPr>
      <w:r w:rsidRPr="00C05F9E">
        <w:rPr>
          <w:rFonts w:eastAsia="Calibri"/>
          <w:b/>
          <w:color w:val="010000"/>
        </w:rPr>
        <w:t>A.</w:t>
      </w:r>
      <w:r w:rsidRPr="00C05F9E">
        <w:rPr>
          <w:rFonts w:eastAsia="Calibri"/>
          <w:color w:val="010000"/>
        </w:rPr>
        <w:t xml:space="preserve"> Birinci fıkrasının;</w:t>
      </w:r>
    </w:p>
    <w:p w:rsidR="00407CF6" w:rsidRPr="00C05F9E" w:rsidRDefault="00407CF6" w:rsidP="00C05F9E">
      <w:pPr>
        <w:spacing w:after="200"/>
        <w:ind w:right="283" w:firstLine="709"/>
        <w:jc w:val="both"/>
        <w:rPr>
          <w:rFonts w:eastAsia="Calibri"/>
          <w:color w:val="010000"/>
        </w:rPr>
      </w:pPr>
      <w:r w:rsidRPr="00C05F9E">
        <w:rPr>
          <w:rFonts w:eastAsia="Calibri"/>
          <w:b/>
          <w:color w:val="010000"/>
        </w:rPr>
        <w:t>1.</w:t>
      </w:r>
      <w:r w:rsidRPr="00C05F9E">
        <w:rPr>
          <w:rFonts w:eastAsia="Calibri"/>
          <w:color w:val="010000"/>
        </w:rPr>
        <w:t xml:space="preserve"> </w:t>
      </w:r>
      <w:r w:rsidRPr="00C05F9E">
        <w:rPr>
          <w:rFonts w:eastAsia="Calibri"/>
          <w:i/>
          <w:color w:val="010000"/>
        </w:rPr>
        <w:t xml:space="preserve">“Hekimlik mesleğinin icrası için; Türk Ceza Kanununun 53 üncü maddesinde belirtilen süreler geçmiş olsa </w:t>
      </w:r>
      <w:proofErr w:type="gramStart"/>
      <w:r w:rsidRPr="00C05F9E">
        <w:rPr>
          <w:rFonts w:eastAsia="Calibri"/>
          <w:i/>
          <w:color w:val="010000"/>
        </w:rPr>
        <w:t>bile;…</w:t>
      </w:r>
      <w:proofErr w:type="gramEnd"/>
      <w:r w:rsidRPr="00C05F9E">
        <w:rPr>
          <w:rFonts w:eastAsia="Calibri"/>
          <w:i/>
          <w:color w:val="010000"/>
        </w:rPr>
        <w:t xml:space="preserve">” </w:t>
      </w:r>
      <w:r w:rsidRPr="00C05F9E">
        <w:rPr>
          <w:rFonts w:eastAsia="Calibri"/>
          <w:color w:val="010000"/>
        </w:rPr>
        <w:t>bölümü ile</w:t>
      </w:r>
      <w:r w:rsidRPr="00C05F9E">
        <w:rPr>
          <w:rFonts w:eastAsia="Calibri"/>
          <w:i/>
          <w:color w:val="010000"/>
        </w:rPr>
        <w:t xml:space="preserve"> “…Anayasal düzene ve bu düzenin işleyişine karşı suçlar….” </w:t>
      </w:r>
      <w:r w:rsidRPr="00C05F9E">
        <w:rPr>
          <w:rFonts w:eastAsia="Calibri"/>
          <w:color w:val="010000"/>
        </w:rPr>
        <w:t>ve</w:t>
      </w:r>
      <w:r w:rsidRPr="00C05F9E">
        <w:rPr>
          <w:rFonts w:eastAsia="Calibri"/>
          <w:i/>
          <w:color w:val="010000"/>
        </w:rPr>
        <w:t xml:space="preserve"> “…hapis cezasına mahkûm olmamak gerekir.” </w:t>
      </w:r>
      <w:r w:rsidRPr="00C05F9E">
        <w:rPr>
          <w:rFonts w:eastAsia="Calibri"/>
          <w:color w:val="010000"/>
        </w:rPr>
        <w:t xml:space="preserve">ibarelerinin esasının incelenmesine, esasa ilişkin incelemenin </w:t>
      </w:r>
      <w:r w:rsidRPr="00C05F9E">
        <w:rPr>
          <w:rFonts w:eastAsia="Calibri"/>
          <w:i/>
          <w:color w:val="010000"/>
        </w:rPr>
        <w:t>“…Anayasal düzene ve bu düzenin işleyişine karşı suçlar…”</w:t>
      </w:r>
      <w:r w:rsidRPr="00C05F9E">
        <w:rPr>
          <w:rFonts w:eastAsia="Calibri"/>
          <w:color w:val="010000"/>
        </w:rPr>
        <w:t xml:space="preserve"> ibaresi ile sınırlı olarak yapılmasına,</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 xml:space="preserve">2. </w:t>
      </w:r>
      <w:r w:rsidRPr="00C05F9E">
        <w:rPr>
          <w:rFonts w:eastAsia="Calibri"/>
          <w:color w:val="010000"/>
        </w:rPr>
        <w:t>Kalan kısmının itiraz başvurusunda bulunan Mahkemenin bakmakta olduğu davada uygulanma imkânı bulunmadığından, bu kısma ilişkin başvurunun Mahkemenin yetkisizliği nedeniyle REDDİNE,</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B.</w:t>
      </w:r>
      <w:r w:rsidRPr="00C05F9E">
        <w:rPr>
          <w:rFonts w:eastAsia="Calibri"/>
          <w:color w:val="010000"/>
        </w:rPr>
        <w:t xml:space="preserve"> İkinci ve üçüncü fıkraların </w:t>
      </w:r>
      <w:bookmarkStart w:id="9" w:name="_Hlk134171935"/>
      <w:r w:rsidRPr="00C05F9E">
        <w:rPr>
          <w:rFonts w:eastAsia="Calibri"/>
          <w:color w:val="010000"/>
        </w:rPr>
        <w:t>itiraz başvurusunda bulunan Mahkemenin bakmakta olduğu davada uygulanma imkânı bulunmadığından, bu fıkralara ilişkin başvurunun Mahkemenin yetkisizliği nedeniyle REDDİNE,</w:t>
      </w:r>
      <w:bookmarkEnd w:id="9"/>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OYBİRLİĞİYLE karar verilmiştir. </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III.</w:t>
      </w:r>
      <w:r w:rsidRPr="00C05F9E">
        <w:rPr>
          <w:rFonts w:eastAsia="Calibri"/>
          <w:b/>
          <w:bCs/>
          <w:color w:val="010000"/>
        </w:rPr>
        <w:t xml:space="preserve"> </w:t>
      </w:r>
      <w:r w:rsidRPr="00C05F9E">
        <w:rPr>
          <w:rFonts w:eastAsia="Calibri"/>
          <w:b/>
          <w:color w:val="010000"/>
        </w:rPr>
        <w:t>ESASIN İNCELENMESİ</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8. Başvuru kararı ve ekleri, Raportör Ahmet CANPOLAT tarafından hazırlanan işin esasına ilişkin rapor, itiraz konusu kanun hükmü, dayanılan ve ilgili görülen Anayasa kuralları ve bunların gerekçeleri ile diğer yasama belgeleri okunup incelendikten</w:t>
      </w:r>
      <w:r w:rsidR="00C05F9E" w:rsidRPr="00C05F9E">
        <w:rPr>
          <w:rFonts w:eastAsia="Calibri"/>
          <w:color w:val="010000"/>
        </w:rPr>
        <w:t xml:space="preserve"> </w:t>
      </w:r>
      <w:r w:rsidRPr="00C05F9E">
        <w:rPr>
          <w:rFonts w:eastAsia="Calibri"/>
          <w:color w:val="010000"/>
        </w:rPr>
        <w:t>sonra gereği görüşülüp düşünüldü:</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A. Anlam ve Kapsam</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9. 1219 sayılı Kanun’da hekimlik mesleğinin icrası için gerekli şartlar düzenlenmiştir. İtiraz konusu kuralda anayasal düzene ve bu düzenin işleyişine karşı suçlardan mahkûm olanların 5237 sayılı Kanun’un 53. maddesinde belirtilen süreler geçmiş olsa bile hekimlik mesleğini icra edemeyecekleri belirtilmiştir. </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10. 5237 sayılı Kanun’un Özel Hükümler kitabının Dördüncü </w:t>
      </w:r>
      <w:proofErr w:type="spellStart"/>
      <w:r w:rsidRPr="00C05F9E">
        <w:rPr>
          <w:rFonts w:eastAsia="Calibri"/>
          <w:color w:val="010000"/>
        </w:rPr>
        <w:t>Kısmı’nın</w:t>
      </w:r>
      <w:proofErr w:type="spellEnd"/>
      <w:r w:rsidRPr="00C05F9E">
        <w:rPr>
          <w:rFonts w:eastAsia="Calibri"/>
          <w:color w:val="010000"/>
        </w:rPr>
        <w:t xml:space="preserve"> 309 ilâ 316. maddelerinden oluşan Beşinci Bölümü’nde </w:t>
      </w:r>
      <w:r w:rsidR="00A5159F" w:rsidRPr="00C05F9E">
        <w:rPr>
          <w:rFonts w:eastAsia="Calibri"/>
          <w:color w:val="010000"/>
        </w:rPr>
        <w:t>a</w:t>
      </w:r>
      <w:r w:rsidRPr="00C05F9E">
        <w:rPr>
          <w:rFonts w:eastAsia="Calibri"/>
          <w:color w:val="010000"/>
        </w:rPr>
        <w:t xml:space="preserve">nayasal düzene ve bu düzenin işleyişine karşı suçlar; Anayasa’yı ihlal, </w:t>
      </w:r>
      <w:r w:rsidRPr="00C05F9E">
        <w:rPr>
          <w:rFonts w:eastAsia="Calibri"/>
          <w:bCs/>
          <w:color w:val="010000"/>
        </w:rPr>
        <w:t>Cumhurbaşkanı</w:t>
      </w:r>
      <w:r w:rsidR="00721F2A" w:rsidRPr="00C05F9E">
        <w:rPr>
          <w:rFonts w:eastAsia="Calibri"/>
          <w:bCs/>
          <w:color w:val="010000"/>
        </w:rPr>
        <w:t>’</w:t>
      </w:r>
      <w:r w:rsidRPr="00C05F9E">
        <w:rPr>
          <w:rFonts w:eastAsia="Calibri"/>
          <w:bCs/>
          <w:color w:val="010000"/>
        </w:rPr>
        <w:t>na suikast ve fiilî saldırı</w:t>
      </w:r>
      <w:r w:rsidRPr="00C05F9E">
        <w:rPr>
          <w:rFonts w:eastAsia="Calibri"/>
          <w:color w:val="010000"/>
        </w:rPr>
        <w:t xml:space="preserve">, </w:t>
      </w:r>
      <w:r w:rsidRPr="00C05F9E">
        <w:rPr>
          <w:rFonts w:eastAsia="Calibri"/>
          <w:bCs/>
          <w:color w:val="010000"/>
        </w:rPr>
        <w:t>yasama organına karşı suç</w:t>
      </w:r>
      <w:r w:rsidRPr="00C05F9E">
        <w:rPr>
          <w:rFonts w:eastAsia="Calibri"/>
          <w:color w:val="010000"/>
        </w:rPr>
        <w:t xml:space="preserve">, </w:t>
      </w:r>
      <w:r w:rsidRPr="00C05F9E">
        <w:rPr>
          <w:rFonts w:eastAsia="Calibri"/>
          <w:bCs/>
          <w:color w:val="010000"/>
        </w:rPr>
        <w:t>hükûmete karşı suç</w:t>
      </w:r>
      <w:r w:rsidRPr="00C05F9E">
        <w:rPr>
          <w:rFonts w:eastAsia="Calibri"/>
          <w:color w:val="010000"/>
        </w:rPr>
        <w:t xml:space="preserve">, </w:t>
      </w:r>
      <w:r w:rsidRPr="00C05F9E">
        <w:rPr>
          <w:rFonts w:eastAsia="Calibri"/>
          <w:bCs/>
          <w:color w:val="010000"/>
        </w:rPr>
        <w:t>Türkiye Cumhuriyeti Hükûmetine karşı sil</w:t>
      </w:r>
      <w:r w:rsidR="00721F2A" w:rsidRPr="00C05F9E">
        <w:rPr>
          <w:rFonts w:eastAsia="Calibri"/>
          <w:bCs/>
          <w:color w:val="010000"/>
        </w:rPr>
        <w:t>a</w:t>
      </w:r>
      <w:r w:rsidRPr="00C05F9E">
        <w:rPr>
          <w:rFonts w:eastAsia="Calibri"/>
          <w:bCs/>
          <w:color w:val="010000"/>
        </w:rPr>
        <w:t>hlı isyan</w:t>
      </w:r>
      <w:r w:rsidRPr="00C05F9E">
        <w:rPr>
          <w:rFonts w:eastAsia="Calibri"/>
          <w:color w:val="010000"/>
        </w:rPr>
        <w:t xml:space="preserve">, </w:t>
      </w:r>
      <w:r w:rsidRPr="00C05F9E">
        <w:rPr>
          <w:rFonts w:eastAsia="Calibri"/>
          <w:bCs/>
          <w:color w:val="010000"/>
        </w:rPr>
        <w:t>sil</w:t>
      </w:r>
      <w:r w:rsidR="00721F2A" w:rsidRPr="00C05F9E">
        <w:rPr>
          <w:rFonts w:eastAsia="Calibri"/>
          <w:bCs/>
          <w:color w:val="010000"/>
        </w:rPr>
        <w:t>a</w:t>
      </w:r>
      <w:r w:rsidRPr="00C05F9E">
        <w:rPr>
          <w:rFonts w:eastAsia="Calibri"/>
          <w:bCs/>
          <w:color w:val="010000"/>
        </w:rPr>
        <w:t>hlı örgüt, sil</w:t>
      </w:r>
      <w:r w:rsidR="00721F2A" w:rsidRPr="00C05F9E">
        <w:rPr>
          <w:rFonts w:eastAsia="Calibri"/>
          <w:bCs/>
          <w:color w:val="010000"/>
        </w:rPr>
        <w:t>a</w:t>
      </w:r>
      <w:r w:rsidRPr="00C05F9E">
        <w:rPr>
          <w:rFonts w:eastAsia="Calibri"/>
          <w:bCs/>
          <w:color w:val="010000"/>
        </w:rPr>
        <w:t>h sağlama, suç için anlaşma</w:t>
      </w:r>
      <w:r w:rsidRPr="00C05F9E">
        <w:rPr>
          <w:rFonts w:eastAsia="Calibri"/>
          <w:color w:val="010000"/>
        </w:rPr>
        <w:t xml:space="preserve"> şeklinde düzenlenmiştir.</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11. 5237 sayılı Kanun’un 53. maddesinde ise </w:t>
      </w:r>
      <w:bookmarkStart w:id="10" w:name="_Hlk173230055"/>
      <w:r w:rsidRPr="00C05F9E">
        <w:rPr>
          <w:rFonts w:eastAsia="Calibri"/>
          <w:color w:val="010000"/>
        </w:rPr>
        <w:t xml:space="preserve">kişinin kasıtlı bir suç işlemesi ve bu suçtan dolayı hapis cezasına mahkûm olması hâlinde mahkûmiyetin kesinleşmesiyle başlayıp hapis cezasının infazı tamamlanıncaya kadar devam eden hak yoksunluğu öngörülmüştür. </w:t>
      </w:r>
      <w:bookmarkEnd w:id="10"/>
      <w:r w:rsidRPr="00C05F9E">
        <w:rPr>
          <w:rFonts w:eastAsia="Calibri"/>
          <w:color w:val="010000"/>
        </w:rPr>
        <w:t xml:space="preserve">Diğer bir deyişle anılan madde uyarınca belli bir suçtan mahkûmiyete bağlı süresiz hak yoksunluğundan söz edilemeyeceği anlaşılmaktadır. </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 xml:space="preserve">12. Buna göre anayasal düzene ve bu düzenin işleyişine karşı suçlardan herhangi birini kasten işleyen kişi hakkında 5237 sayılı Kanun’un 53. maddesi uyarınca hapis cezasının infazı tamamlanıncaya kadar hak yoksunluğu uygulanacaktır. İtiraz konusu kuralda ise bu suçlardan </w:t>
      </w:r>
      <w:r w:rsidRPr="00C05F9E">
        <w:rPr>
          <w:rFonts w:eastAsia="Calibri"/>
          <w:color w:val="010000"/>
        </w:rPr>
        <w:lastRenderedPageBreak/>
        <w:t>mahkûm olanların hekimlik mesleğinin icrasından herhangi bir süre sınırı olmaksızın yoksun bırakılacağı ifade edilmektedir.</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B. İtirazın Gerekçesi</w:t>
      </w:r>
    </w:p>
    <w:p w:rsidR="00407CF6" w:rsidRPr="00C05F9E" w:rsidRDefault="00407CF6" w:rsidP="00C05F9E">
      <w:pPr>
        <w:spacing w:after="200"/>
        <w:ind w:right="283" w:firstLine="709"/>
        <w:jc w:val="both"/>
        <w:rPr>
          <w:rFonts w:eastAsia="Calibri"/>
          <w:color w:val="010000"/>
        </w:rPr>
      </w:pPr>
      <w:r w:rsidRPr="00C05F9E">
        <w:rPr>
          <w:rFonts w:eastAsia="Calibri"/>
          <w:color w:val="010000"/>
        </w:rPr>
        <w:t>13. Başvuru kararında özetle; itiraz konusu kuralla anayasal düzene karşı işlenen suçlardan mahkûm olan bir hekimin süresiz bir şekilde hekimlik mesleğini icra etmesinin engellendiği, bu durumun çalışma özgürlüğü ile özel hayata saygı gösterilmesini isteme hakkına ölçüsüz bir müdahale oluşturduğu belirtilerek kuralın Anayasa’nın 20. ve 49. maddelerine aykırı olduğu ileri sürülmüştür.</w:t>
      </w:r>
    </w:p>
    <w:p w:rsidR="00407CF6" w:rsidRPr="00C05F9E" w:rsidRDefault="00407CF6" w:rsidP="00C05F9E">
      <w:pPr>
        <w:spacing w:after="200"/>
        <w:ind w:right="283" w:firstLine="709"/>
        <w:jc w:val="both"/>
        <w:rPr>
          <w:rFonts w:eastAsia="Calibri"/>
          <w:b/>
          <w:color w:val="010000"/>
        </w:rPr>
      </w:pPr>
      <w:r w:rsidRPr="00C05F9E">
        <w:rPr>
          <w:rFonts w:eastAsia="Calibri"/>
          <w:b/>
          <w:color w:val="010000"/>
        </w:rPr>
        <w:t>C. Anayasa’ya Aykırılık Sorunu</w:t>
      </w:r>
    </w:p>
    <w:p w:rsidR="00407CF6" w:rsidRPr="00C05F9E" w:rsidRDefault="00407CF6" w:rsidP="00C05F9E">
      <w:pPr>
        <w:spacing w:after="200"/>
        <w:ind w:right="283" w:firstLine="709"/>
        <w:jc w:val="both"/>
        <w:rPr>
          <w:rFonts w:eastAsia="Calibri"/>
          <w:bCs/>
          <w:color w:val="010000"/>
        </w:rPr>
      </w:pPr>
      <w:r w:rsidRPr="00C05F9E">
        <w:rPr>
          <w:rFonts w:eastAsia="Calibri"/>
          <w:color w:val="010000"/>
        </w:rPr>
        <w:t xml:space="preserve">14. </w:t>
      </w:r>
      <w:r w:rsidRPr="00C05F9E">
        <w:rPr>
          <w:rFonts w:eastAsia="Calibri"/>
          <w:bCs/>
          <w:color w:val="010000"/>
        </w:rPr>
        <w:t>6216 sayılı Kanun’un 43. maddesi uyarınca kural, ilgisi nedeniyle Anayasa’nın 13. ve 48. maddeleri yönünden de incelenmiştir.</w:t>
      </w:r>
    </w:p>
    <w:p w:rsidR="00407CF6" w:rsidRPr="00C05F9E" w:rsidRDefault="00407CF6" w:rsidP="00C05F9E">
      <w:pPr>
        <w:spacing w:after="200"/>
        <w:ind w:right="283" w:firstLine="709"/>
        <w:jc w:val="both"/>
        <w:rPr>
          <w:rFonts w:eastAsia="Calibri"/>
          <w:color w:val="010000"/>
        </w:rPr>
      </w:pPr>
      <w:r w:rsidRPr="00C05F9E">
        <w:rPr>
          <w:rFonts w:eastAsia="Calibri"/>
          <w:bCs/>
          <w:color w:val="010000"/>
        </w:rPr>
        <w:t xml:space="preserve">15. </w:t>
      </w:r>
      <w:r w:rsidRPr="00C05F9E">
        <w:rPr>
          <w:rFonts w:eastAsia="Calibri"/>
          <w:color w:val="010000"/>
        </w:rPr>
        <w:t>Anayasa’nın</w:t>
      </w:r>
      <w:r w:rsidR="00C05F9E" w:rsidRPr="00C05F9E">
        <w:rPr>
          <w:rFonts w:eastAsia="Calibri"/>
          <w:color w:val="010000"/>
        </w:rPr>
        <w:t xml:space="preserve"> </w:t>
      </w:r>
      <w:r w:rsidRPr="00C05F9E">
        <w:rPr>
          <w:rFonts w:eastAsia="Calibri"/>
          <w:i/>
          <w:iCs/>
          <w:color w:val="010000"/>
        </w:rPr>
        <w:t>“Çalışma ve sözleşme hürriyeti”</w:t>
      </w:r>
      <w:r w:rsidR="00C05F9E" w:rsidRPr="00C05F9E">
        <w:rPr>
          <w:rFonts w:eastAsia="Calibri"/>
          <w:color w:val="010000"/>
        </w:rPr>
        <w:t xml:space="preserve"> </w:t>
      </w:r>
      <w:r w:rsidRPr="00C05F9E">
        <w:rPr>
          <w:rFonts w:eastAsia="Calibri"/>
          <w:color w:val="010000"/>
        </w:rPr>
        <w:t xml:space="preserve">başlıklı 48. maddesinde </w:t>
      </w:r>
      <w:r w:rsidRPr="00C05F9E">
        <w:rPr>
          <w:rFonts w:eastAsia="Calibri"/>
          <w:i/>
          <w:iCs/>
          <w:color w:val="010000"/>
        </w:rPr>
        <w:t xml:space="preserve">“Herkes, dilediği alanda çalışma ve sözleşme hürriyetlerine sahiptir. Özel teşebbüsler kurmak </w:t>
      </w:r>
      <w:proofErr w:type="gramStart"/>
      <w:r w:rsidRPr="00C05F9E">
        <w:rPr>
          <w:rFonts w:eastAsia="Calibri"/>
          <w:i/>
          <w:iCs/>
          <w:color w:val="010000"/>
        </w:rPr>
        <w:t>serbesttir./</w:t>
      </w:r>
      <w:proofErr w:type="gramEnd"/>
      <w:r w:rsidRPr="00C05F9E">
        <w:rPr>
          <w:rFonts w:eastAsia="Calibri"/>
          <w:i/>
          <w:iCs/>
          <w:color w:val="010000"/>
        </w:rPr>
        <w:t xml:space="preserve"> Devlet, özel teşebbüslerin millî ekonominin gereklerine ve sosyal amaçlara uygun yürümesini, güvenlik ve kararlılık içinde çalışmasını sağlayacak tedbirleri alır.”</w:t>
      </w:r>
      <w:r w:rsidR="00C05F9E" w:rsidRPr="00C05F9E">
        <w:rPr>
          <w:rFonts w:eastAsia="Calibri"/>
          <w:color w:val="010000"/>
        </w:rPr>
        <w:t xml:space="preserve"> </w:t>
      </w:r>
      <w:r w:rsidRPr="00C05F9E">
        <w:rPr>
          <w:rFonts w:eastAsia="Calibri"/>
          <w:color w:val="010000"/>
        </w:rPr>
        <w:t>denilerek çalışma özgürlüğü güvence altına alınmıştır.</w:t>
      </w:r>
    </w:p>
    <w:p w:rsidR="00407CF6" w:rsidRPr="00C05F9E" w:rsidRDefault="00407CF6" w:rsidP="00C05F9E">
      <w:pPr>
        <w:spacing w:after="200"/>
        <w:ind w:right="283" w:firstLine="709"/>
        <w:jc w:val="both"/>
        <w:rPr>
          <w:rFonts w:eastAsia="Calibri"/>
          <w:bCs/>
          <w:color w:val="010000"/>
        </w:rPr>
      </w:pPr>
      <w:r w:rsidRPr="00C05F9E">
        <w:rPr>
          <w:rFonts w:eastAsia="Calibri"/>
          <w:color w:val="010000"/>
        </w:rPr>
        <w:t xml:space="preserve">16. </w:t>
      </w:r>
      <w:r w:rsidRPr="00C05F9E">
        <w:rPr>
          <w:rFonts w:eastAsia="Calibri"/>
          <w:bCs/>
          <w:color w:val="010000"/>
        </w:rPr>
        <w:t>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rsidR="00407CF6" w:rsidRPr="00C05F9E" w:rsidRDefault="00407CF6" w:rsidP="00C05F9E">
      <w:pPr>
        <w:spacing w:after="200"/>
        <w:ind w:right="283" w:firstLine="709"/>
        <w:jc w:val="both"/>
        <w:rPr>
          <w:rFonts w:eastAsia="Calibri"/>
          <w:color w:val="010000"/>
          <w:shd w:val="clear" w:color="auto" w:fill="FFFFFF"/>
        </w:rPr>
      </w:pPr>
      <w:r w:rsidRPr="00C05F9E">
        <w:rPr>
          <w:rFonts w:eastAsia="Calibri"/>
          <w:color w:val="010000"/>
          <w:shd w:val="clear" w:color="auto" w:fill="FFFFFF"/>
        </w:rPr>
        <w:t>17. 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 devletin de çalışmak isteyenlere iş temin etmek için gereken tedbirleri almasıdır (AYM, E.2016/141, K.2018/27, 20/2/2018, § 16).</w:t>
      </w:r>
    </w:p>
    <w:p w:rsidR="00407CF6" w:rsidRPr="00C05F9E" w:rsidRDefault="00407CF6" w:rsidP="00C05F9E">
      <w:pPr>
        <w:spacing w:after="200"/>
        <w:ind w:right="283" w:firstLine="709"/>
        <w:jc w:val="both"/>
        <w:rPr>
          <w:rFonts w:eastAsia="Calibri"/>
          <w:color w:val="010000"/>
          <w:shd w:val="clear" w:color="auto" w:fill="FFFFFF"/>
        </w:rPr>
      </w:pPr>
      <w:r w:rsidRPr="00C05F9E">
        <w:rPr>
          <w:rFonts w:eastAsia="Calibri"/>
          <w:bCs/>
          <w:color w:val="010000"/>
        </w:rPr>
        <w:t xml:space="preserve">18. Kural </w:t>
      </w:r>
      <w:r w:rsidRPr="00C05F9E">
        <w:rPr>
          <w:rFonts w:eastAsia="Calibri"/>
          <w:color w:val="010000"/>
        </w:rPr>
        <w:t xml:space="preserve">anayasal düzene ve bu düzenin işleyişine karşı suçlardan mahkûm olanların hem özel sağlık kuruluşlarında hem de serbest olarak </w:t>
      </w:r>
      <w:r w:rsidRPr="00C05F9E">
        <w:rPr>
          <w:rFonts w:eastAsia="Calibri"/>
          <w:bCs/>
          <w:color w:val="010000"/>
        </w:rPr>
        <w:t>hekimlik mesleğini icra edemeyeceklerini öngörmek suretiyle</w:t>
      </w:r>
      <w:r w:rsidR="00C05F9E" w:rsidRPr="00C05F9E">
        <w:rPr>
          <w:rFonts w:eastAsia="Calibri"/>
          <w:bCs/>
          <w:color w:val="010000"/>
        </w:rPr>
        <w:t xml:space="preserve"> </w:t>
      </w:r>
      <w:r w:rsidRPr="00C05F9E">
        <w:rPr>
          <w:rFonts w:eastAsia="Calibri"/>
          <w:bCs/>
          <w:color w:val="010000"/>
        </w:rPr>
        <w:t>Anayasa’nın 48. ve 49. maddelerinde güvence altına alınan çalışma hakkı ve özgürlüğüne sınırlama getirmektedir.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19. Anayasa’nın 13. maddesinde</w:t>
      </w:r>
      <w:r w:rsidR="00C05F9E" w:rsidRPr="00C05F9E">
        <w:rPr>
          <w:rFonts w:eastAsia="Calibri"/>
          <w:bCs/>
          <w:i/>
          <w:iCs/>
          <w:color w:val="010000"/>
        </w:rPr>
        <w:t xml:space="preserve"> </w:t>
      </w:r>
      <w:r w:rsidRPr="00C05F9E">
        <w:rPr>
          <w:rFonts w:eastAsia="Calibri"/>
          <w:bCs/>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C05F9E" w:rsidRPr="00C05F9E">
        <w:rPr>
          <w:rFonts w:eastAsia="Calibri"/>
          <w:bCs/>
          <w:i/>
          <w:iCs/>
          <w:color w:val="010000"/>
        </w:rPr>
        <w:t xml:space="preserve"> </w:t>
      </w:r>
      <w:r w:rsidRPr="00C05F9E">
        <w:rPr>
          <w:rFonts w:eastAsia="Calibri"/>
          <w:bCs/>
          <w:color w:val="010000"/>
        </w:rPr>
        <w:t>denilmektedir.</w:t>
      </w:r>
      <w:r w:rsidR="00C05F9E" w:rsidRPr="00C05F9E">
        <w:rPr>
          <w:rFonts w:eastAsia="Calibri"/>
          <w:bCs/>
          <w:color w:val="010000"/>
        </w:rPr>
        <w:t xml:space="preserve"> </w:t>
      </w:r>
      <w:r w:rsidRPr="00C05F9E">
        <w:rPr>
          <w:rFonts w:eastAsia="Calibri"/>
          <w:bCs/>
          <w:color w:val="010000"/>
        </w:rPr>
        <w:t>Buna göre temel hak ve özgürlüklere sınırlama getiren düzenlemelerin kanunla yapılması, Anayasa’da öngörülen sınırlama sebebine uygun ve ölçülü olması gerekir.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20.</w:t>
      </w:r>
      <w:r w:rsidR="00C05F9E" w:rsidRPr="00C05F9E">
        <w:rPr>
          <w:rFonts w:eastAsia="Calibri"/>
          <w:bCs/>
          <w:color w:val="010000"/>
        </w:rPr>
        <w:t xml:space="preserve"> </w:t>
      </w:r>
      <w:r w:rsidRPr="00C05F9E">
        <w:rPr>
          <w:rFonts w:eastAsia="Calibri"/>
          <w:bCs/>
          <w:color w:val="010000"/>
        </w:rPr>
        <w:t xml:space="preserve">Bu kapsamda çalışma hakkı ve özgürlüğünü sınırlamaya yönelik bir kanuni düzenlemenin şeklen var olması yeterli olmayıp kuralların </w:t>
      </w:r>
      <w:proofErr w:type="spellStart"/>
      <w:r w:rsidRPr="00C05F9E">
        <w:rPr>
          <w:rFonts w:eastAsia="Calibri"/>
          <w:bCs/>
          <w:color w:val="010000"/>
        </w:rPr>
        <w:t>keyfîliğe</w:t>
      </w:r>
      <w:proofErr w:type="spellEnd"/>
      <w:r w:rsidRPr="00C05F9E">
        <w:rPr>
          <w:rFonts w:eastAsia="Calibri"/>
          <w:bCs/>
          <w:color w:val="010000"/>
        </w:rPr>
        <w:t xml:space="preserve"> izin vermeyecek şekilde belirli, ulaşılabilir ve öngörülebilir düzenlemeler niteliğinde olması gerekir.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21.</w:t>
      </w:r>
      <w:r w:rsidR="00C05F9E" w:rsidRPr="00C05F9E">
        <w:rPr>
          <w:rFonts w:eastAsia="Calibri"/>
          <w:bCs/>
          <w:color w:val="010000"/>
        </w:rPr>
        <w:t xml:space="preserve"> </w:t>
      </w:r>
      <w:r w:rsidRPr="00C05F9E">
        <w:rPr>
          <w:rFonts w:eastAsia="Calibri"/>
          <w:bCs/>
          <w:color w:val="010000"/>
        </w:rPr>
        <w:t xml:space="preserve">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w:t>
      </w:r>
      <w:r w:rsidRPr="00C05F9E">
        <w:rPr>
          <w:rFonts w:eastAsia="Calibri"/>
          <w:bCs/>
          <w:color w:val="010000"/>
        </w:rPr>
        <w:lastRenderedPageBreak/>
        <w:t>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22. Kuralda hangi suçlardan mahkûmiyetin hekimlik mesleğinin icrasına engel olduğu açıkça belirtilmiştir. Anayasal düzene ve bu düzenin işleyişine karşı suçların 5237 sayılı Kanun’da düzenlendiği gözetildiğinde kuralın belirli, ulaşılabilir ve öngörülebilir nitelikte olduğu ve bu yönüyle kanunilik şartını taşıdığı anlaşılmaktadır.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23.</w:t>
      </w:r>
      <w:r w:rsidR="00C05F9E" w:rsidRPr="00C05F9E">
        <w:rPr>
          <w:rFonts w:eastAsia="Calibri"/>
          <w:bCs/>
          <w:color w:val="010000"/>
        </w:rPr>
        <w:t xml:space="preserve"> </w:t>
      </w:r>
      <w:r w:rsidRPr="00C05F9E">
        <w:rPr>
          <w:rFonts w:eastAsia="Calibri"/>
          <w:bCs/>
          <w:color w:val="010000"/>
        </w:rPr>
        <w:t>Öte yandan sınırlamanın meşru bir amaca dayanması gerekir. Anayasa’nın 48. ve 49. maddelerinde çalışma hakkı ve özgürlüğü için herhangi bir sınırlama nedeni belirtilmemiş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 (AYM, E.2018/95, K.2023/221, 27/12/2023, § 45).</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24. Hekimlik mesleğinin sağlık hizmeti içindeki rolü ve önemi gözetildiğinde mesleğin icrasına getirilen sınırlanmanın amacının mesleğin onur ve itibarını korumak olduğu değerlendirilmektedir. Mesleğin onur ve itibarının korunması amacıyla, bazı suçlardan mahkûm olanların bu mesleği icra etmesinin yasaklanmasının anayasal yönden meşru bir amaca dayandığı kanaatine varılmaktadır.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25.</w:t>
      </w:r>
      <w:r w:rsidR="00C05F9E" w:rsidRPr="00C05F9E">
        <w:rPr>
          <w:rFonts w:eastAsia="Calibri"/>
          <w:bCs/>
          <w:color w:val="010000"/>
        </w:rPr>
        <w:t xml:space="preserve"> </w:t>
      </w:r>
      <w:r w:rsidRPr="00C05F9E">
        <w:rPr>
          <w:rFonts w:eastAsia="Calibri"/>
          <w:bCs/>
          <w:color w:val="010000"/>
        </w:rPr>
        <w:t>Bununla birlikte kuralın</w:t>
      </w:r>
      <w:r w:rsidR="00C05F9E" w:rsidRPr="00C05F9E">
        <w:rPr>
          <w:rFonts w:eastAsia="Calibri"/>
          <w:bCs/>
          <w:color w:val="010000"/>
        </w:rPr>
        <w:t xml:space="preserve"> </w:t>
      </w:r>
      <w:r w:rsidRPr="00C05F9E">
        <w:rPr>
          <w:rFonts w:eastAsia="Calibri"/>
          <w:bCs/>
          <w:color w:val="010000"/>
        </w:rPr>
        <w:t>anayasal bağlamda meşru bir amacının bulunması yeterli olmayıp sınırlamanın ölçülü olması gerekir. Anayasa’nın 13. maddesinde güvence altına alınan ölçülülük ilkesi ise</w:t>
      </w:r>
      <w:r w:rsidR="00C05F9E" w:rsidRPr="00C05F9E">
        <w:rPr>
          <w:rFonts w:eastAsia="Calibri"/>
          <w:bCs/>
          <w:color w:val="010000"/>
        </w:rPr>
        <w:t xml:space="preserve"> </w:t>
      </w:r>
      <w:r w:rsidRPr="00C05F9E">
        <w:rPr>
          <w:rFonts w:eastAsia="Calibri"/>
          <w:bCs/>
          <w:i/>
          <w:iCs/>
          <w:color w:val="010000"/>
        </w:rPr>
        <w:t>elverişlilik, gereklilik</w:t>
      </w:r>
      <w:r w:rsidR="00C05F9E" w:rsidRPr="00C05F9E">
        <w:rPr>
          <w:rFonts w:eastAsia="Calibri"/>
          <w:bCs/>
          <w:color w:val="010000"/>
        </w:rPr>
        <w:t xml:space="preserve"> </w:t>
      </w:r>
      <w:r w:rsidRPr="00C05F9E">
        <w:rPr>
          <w:rFonts w:eastAsia="Calibri"/>
          <w:bCs/>
          <w:color w:val="010000"/>
        </w:rPr>
        <w:t>ve</w:t>
      </w:r>
      <w:r w:rsidR="00C05F9E" w:rsidRPr="00C05F9E">
        <w:rPr>
          <w:rFonts w:eastAsia="Calibri"/>
          <w:bCs/>
          <w:color w:val="010000"/>
        </w:rPr>
        <w:t xml:space="preserve"> </w:t>
      </w:r>
      <w:r w:rsidRPr="00C05F9E">
        <w:rPr>
          <w:rFonts w:eastAsia="Calibri"/>
          <w:bCs/>
          <w:i/>
          <w:iCs/>
          <w:color w:val="010000"/>
        </w:rPr>
        <w:t>orantılılık</w:t>
      </w:r>
      <w:r w:rsidR="00C05F9E" w:rsidRPr="00C05F9E">
        <w:rPr>
          <w:rFonts w:eastAsia="Calibri"/>
          <w:bCs/>
          <w:color w:val="010000"/>
        </w:rPr>
        <w:t xml:space="preserve"> </w:t>
      </w:r>
      <w:r w:rsidRPr="00C05F9E">
        <w:rPr>
          <w:rFonts w:eastAsia="Calibri"/>
          <w:bCs/>
          <w:color w:val="010000"/>
        </w:rPr>
        <w:t>olmak üzere üç alt ilkeden oluşmaktadır.</w:t>
      </w:r>
      <w:r w:rsidR="00C05F9E" w:rsidRPr="00C05F9E">
        <w:rPr>
          <w:rFonts w:eastAsia="Calibri"/>
          <w:bCs/>
          <w:color w:val="010000"/>
        </w:rPr>
        <w:t xml:space="preserve"> </w:t>
      </w:r>
      <w:r w:rsidRPr="00C05F9E">
        <w:rPr>
          <w:rFonts w:eastAsia="Calibri"/>
          <w:bCs/>
          <w:i/>
          <w:iCs/>
          <w:color w:val="010000"/>
        </w:rPr>
        <w:t>Elverişlilik</w:t>
      </w:r>
      <w:r w:rsidR="00C05F9E" w:rsidRPr="00C05F9E">
        <w:rPr>
          <w:rFonts w:eastAsia="Calibri"/>
          <w:bCs/>
          <w:color w:val="010000"/>
        </w:rPr>
        <w:t xml:space="preserve"> </w:t>
      </w:r>
      <w:r w:rsidRPr="00C05F9E">
        <w:rPr>
          <w:rFonts w:eastAsia="Calibri"/>
          <w:bCs/>
          <w:color w:val="010000"/>
        </w:rPr>
        <w:t>öngörülen sınırlamanın</w:t>
      </w:r>
      <w:r w:rsidR="00C05F9E" w:rsidRPr="00C05F9E">
        <w:rPr>
          <w:rFonts w:eastAsia="Calibri"/>
          <w:bCs/>
          <w:color w:val="010000"/>
        </w:rPr>
        <w:t xml:space="preserve"> </w:t>
      </w:r>
      <w:r w:rsidRPr="00C05F9E">
        <w:rPr>
          <w:rFonts w:eastAsia="Calibri"/>
          <w:bCs/>
          <w:color w:val="010000"/>
        </w:rPr>
        <w:t>ulaşılmak istenen amacı gerçekleştirmeye elverişli olmasını,</w:t>
      </w:r>
      <w:r w:rsidR="00C05F9E" w:rsidRPr="00C05F9E">
        <w:rPr>
          <w:rFonts w:eastAsia="Calibri"/>
          <w:bCs/>
          <w:color w:val="010000"/>
        </w:rPr>
        <w:t xml:space="preserve"> </w:t>
      </w:r>
      <w:r w:rsidRPr="00C05F9E">
        <w:rPr>
          <w:rFonts w:eastAsia="Calibri"/>
          <w:bCs/>
          <w:i/>
          <w:iCs/>
          <w:color w:val="010000"/>
        </w:rPr>
        <w:t>gereklilik</w:t>
      </w:r>
      <w:r w:rsidR="00C05F9E" w:rsidRPr="00C05F9E">
        <w:rPr>
          <w:rFonts w:eastAsia="Calibri"/>
          <w:bCs/>
          <w:i/>
          <w:iCs/>
          <w:color w:val="010000"/>
        </w:rPr>
        <w:t xml:space="preserve"> </w:t>
      </w:r>
      <w:r w:rsidRPr="00C05F9E">
        <w:rPr>
          <w:rFonts w:eastAsia="Calibri"/>
          <w:bCs/>
          <w:color w:val="010000"/>
        </w:rPr>
        <w:t>ulaşılmak istenen amaç bakımından sınırlamanın zorunlu olmasını,</w:t>
      </w:r>
      <w:r w:rsidR="00C05F9E" w:rsidRPr="00C05F9E">
        <w:rPr>
          <w:rFonts w:eastAsia="Calibri"/>
          <w:bCs/>
          <w:color w:val="010000"/>
        </w:rPr>
        <w:t xml:space="preserve"> </w:t>
      </w:r>
      <w:r w:rsidRPr="00C05F9E">
        <w:rPr>
          <w:rFonts w:eastAsia="Calibri"/>
          <w:bCs/>
          <w:i/>
          <w:iCs/>
          <w:color w:val="010000"/>
        </w:rPr>
        <w:t>orantılılık</w:t>
      </w:r>
      <w:r w:rsidR="00C05F9E" w:rsidRPr="00C05F9E">
        <w:rPr>
          <w:rFonts w:eastAsia="Calibri"/>
          <w:bCs/>
          <w:color w:val="010000"/>
        </w:rPr>
        <w:t xml:space="preserve"> </w:t>
      </w:r>
      <w:r w:rsidRPr="00C05F9E">
        <w:rPr>
          <w:rFonts w:eastAsia="Calibri"/>
          <w:bCs/>
          <w:color w:val="010000"/>
        </w:rPr>
        <w:t>ise hakka getirilen sınırlama ile ulaşılmak istenen amaç arasında makul bir dengenin gözetilmesi gerekliliğini ifade etmektedir.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26. Hekimlik mesleğinin, yer ve zaman sınırlaması olmaksızın toplum yararına hizmet etmeyi gerektiren, insan yaşamının korunmasını amaç edinen bir nitelik taşıması itibarıyla hekimlerin tabi olması gereken kanuni ve etik sınırların diğer pek çok meslekten daha ayrıntılı ve katı şekilde düzenlenmiş olması olağan kabul edilmelidir. Nitekim kuralda da hekimlik mesleğinin icrası için sınırlı sayıda yer verilen bir kısım suçtan mahkûm olmama şartının getirildiği görülmektedir. Bu yönüyle kuralla öngörülen sınırlamanın, hekimlik mesleğinin onur ve itibarının korunması amacına ulaşılması bakımından elverişli olduğu anlaşılmaktadır.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27. Kuralda hekimlik mesleğinin icrasına engel olduğu belirtilen suçların niteliği gözetildiğinde, bunları işleyenlerin hekimlik mesleğinin icrasından yasaklanmasının kanun koyucunun takdir yetkisi kapsamında öngörebileceği bir tedbir olduğu değerlendirilmiştir. Bu sebeple kuralın hekimlik mesleğinin onur ve itibarının korunmasına yönelik amacın gerçekleştirilmesi bakımından gerekli olma şartını sağladığı sonucuna ulaşılmıştır.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28. Diğer yandan sınırlamanın orantılı olup olmadığı da ortaya konulmalıdır. Bu itibarla hekimlik mesleğine ilişkin onur ve itibarın korunmasına dair tedbirler sonucunda hekimlik mesleğini icra etmek isteyenlerin yüklendiği külfet ile hak ve menfaatleri arasında adil bir dengenin kurulması gerekmektedir. Hekimlik mesleğini icra etmek isteyenlere aşırı bir külfet yüklenip </w:t>
      </w:r>
      <w:r w:rsidRPr="00C05F9E">
        <w:rPr>
          <w:rFonts w:eastAsia="Calibri"/>
          <w:bCs/>
          <w:color w:val="010000"/>
        </w:rPr>
        <w:lastRenderedPageBreak/>
        <w:t>yüklenmediğinin denetiminde kuralla öngörülen sınırlamanın süresiz bir sınırlama olup olmadığı veya hekimlik mesleğini yeniden icra edebilmeyi sağlayan hukuki bir çarenin olup olmadığı önem taşımaktadır.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29. 5352 sayılı Kanun’un 13/A maddesinde yasaklanmış hakların geri verilmesi kurumu düzenlenmiştir. Anılan maddenin gerekçesinde 5237 sa</w:t>
      </w:r>
      <w:r w:rsidRPr="00C05F9E">
        <w:rPr>
          <w:rFonts w:eastAsia="Calibri"/>
          <w:bCs/>
          <w:color w:val="010000"/>
        </w:rPr>
        <w:softHyphen/>
        <w:t>yı</w:t>
      </w:r>
      <w:r w:rsidRPr="00C05F9E">
        <w:rPr>
          <w:rFonts w:eastAsia="Calibri"/>
          <w:bCs/>
          <w:color w:val="010000"/>
        </w:rPr>
        <w:softHyphen/>
        <w:t>lı Ka</w:t>
      </w:r>
      <w:r w:rsidRPr="00C05F9E">
        <w:rPr>
          <w:rFonts w:eastAsia="Calibri"/>
          <w:bCs/>
          <w:color w:val="010000"/>
        </w:rPr>
        <w:softHyphen/>
        <w:t>nu</w:t>
      </w:r>
      <w:r w:rsidRPr="00C05F9E">
        <w:rPr>
          <w:rFonts w:eastAsia="Calibri"/>
          <w:bCs/>
          <w:color w:val="010000"/>
        </w:rPr>
        <w:softHyphen/>
        <w:t>n dı</w:t>
      </w:r>
      <w:r w:rsidRPr="00C05F9E">
        <w:rPr>
          <w:rFonts w:eastAsia="Calibri"/>
          <w:bCs/>
          <w:color w:val="010000"/>
        </w:rPr>
        <w:softHyphen/>
        <w:t>şın</w:t>
      </w:r>
      <w:r w:rsidRPr="00C05F9E">
        <w:rPr>
          <w:rFonts w:eastAsia="Calibri"/>
          <w:bCs/>
          <w:color w:val="010000"/>
        </w:rPr>
        <w:softHyphen/>
        <w:t>da</w:t>
      </w:r>
      <w:r w:rsidRPr="00C05F9E">
        <w:rPr>
          <w:rFonts w:eastAsia="Calibri"/>
          <w:bCs/>
          <w:color w:val="010000"/>
        </w:rPr>
        <w:softHyphen/>
        <w:t>ki çe</w:t>
      </w:r>
      <w:r w:rsidRPr="00C05F9E">
        <w:rPr>
          <w:rFonts w:eastAsia="Calibri"/>
          <w:bCs/>
          <w:color w:val="010000"/>
        </w:rPr>
        <w:softHyphen/>
        <w:t>şit</w:t>
      </w:r>
      <w:r w:rsidRPr="00C05F9E">
        <w:rPr>
          <w:rFonts w:eastAsia="Calibri"/>
          <w:bCs/>
          <w:color w:val="010000"/>
        </w:rPr>
        <w:softHyphen/>
        <w:t>li ka</w:t>
      </w:r>
      <w:r w:rsidRPr="00C05F9E">
        <w:rPr>
          <w:rFonts w:eastAsia="Calibri"/>
          <w:bCs/>
          <w:color w:val="010000"/>
        </w:rPr>
        <w:softHyphen/>
        <w:t>nun</w:t>
      </w:r>
      <w:r w:rsidRPr="00C05F9E">
        <w:rPr>
          <w:rFonts w:eastAsia="Calibri"/>
          <w:bCs/>
          <w:color w:val="010000"/>
        </w:rPr>
        <w:softHyphen/>
        <w:t>lar</w:t>
      </w:r>
      <w:r w:rsidRPr="00C05F9E">
        <w:rPr>
          <w:rFonts w:eastAsia="Calibri"/>
          <w:bCs/>
          <w:color w:val="010000"/>
        </w:rPr>
        <w:softHyphen/>
        <w:t>da</w:t>
      </w:r>
      <w:r w:rsidRPr="00C05F9E">
        <w:rPr>
          <w:rFonts w:eastAsia="Calibri"/>
          <w:bCs/>
          <w:color w:val="010000"/>
        </w:rPr>
        <w:softHyphen/>
        <w:t>ki ka</w:t>
      </w:r>
      <w:r w:rsidRPr="00C05F9E">
        <w:rPr>
          <w:rFonts w:eastAsia="Calibri"/>
          <w:bCs/>
          <w:color w:val="010000"/>
        </w:rPr>
        <w:softHyphen/>
        <w:t>sıt</w:t>
      </w:r>
      <w:r w:rsidRPr="00C05F9E">
        <w:rPr>
          <w:rFonts w:eastAsia="Calibri"/>
          <w:bCs/>
          <w:color w:val="010000"/>
        </w:rPr>
        <w:softHyphen/>
        <w:t>lı bir suç</w:t>
      </w:r>
      <w:r w:rsidRPr="00C05F9E">
        <w:rPr>
          <w:rFonts w:eastAsia="Calibri"/>
          <w:bCs/>
          <w:color w:val="010000"/>
        </w:rPr>
        <w:softHyphen/>
        <w:t>tan do</w:t>
      </w:r>
      <w:r w:rsidRPr="00C05F9E">
        <w:rPr>
          <w:rFonts w:eastAsia="Calibri"/>
          <w:bCs/>
          <w:color w:val="010000"/>
        </w:rPr>
        <w:softHyphen/>
        <w:t>la</w:t>
      </w:r>
      <w:r w:rsidRPr="00C05F9E">
        <w:rPr>
          <w:rFonts w:eastAsia="Calibri"/>
          <w:bCs/>
          <w:color w:val="010000"/>
        </w:rPr>
        <w:softHyphen/>
        <w:t>yı be</w:t>
      </w:r>
      <w:r w:rsidRPr="00C05F9E">
        <w:rPr>
          <w:rFonts w:eastAsia="Calibri"/>
          <w:bCs/>
          <w:color w:val="010000"/>
        </w:rPr>
        <w:softHyphen/>
        <w:t>lir</w:t>
      </w:r>
      <w:r w:rsidRPr="00C05F9E">
        <w:rPr>
          <w:rFonts w:eastAsia="Calibri"/>
          <w:bCs/>
          <w:color w:val="010000"/>
        </w:rPr>
        <w:softHyphen/>
        <w:t>li sü</w:t>
      </w:r>
      <w:r w:rsidRPr="00C05F9E">
        <w:rPr>
          <w:rFonts w:eastAsia="Calibri"/>
          <w:bCs/>
          <w:color w:val="010000"/>
        </w:rPr>
        <w:softHyphen/>
        <w:t>rey</w:t>
      </w:r>
      <w:r w:rsidRPr="00C05F9E">
        <w:rPr>
          <w:rFonts w:eastAsia="Calibri"/>
          <w:bCs/>
          <w:color w:val="010000"/>
        </w:rPr>
        <w:softHyphen/>
        <w:t>le ha</w:t>
      </w:r>
      <w:r w:rsidRPr="00C05F9E">
        <w:rPr>
          <w:rFonts w:eastAsia="Calibri"/>
          <w:bCs/>
          <w:color w:val="010000"/>
        </w:rPr>
        <w:softHyphen/>
        <w:t>pis ce</w:t>
      </w:r>
      <w:r w:rsidRPr="00C05F9E">
        <w:rPr>
          <w:rFonts w:eastAsia="Calibri"/>
          <w:bCs/>
          <w:color w:val="010000"/>
        </w:rPr>
        <w:softHyphen/>
        <w:t>za</w:t>
      </w:r>
      <w:r w:rsidRPr="00C05F9E">
        <w:rPr>
          <w:rFonts w:eastAsia="Calibri"/>
          <w:bCs/>
          <w:color w:val="010000"/>
        </w:rPr>
        <w:softHyphen/>
        <w:t>sı</w:t>
      </w:r>
      <w:r w:rsidRPr="00C05F9E">
        <w:rPr>
          <w:rFonts w:eastAsia="Calibri"/>
          <w:bCs/>
          <w:color w:val="010000"/>
        </w:rPr>
        <w:softHyphen/>
        <w:t>na ve</w:t>
      </w:r>
      <w:r w:rsidRPr="00C05F9E">
        <w:rPr>
          <w:rFonts w:eastAsia="Calibri"/>
          <w:bCs/>
          <w:color w:val="010000"/>
        </w:rPr>
        <w:softHyphen/>
        <w:t>ya bel</w:t>
      </w:r>
      <w:r w:rsidRPr="00C05F9E">
        <w:rPr>
          <w:rFonts w:eastAsia="Calibri"/>
          <w:bCs/>
          <w:color w:val="010000"/>
        </w:rPr>
        <w:softHyphen/>
        <w:t>li suç</w:t>
      </w:r>
      <w:r w:rsidRPr="00C05F9E">
        <w:rPr>
          <w:rFonts w:eastAsia="Calibri"/>
          <w:bCs/>
          <w:color w:val="010000"/>
        </w:rPr>
        <w:softHyphen/>
        <w:t>lar</w:t>
      </w:r>
      <w:r w:rsidRPr="00C05F9E">
        <w:rPr>
          <w:rFonts w:eastAsia="Calibri"/>
          <w:bCs/>
          <w:color w:val="010000"/>
        </w:rPr>
        <w:softHyphen/>
        <w:t>dan do</w:t>
      </w:r>
      <w:r w:rsidRPr="00C05F9E">
        <w:rPr>
          <w:rFonts w:eastAsia="Calibri"/>
          <w:bCs/>
          <w:color w:val="010000"/>
        </w:rPr>
        <w:softHyphen/>
        <w:t>la</w:t>
      </w:r>
      <w:r w:rsidRPr="00C05F9E">
        <w:rPr>
          <w:rFonts w:eastAsia="Calibri"/>
          <w:bCs/>
          <w:color w:val="010000"/>
        </w:rPr>
        <w:softHyphen/>
        <w:t>yı bir ce</w:t>
      </w:r>
      <w:r w:rsidRPr="00C05F9E">
        <w:rPr>
          <w:rFonts w:eastAsia="Calibri"/>
          <w:bCs/>
          <w:color w:val="010000"/>
        </w:rPr>
        <w:softHyphen/>
        <w:t>za</w:t>
      </w:r>
      <w:r w:rsidRPr="00C05F9E">
        <w:rPr>
          <w:rFonts w:eastAsia="Calibri"/>
          <w:bCs/>
          <w:color w:val="010000"/>
        </w:rPr>
        <w:softHyphen/>
        <w:t>ya mah</w:t>
      </w:r>
      <w:r w:rsidRPr="00C05F9E">
        <w:rPr>
          <w:rFonts w:eastAsia="Calibri"/>
          <w:bCs/>
          <w:color w:val="010000"/>
        </w:rPr>
        <w:softHyphen/>
        <w:t>kûm olan ki</w:t>
      </w:r>
      <w:r w:rsidRPr="00C05F9E">
        <w:rPr>
          <w:rFonts w:eastAsia="Calibri"/>
          <w:bCs/>
          <w:color w:val="010000"/>
        </w:rPr>
        <w:softHyphen/>
        <w:t>şi</w:t>
      </w:r>
      <w:r w:rsidRPr="00C05F9E">
        <w:rPr>
          <w:rFonts w:eastAsia="Calibri"/>
          <w:bCs/>
          <w:color w:val="010000"/>
        </w:rPr>
        <w:softHyphen/>
        <w:t>le</w:t>
      </w:r>
      <w:r w:rsidRPr="00C05F9E">
        <w:rPr>
          <w:rFonts w:eastAsia="Calibri"/>
          <w:bCs/>
          <w:color w:val="010000"/>
        </w:rPr>
        <w:softHyphen/>
        <w:t>rin sü</w:t>
      </w:r>
      <w:r w:rsidRPr="00C05F9E">
        <w:rPr>
          <w:rFonts w:eastAsia="Calibri"/>
          <w:bCs/>
          <w:color w:val="010000"/>
        </w:rPr>
        <w:softHyphen/>
        <w:t>re</w:t>
      </w:r>
      <w:r w:rsidRPr="00C05F9E">
        <w:rPr>
          <w:rFonts w:eastAsia="Calibri"/>
          <w:bCs/>
          <w:color w:val="010000"/>
        </w:rPr>
        <w:softHyphen/>
        <w:t>siz ola</w:t>
      </w:r>
      <w:r w:rsidRPr="00C05F9E">
        <w:rPr>
          <w:rFonts w:eastAsia="Calibri"/>
          <w:bCs/>
          <w:color w:val="010000"/>
        </w:rPr>
        <w:softHyphen/>
        <w:t>rak kul</w:t>
      </w:r>
      <w:r w:rsidRPr="00C05F9E">
        <w:rPr>
          <w:rFonts w:eastAsia="Calibri"/>
          <w:bCs/>
          <w:color w:val="010000"/>
        </w:rPr>
        <w:softHyphen/>
        <w:t>lan</w:t>
      </w:r>
      <w:r w:rsidRPr="00C05F9E">
        <w:rPr>
          <w:rFonts w:eastAsia="Calibri"/>
          <w:bCs/>
          <w:color w:val="010000"/>
        </w:rPr>
        <w:softHyphen/>
        <w:t>mak</w:t>
      </w:r>
      <w:r w:rsidRPr="00C05F9E">
        <w:rPr>
          <w:rFonts w:eastAsia="Calibri"/>
          <w:bCs/>
          <w:color w:val="010000"/>
        </w:rPr>
        <w:softHyphen/>
        <w:t>tan ya</w:t>
      </w:r>
      <w:r w:rsidRPr="00C05F9E">
        <w:rPr>
          <w:rFonts w:eastAsia="Calibri"/>
          <w:bCs/>
          <w:color w:val="010000"/>
        </w:rPr>
        <w:softHyphen/>
        <w:t>sak</w:t>
      </w:r>
      <w:r w:rsidRPr="00C05F9E">
        <w:rPr>
          <w:rFonts w:eastAsia="Calibri"/>
          <w:bCs/>
          <w:color w:val="010000"/>
        </w:rPr>
        <w:softHyphen/>
        <w:t>lan</w:t>
      </w:r>
      <w:r w:rsidRPr="00C05F9E">
        <w:rPr>
          <w:rFonts w:eastAsia="Calibri"/>
          <w:bCs/>
          <w:color w:val="010000"/>
        </w:rPr>
        <w:softHyphen/>
        <w:t>dık</w:t>
      </w:r>
      <w:r w:rsidRPr="00C05F9E">
        <w:rPr>
          <w:rFonts w:eastAsia="Calibri"/>
          <w:bCs/>
          <w:color w:val="010000"/>
        </w:rPr>
        <w:softHyphen/>
        <w:t>la</w:t>
      </w:r>
      <w:r w:rsidRPr="00C05F9E">
        <w:rPr>
          <w:rFonts w:eastAsia="Calibri"/>
          <w:bCs/>
          <w:color w:val="010000"/>
        </w:rPr>
        <w:softHyphen/>
        <w:t>rı hak</w:t>
      </w:r>
      <w:r w:rsidRPr="00C05F9E">
        <w:rPr>
          <w:rFonts w:eastAsia="Calibri"/>
          <w:bCs/>
          <w:color w:val="010000"/>
        </w:rPr>
        <w:softHyphen/>
        <w:t>la</w:t>
      </w:r>
      <w:r w:rsidRPr="00C05F9E">
        <w:rPr>
          <w:rFonts w:eastAsia="Calibri"/>
          <w:bCs/>
          <w:color w:val="010000"/>
        </w:rPr>
        <w:softHyphen/>
        <w:t>rı tek</w:t>
      </w:r>
      <w:r w:rsidRPr="00C05F9E">
        <w:rPr>
          <w:rFonts w:eastAsia="Calibri"/>
          <w:bCs/>
          <w:color w:val="010000"/>
        </w:rPr>
        <w:softHyphen/>
        <w:t>rar kul</w:t>
      </w:r>
      <w:r w:rsidRPr="00C05F9E">
        <w:rPr>
          <w:rFonts w:eastAsia="Calibri"/>
          <w:bCs/>
          <w:color w:val="010000"/>
        </w:rPr>
        <w:softHyphen/>
        <w:t>la</w:t>
      </w:r>
      <w:r w:rsidRPr="00C05F9E">
        <w:rPr>
          <w:rFonts w:eastAsia="Calibri"/>
          <w:bCs/>
          <w:color w:val="010000"/>
        </w:rPr>
        <w:softHyphen/>
        <w:t>na</w:t>
      </w:r>
      <w:r w:rsidRPr="00C05F9E">
        <w:rPr>
          <w:rFonts w:eastAsia="Calibri"/>
          <w:bCs/>
          <w:color w:val="010000"/>
        </w:rPr>
        <w:softHyphen/>
        <w:t>bil</w:t>
      </w:r>
      <w:r w:rsidRPr="00C05F9E">
        <w:rPr>
          <w:rFonts w:eastAsia="Calibri"/>
          <w:bCs/>
          <w:color w:val="010000"/>
        </w:rPr>
        <w:softHyphen/>
        <w:t>me</w:t>
      </w:r>
      <w:r w:rsidRPr="00C05F9E">
        <w:rPr>
          <w:rFonts w:eastAsia="Calibri"/>
          <w:bCs/>
          <w:color w:val="010000"/>
        </w:rPr>
        <w:softHyphen/>
        <w:t>le</w:t>
      </w:r>
      <w:r w:rsidRPr="00C05F9E">
        <w:rPr>
          <w:rFonts w:eastAsia="Calibri"/>
          <w:bCs/>
          <w:color w:val="010000"/>
        </w:rPr>
        <w:softHyphen/>
        <w:t>ri</w:t>
      </w:r>
      <w:r w:rsidRPr="00C05F9E">
        <w:rPr>
          <w:rFonts w:eastAsia="Calibri"/>
          <w:bCs/>
          <w:color w:val="010000"/>
        </w:rPr>
        <w:softHyphen/>
        <w:t>ne imkân ta</w:t>
      </w:r>
      <w:r w:rsidRPr="00C05F9E">
        <w:rPr>
          <w:rFonts w:eastAsia="Calibri"/>
          <w:bCs/>
          <w:color w:val="010000"/>
        </w:rPr>
        <w:softHyphen/>
        <w:t>nı</w:t>
      </w:r>
      <w:r w:rsidRPr="00C05F9E">
        <w:rPr>
          <w:rFonts w:eastAsia="Calibri"/>
          <w:bCs/>
          <w:color w:val="010000"/>
        </w:rPr>
        <w:softHyphen/>
        <w:t>yan bir dü</w:t>
      </w:r>
      <w:r w:rsidRPr="00C05F9E">
        <w:rPr>
          <w:rFonts w:eastAsia="Calibri"/>
          <w:bCs/>
          <w:color w:val="010000"/>
        </w:rPr>
        <w:softHyphen/>
        <w:t>zen</w:t>
      </w:r>
      <w:r w:rsidRPr="00C05F9E">
        <w:rPr>
          <w:rFonts w:eastAsia="Calibri"/>
          <w:bCs/>
          <w:color w:val="010000"/>
        </w:rPr>
        <w:softHyphen/>
        <w:t>le</w:t>
      </w:r>
      <w:r w:rsidRPr="00C05F9E">
        <w:rPr>
          <w:rFonts w:eastAsia="Calibri"/>
          <w:bCs/>
          <w:color w:val="010000"/>
        </w:rPr>
        <w:softHyphen/>
        <w:t>me ya</w:t>
      </w:r>
      <w:r w:rsidRPr="00C05F9E">
        <w:rPr>
          <w:rFonts w:eastAsia="Calibri"/>
          <w:bCs/>
          <w:color w:val="010000"/>
        </w:rPr>
        <w:softHyphen/>
        <w:t>pıl</w:t>
      </w:r>
      <w:r w:rsidRPr="00C05F9E">
        <w:rPr>
          <w:rFonts w:eastAsia="Calibri"/>
          <w:bCs/>
          <w:color w:val="010000"/>
        </w:rPr>
        <w:softHyphen/>
        <w:t>ma</w:t>
      </w:r>
      <w:r w:rsidRPr="00C05F9E">
        <w:rPr>
          <w:rFonts w:eastAsia="Calibri"/>
          <w:bCs/>
          <w:color w:val="010000"/>
        </w:rPr>
        <w:softHyphen/>
        <w:t>sı</w:t>
      </w:r>
      <w:r w:rsidRPr="00C05F9E">
        <w:rPr>
          <w:rFonts w:eastAsia="Calibri"/>
          <w:bCs/>
          <w:color w:val="010000"/>
        </w:rPr>
        <w:softHyphen/>
        <w:t>na ih</w:t>
      </w:r>
      <w:r w:rsidRPr="00C05F9E">
        <w:rPr>
          <w:rFonts w:eastAsia="Calibri"/>
          <w:bCs/>
          <w:color w:val="010000"/>
        </w:rPr>
        <w:softHyphen/>
        <w:t>ti</w:t>
      </w:r>
      <w:r w:rsidRPr="00C05F9E">
        <w:rPr>
          <w:rFonts w:eastAsia="Calibri"/>
          <w:bCs/>
          <w:color w:val="010000"/>
        </w:rPr>
        <w:softHyphen/>
        <w:t>yaç du</w:t>
      </w:r>
      <w:r w:rsidRPr="00C05F9E">
        <w:rPr>
          <w:rFonts w:eastAsia="Calibri"/>
          <w:bCs/>
          <w:color w:val="010000"/>
        </w:rPr>
        <w:softHyphen/>
        <w:t>yulduğu belirtilmiştir. Bu kapsamda</w:t>
      </w:r>
      <w:r w:rsidRPr="00C05F9E">
        <w:rPr>
          <w:rFonts w:eastAsia="Calibri"/>
          <w:bCs/>
          <w:color w:val="010000"/>
        </w:rPr>
        <w:softHyphen/>
        <w:t xml:space="preserve"> anılan madde uyarınca, </w:t>
      </w:r>
      <w:bookmarkStart w:id="11" w:name="_Hlk167397033"/>
      <w:r w:rsidRPr="00C05F9E">
        <w:rPr>
          <w:rFonts w:eastAsia="Calibri"/>
          <w:bCs/>
          <w:color w:val="010000"/>
        </w:rPr>
        <w:t>yasaklanmış hakların geri verilebilmesi için 5237 sayılı Kanun’un 53. maddesinin beşinci ve altıncı fıkraları saklı kalmak kaydıyla,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gerektiği belirtilmiştir</w:t>
      </w:r>
      <w:bookmarkEnd w:id="11"/>
      <w:r w:rsidRPr="00C05F9E">
        <w:rPr>
          <w:rFonts w:eastAsia="Calibri"/>
          <w:bCs/>
          <w:color w:val="010000"/>
        </w:rPr>
        <w:t>.</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30. Süresiz hak yoksunluğunun oluşturduğu sorunların çözümü amacıyla getirilen yasaklanmış hakların geri verilmesi kurumunun, anayasal düzene ve bu düzenin işleyişine karşı suçlardan mahkûm olanların hekimlik mesleğini yeniden icra etmelerine imkân sağlayıp sağlamadığı, kişilere aşırı bir külfet yüklenip yüklenmediğinin tespitinde önem taşımaktadır.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31. Kural uyarınca </w:t>
      </w:r>
      <w:bookmarkStart w:id="12" w:name="_Hlk173233289"/>
      <w:r w:rsidRPr="00C05F9E">
        <w:rPr>
          <w:rFonts w:eastAsia="Calibri"/>
          <w:bCs/>
          <w:color w:val="010000"/>
        </w:rPr>
        <w:t>anayasal düzene ve bu düzenin işleyişine karşı suçlardan mahkûm olanların özel sağlık kuruluşları bünyesinde veya serbest olarak hekimlik mesleğini icra etmelerinin süresiz olarak kısıtlandığı</w:t>
      </w:r>
      <w:bookmarkEnd w:id="12"/>
      <w:r w:rsidRPr="00C05F9E">
        <w:rPr>
          <w:rFonts w:eastAsia="Calibri"/>
          <w:bCs/>
          <w:color w:val="010000"/>
        </w:rPr>
        <w:t>, bununla beraber yasaklanmış hakların geri verilmesi kararıyla hekimlik mesleğinin icrasının önünde bir engel olmadığı anlaşılmaktadır. Bu kapsamda, yasaklanmış hakların geri verilebilmesi için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şartlarının kişiye aşırı külfet yükleyip yüklemediği değerlendirilmelidir.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32. Bu bağlamda infazın tamamlanmasından itibaren geçmesi gereken üç yıllık süre şartıyla hekimlik mesleğinin özel sağlık kuruluşları bünyesinde veya serbest olarak icrasının süresiz olarak sınırlanmadığı ve bu üç yıllık sürenin hekimlik mesleğinin niteliği gözetildiğinde makul ve orantılı olduğu anlaşılmaktadır.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33. Öte yandan yasaklanmış hakların geri verilmesi için üç yıllık süre içerisinde yeni bir suç işlememe ve hayatın iyi hâlli olarak sürdürüldüğü hususunda mahkemede kanaatin oluşması şartı arandığından bu konuda hâkimin takdir yetkisi bulunmaktadır. Bununla beraber iyi hâlin belirlenmesinde üç yıl içerisinde yeni bir suçun işlenmemesinin etkili olduğu gözetildiğinde hâkime sınırsız bir takdir yetkisinin verilmediği anlaşılmaktadır.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 xml:space="preserve">34. Kaldı ki anayasal düzene ve bu düzenin işleyişine karşı suçların niteliği, toplumda oluşturduğu etki düşünüldüğünde, hekimlik mesleğinin icrasını sağlayacak kararda hâkime verilen takdir yetkisinin hekimlik mesleğinin onur ve itibarının korunması amacına hizmet edeceği açıktır. </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35. Bu itibarla kuralla anayasal düzene ve bu düzenin işleyişine karşı suçlardan mahkûm olanların özel sağlık kuruluşları bünyesinde veya serbest olarak hekimlik mesleğini icra etmeleri bakımından bir hak yoksunluğu getirilmekte ise de yasaklanmış hakların geri verilmesi kurumuyla birlikte bu hak yoksunluğunun süresiz olmadığı, bu sürenin yeni kurumla birlikte diğer koşulların yanında üç yılla sınırlandırıldığı ve hekimlik mesleğinin icrası için anayasal düzene ve bu düzenin işleyişine karşı suçlardan mahkûm olanlara aşırı bir külfet yüklemediği anlaşılmaktadır.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lastRenderedPageBreak/>
        <w:t>36. Açıklanan nedenlerle kural, Anayasa’nın 13., 48. ve 49. maddelerine aykırı değildir. İtirazın reddi gerekir.</w:t>
      </w:r>
    </w:p>
    <w:p w:rsidR="00407CF6" w:rsidRPr="00C05F9E" w:rsidRDefault="00407CF6" w:rsidP="00C05F9E">
      <w:pPr>
        <w:spacing w:after="200"/>
        <w:ind w:right="283" w:firstLine="709"/>
        <w:jc w:val="both"/>
        <w:rPr>
          <w:rFonts w:eastAsia="Calibri"/>
          <w:bCs/>
          <w:color w:val="010000"/>
        </w:rPr>
      </w:pPr>
      <w:r w:rsidRPr="00C05F9E">
        <w:rPr>
          <w:color w:val="010000"/>
        </w:rPr>
        <w:t xml:space="preserve">Hasan Tahsin GÖKCAN, Engin YILDIRIM, </w:t>
      </w:r>
      <w:r w:rsidRPr="00C05F9E">
        <w:rPr>
          <w:bCs/>
          <w:color w:val="010000"/>
        </w:rPr>
        <w:t xml:space="preserve">Yusuf Şevki HAKYEMEZ, Yıldız SEFERİNOĞLU, </w:t>
      </w:r>
      <w:r w:rsidRPr="00C05F9E">
        <w:rPr>
          <w:color w:val="010000"/>
        </w:rPr>
        <w:t>Selahaddin MENTEŞ</w:t>
      </w:r>
      <w:r w:rsidRPr="00C05F9E">
        <w:rPr>
          <w:bCs/>
          <w:color w:val="010000"/>
        </w:rPr>
        <w:t xml:space="preserve"> ve Kenan YAŞAR bu görüşe katılmamışlardır.</w:t>
      </w:r>
    </w:p>
    <w:p w:rsidR="00407CF6" w:rsidRPr="00C05F9E" w:rsidRDefault="00407CF6" w:rsidP="00C05F9E">
      <w:pPr>
        <w:spacing w:after="200"/>
        <w:ind w:right="283" w:firstLine="709"/>
        <w:jc w:val="both"/>
        <w:rPr>
          <w:rFonts w:eastAsia="Calibri"/>
          <w:bCs/>
          <w:color w:val="010000"/>
        </w:rPr>
      </w:pPr>
      <w:r w:rsidRPr="00C05F9E">
        <w:rPr>
          <w:rFonts w:eastAsia="Calibri"/>
          <w:bCs/>
          <w:color w:val="010000"/>
        </w:rPr>
        <w:t>Kuralın Anayasa’nın 20. maddesine de aykırı olduğu ileri sürülmüş ise de bu bağlamda belirtilen hususların Anayasa’nın 13., 48. ve 49. maddeleri kapsamında ele alınmış olması nedeniyle Anayasa’nın 20. maddesi yönünden ayrıca bir inceleme yapılmasına gerek görülmemiştir.</w:t>
      </w:r>
    </w:p>
    <w:p w:rsidR="00407CF6" w:rsidRPr="00C05F9E" w:rsidRDefault="00407CF6" w:rsidP="00C05F9E">
      <w:pPr>
        <w:spacing w:after="200"/>
        <w:ind w:right="283" w:firstLine="709"/>
        <w:jc w:val="both"/>
        <w:rPr>
          <w:rFonts w:eastAsia="Calibri"/>
          <w:b/>
          <w:bCs/>
          <w:color w:val="010000"/>
        </w:rPr>
      </w:pPr>
      <w:r w:rsidRPr="00C05F9E">
        <w:rPr>
          <w:rFonts w:eastAsia="Calibri"/>
          <w:b/>
          <w:bCs/>
          <w:color w:val="010000"/>
        </w:rPr>
        <w:t>IV. HÜKÜM</w:t>
      </w:r>
    </w:p>
    <w:p w:rsidR="00F96D4C" w:rsidRPr="00C05F9E" w:rsidRDefault="00F96D4C" w:rsidP="00C05F9E">
      <w:pPr>
        <w:spacing w:after="200"/>
        <w:ind w:right="283" w:firstLine="709"/>
        <w:jc w:val="both"/>
        <w:rPr>
          <w:color w:val="010000"/>
        </w:rPr>
      </w:pPr>
      <w:bookmarkStart w:id="13" w:name="_Hlk104981327"/>
      <w:bookmarkStart w:id="14" w:name="_Hlk104981275"/>
      <w:r w:rsidRPr="00C05F9E">
        <w:rPr>
          <w:color w:val="010000"/>
        </w:rPr>
        <w:t xml:space="preserve">11/4/1928 tarihli ve 1219 sayılı </w:t>
      </w:r>
      <w:r w:rsidRPr="00C05F9E">
        <w:rPr>
          <w:bCs/>
          <w:color w:val="010000"/>
        </w:rPr>
        <w:t xml:space="preserve">Tababet ve </w:t>
      </w:r>
      <w:proofErr w:type="spellStart"/>
      <w:r w:rsidRPr="00C05F9E">
        <w:rPr>
          <w:bCs/>
          <w:color w:val="010000"/>
        </w:rPr>
        <w:t>Şuabatı</w:t>
      </w:r>
      <w:proofErr w:type="spellEnd"/>
      <w:r w:rsidRPr="00C05F9E">
        <w:rPr>
          <w:bCs/>
          <w:color w:val="010000"/>
        </w:rPr>
        <w:t xml:space="preserve"> </w:t>
      </w:r>
      <w:proofErr w:type="spellStart"/>
      <w:r w:rsidRPr="00C05F9E">
        <w:rPr>
          <w:bCs/>
          <w:color w:val="010000"/>
        </w:rPr>
        <w:t>San'atlarının</w:t>
      </w:r>
      <w:proofErr w:type="spellEnd"/>
      <w:r w:rsidRPr="00C05F9E">
        <w:rPr>
          <w:bCs/>
          <w:color w:val="010000"/>
        </w:rPr>
        <w:t xml:space="preserve"> Tarzı İcrasına Dair Kanun</w:t>
      </w:r>
      <w:r w:rsidRPr="00C05F9E">
        <w:rPr>
          <w:color w:val="010000"/>
        </w:rPr>
        <w:t xml:space="preserve">’un 23/1/2008 tarihli ve 5728 sayılı </w:t>
      </w:r>
      <w:r w:rsidRPr="00C05F9E">
        <w:rPr>
          <w:bCs/>
          <w:color w:val="010000"/>
        </w:rPr>
        <w:t>Kanun’un 25. maddesiyle değiştirilen</w:t>
      </w:r>
      <w:r w:rsidRPr="00C05F9E">
        <w:rPr>
          <w:color w:val="010000"/>
        </w:rPr>
        <w:t xml:space="preserve"> 28. maddesinin b</w:t>
      </w:r>
      <w:r w:rsidRPr="00C05F9E">
        <w:rPr>
          <w:rFonts w:eastAsia="Calibri"/>
          <w:color w:val="010000"/>
          <w:lang w:eastAsia="en-US"/>
        </w:rPr>
        <w:t xml:space="preserve">irinci fıkrasında yer alan </w:t>
      </w:r>
      <w:r w:rsidRPr="00C05F9E">
        <w:rPr>
          <w:i/>
          <w:color w:val="010000"/>
          <w:lang w:eastAsia="en-US"/>
        </w:rPr>
        <w:t>“…Anayasal düzene ve bu düzenin işleyişine karşı suçlar,…”</w:t>
      </w:r>
      <w:r w:rsidRPr="00C05F9E">
        <w:rPr>
          <w:color w:val="010000"/>
          <w:lang w:eastAsia="en-US"/>
        </w:rPr>
        <w:t xml:space="preserve"> </w:t>
      </w:r>
      <w:r w:rsidRPr="00C05F9E">
        <w:rPr>
          <w:color w:val="010000"/>
        </w:rPr>
        <w:t xml:space="preserve">ibaresinin </w:t>
      </w:r>
      <w:r w:rsidRPr="00C05F9E">
        <w:rPr>
          <w:rFonts w:eastAsia="Calibri"/>
          <w:bCs/>
          <w:color w:val="010000"/>
        </w:rPr>
        <w:t xml:space="preserve">Anayasa’ya aykırı olmadığına ve itirazın REDDİNE, </w:t>
      </w:r>
      <w:r w:rsidRPr="00C05F9E">
        <w:rPr>
          <w:color w:val="010000"/>
        </w:rPr>
        <w:t xml:space="preserve">Hasan Tahsin GÖKCAN, Engin YILDIRIM, </w:t>
      </w:r>
      <w:r w:rsidRPr="00C05F9E">
        <w:rPr>
          <w:bCs/>
          <w:color w:val="010000"/>
        </w:rPr>
        <w:t xml:space="preserve">Yusuf Şevki HAKYEMEZ, Yıldız SEFERİNOĞLU, </w:t>
      </w:r>
      <w:r w:rsidRPr="00C05F9E">
        <w:rPr>
          <w:color w:val="010000"/>
        </w:rPr>
        <w:t>Selahaddin MENTEŞ</w:t>
      </w:r>
      <w:r w:rsidRPr="00C05F9E">
        <w:rPr>
          <w:bCs/>
          <w:color w:val="010000"/>
        </w:rPr>
        <w:t xml:space="preserve"> ile Kenan </w:t>
      </w:r>
      <w:proofErr w:type="spellStart"/>
      <w:r w:rsidRPr="00C05F9E">
        <w:rPr>
          <w:bCs/>
          <w:color w:val="010000"/>
        </w:rPr>
        <w:t>YAŞAR’ın</w:t>
      </w:r>
      <w:proofErr w:type="spellEnd"/>
      <w:r w:rsidRPr="00C05F9E">
        <w:rPr>
          <w:rFonts w:eastAsia="ヒラギノ明朝 Pro W3"/>
          <w:bCs/>
          <w:color w:val="010000"/>
        </w:rPr>
        <w:t xml:space="preserve"> </w:t>
      </w:r>
      <w:proofErr w:type="spellStart"/>
      <w:r w:rsidRPr="00C05F9E">
        <w:rPr>
          <w:rFonts w:eastAsia="ヒラギノ明朝 Pro W3"/>
          <w:bCs/>
          <w:color w:val="010000"/>
        </w:rPr>
        <w:t>karşıoyları</w:t>
      </w:r>
      <w:proofErr w:type="spellEnd"/>
      <w:r w:rsidRPr="00C05F9E">
        <w:rPr>
          <w:rFonts w:eastAsia="ヒラギノ明朝 Pro W3"/>
          <w:bCs/>
          <w:color w:val="010000"/>
        </w:rPr>
        <w:t xml:space="preserve"> ve OYÇOKLUĞUYLA </w:t>
      </w:r>
      <w:r w:rsidRPr="00C05F9E">
        <w:rPr>
          <w:rFonts w:eastAsia="ヒラギノ明朝 Pro W3"/>
          <w:color w:val="010000"/>
          <w:lang w:eastAsia="en-US"/>
        </w:rPr>
        <w:t>23/7/2024</w:t>
      </w:r>
      <w:r w:rsidRPr="00C05F9E">
        <w:rPr>
          <w:color w:val="010000"/>
        </w:rPr>
        <w:t xml:space="preserve"> tarihinde karar verildi.</w:t>
      </w:r>
      <w:r w:rsidR="00C05F9E" w:rsidRPr="00C05F9E">
        <w:rPr>
          <w:color w:val="010000"/>
        </w:rPr>
        <w:t xml:space="preserve"> </w:t>
      </w:r>
    </w:p>
    <w:p w:rsidR="00C05F9E" w:rsidRDefault="00C05F9E" w:rsidP="00C05F9E"/>
    <w:tbl>
      <w:tblPr>
        <w:tblW w:w="5000" w:type="pct"/>
        <w:jc w:val="center"/>
        <w:tblCellMar>
          <w:left w:w="70" w:type="dxa"/>
          <w:right w:w="70" w:type="dxa"/>
        </w:tblCellMar>
        <w:tblLook w:val="00A0" w:firstRow="1" w:lastRow="0" w:firstColumn="1" w:lastColumn="0" w:noHBand="0" w:noVBand="0"/>
      </w:tblPr>
      <w:tblGrid>
        <w:gridCol w:w="3203"/>
        <w:gridCol w:w="1760"/>
        <w:gridCol w:w="1514"/>
        <w:gridCol w:w="3274"/>
        <w:gridCol w:w="29"/>
      </w:tblGrid>
      <w:tr w:rsidR="00F96D4C" w:rsidRPr="00C05F9E" w:rsidTr="00C05F9E">
        <w:trPr>
          <w:gridAfter w:val="1"/>
          <w:wAfter w:w="15" w:type="pct"/>
          <w:trHeight w:val="1600"/>
          <w:jc w:val="center"/>
        </w:trPr>
        <w:tc>
          <w:tcPr>
            <w:tcW w:w="1637" w:type="pct"/>
            <w:vAlign w:val="center"/>
            <w:hideMark/>
          </w:tcPr>
          <w:bookmarkEnd w:id="13"/>
          <w:bookmarkEnd w:id="14"/>
          <w:p w:rsidR="00F96D4C" w:rsidRPr="00C05F9E" w:rsidRDefault="00F96D4C" w:rsidP="00C05F9E">
            <w:pPr>
              <w:spacing w:after="120"/>
              <w:jc w:val="center"/>
              <w:rPr>
                <w:color w:val="010000"/>
              </w:rPr>
            </w:pPr>
            <w:r w:rsidRPr="00C05F9E">
              <w:rPr>
                <w:color w:val="010000"/>
              </w:rPr>
              <w:t>Başkan</w:t>
            </w:r>
          </w:p>
          <w:p w:rsidR="00F96D4C" w:rsidRPr="00C05F9E" w:rsidRDefault="00F96D4C" w:rsidP="00C05F9E">
            <w:pPr>
              <w:spacing w:after="120"/>
              <w:jc w:val="center"/>
              <w:rPr>
                <w:color w:val="010000"/>
              </w:rPr>
            </w:pPr>
            <w:r w:rsidRPr="00C05F9E">
              <w:rPr>
                <w:color w:val="010000"/>
              </w:rPr>
              <w:t>Kadir ÖZKAYA</w:t>
            </w:r>
          </w:p>
        </w:tc>
        <w:tc>
          <w:tcPr>
            <w:tcW w:w="1674" w:type="pct"/>
            <w:gridSpan w:val="2"/>
            <w:vAlign w:val="center"/>
            <w:hideMark/>
          </w:tcPr>
          <w:p w:rsidR="00F96D4C" w:rsidRPr="00C05F9E" w:rsidRDefault="00F96D4C" w:rsidP="00C05F9E">
            <w:pPr>
              <w:spacing w:after="120"/>
              <w:jc w:val="center"/>
              <w:rPr>
                <w:color w:val="010000"/>
              </w:rPr>
            </w:pPr>
            <w:r w:rsidRPr="00C05F9E">
              <w:rPr>
                <w:color w:val="010000"/>
              </w:rPr>
              <w:t>Başkanvekili</w:t>
            </w:r>
          </w:p>
          <w:p w:rsidR="00F96D4C" w:rsidRPr="00C05F9E" w:rsidRDefault="00F96D4C" w:rsidP="00C05F9E">
            <w:pPr>
              <w:spacing w:after="120"/>
              <w:jc w:val="center"/>
              <w:rPr>
                <w:color w:val="010000"/>
              </w:rPr>
            </w:pPr>
            <w:r w:rsidRPr="00C05F9E">
              <w:rPr>
                <w:color w:val="010000"/>
              </w:rPr>
              <w:t>Hasan Tahsin GÖKCAN</w:t>
            </w:r>
          </w:p>
        </w:tc>
        <w:tc>
          <w:tcPr>
            <w:tcW w:w="1674" w:type="pct"/>
            <w:vAlign w:val="center"/>
            <w:hideMark/>
          </w:tcPr>
          <w:p w:rsidR="00F96D4C" w:rsidRPr="00C05F9E" w:rsidRDefault="00F96D4C" w:rsidP="00C05F9E">
            <w:pPr>
              <w:spacing w:after="120"/>
              <w:jc w:val="center"/>
              <w:rPr>
                <w:color w:val="010000"/>
              </w:rPr>
            </w:pPr>
            <w:r w:rsidRPr="00C05F9E">
              <w:rPr>
                <w:color w:val="010000"/>
              </w:rPr>
              <w:t xml:space="preserve">Başkanvekili </w:t>
            </w:r>
          </w:p>
          <w:p w:rsidR="00F96D4C" w:rsidRPr="00C05F9E" w:rsidRDefault="00F96D4C" w:rsidP="00C05F9E">
            <w:pPr>
              <w:spacing w:after="120"/>
              <w:jc w:val="center"/>
              <w:rPr>
                <w:color w:val="010000"/>
              </w:rPr>
            </w:pPr>
            <w:r w:rsidRPr="00C05F9E">
              <w:rPr>
                <w:color w:val="010000"/>
              </w:rPr>
              <w:t>Basri BAĞCI</w:t>
            </w:r>
          </w:p>
        </w:tc>
      </w:tr>
      <w:tr w:rsidR="00F96D4C" w:rsidRPr="00C05F9E" w:rsidTr="00C05F9E">
        <w:trPr>
          <w:gridAfter w:val="1"/>
          <w:wAfter w:w="15" w:type="pct"/>
          <w:trHeight w:val="1600"/>
          <w:jc w:val="center"/>
        </w:trPr>
        <w:tc>
          <w:tcPr>
            <w:tcW w:w="1637" w:type="pct"/>
            <w:vAlign w:val="center"/>
            <w:hideMark/>
          </w:tcPr>
          <w:p w:rsidR="00F96D4C" w:rsidRPr="00C05F9E" w:rsidRDefault="00F96D4C" w:rsidP="00C05F9E">
            <w:pPr>
              <w:spacing w:after="120"/>
              <w:jc w:val="center"/>
              <w:rPr>
                <w:color w:val="010000"/>
              </w:rPr>
            </w:pPr>
            <w:r w:rsidRPr="00C05F9E">
              <w:rPr>
                <w:color w:val="010000"/>
              </w:rPr>
              <w:t xml:space="preserve">Üye </w:t>
            </w:r>
          </w:p>
          <w:p w:rsidR="00F96D4C" w:rsidRPr="00C05F9E" w:rsidRDefault="00F96D4C" w:rsidP="00C05F9E">
            <w:pPr>
              <w:spacing w:after="120"/>
              <w:jc w:val="center"/>
              <w:rPr>
                <w:color w:val="010000"/>
              </w:rPr>
            </w:pPr>
            <w:r w:rsidRPr="00C05F9E">
              <w:rPr>
                <w:color w:val="010000"/>
              </w:rPr>
              <w:t>Engin YILDIRIM</w:t>
            </w:r>
          </w:p>
        </w:tc>
        <w:tc>
          <w:tcPr>
            <w:tcW w:w="1674" w:type="pct"/>
            <w:gridSpan w:val="2"/>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color w:val="010000"/>
              </w:rPr>
              <w:t>Rıdvan GÜLEÇ</w:t>
            </w:r>
          </w:p>
        </w:tc>
        <w:tc>
          <w:tcPr>
            <w:tcW w:w="1674" w:type="pct"/>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bCs/>
                <w:color w:val="010000"/>
              </w:rPr>
              <w:t>Recai AKYEL</w:t>
            </w:r>
          </w:p>
        </w:tc>
      </w:tr>
      <w:tr w:rsidR="00F96D4C" w:rsidRPr="00C05F9E" w:rsidTr="00C05F9E">
        <w:trPr>
          <w:gridAfter w:val="1"/>
          <w:wAfter w:w="15" w:type="pct"/>
          <w:trHeight w:val="1600"/>
          <w:jc w:val="center"/>
        </w:trPr>
        <w:tc>
          <w:tcPr>
            <w:tcW w:w="1637" w:type="pct"/>
            <w:vAlign w:val="center"/>
            <w:hideMark/>
          </w:tcPr>
          <w:p w:rsidR="00F96D4C" w:rsidRPr="00C05F9E" w:rsidRDefault="00F96D4C" w:rsidP="00C05F9E">
            <w:pPr>
              <w:spacing w:after="120"/>
              <w:jc w:val="center"/>
              <w:rPr>
                <w:color w:val="010000"/>
              </w:rPr>
            </w:pPr>
            <w:r w:rsidRPr="00C05F9E">
              <w:rPr>
                <w:color w:val="010000"/>
              </w:rPr>
              <w:t xml:space="preserve">Üye </w:t>
            </w:r>
          </w:p>
          <w:p w:rsidR="00F96D4C" w:rsidRPr="00C05F9E" w:rsidRDefault="00F96D4C" w:rsidP="00C05F9E">
            <w:pPr>
              <w:spacing w:after="120"/>
              <w:jc w:val="center"/>
              <w:rPr>
                <w:color w:val="010000"/>
              </w:rPr>
            </w:pPr>
            <w:r w:rsidRPr="00C05F9E">
              <w:rPr>
                <w:bCs/>
                <w:color w:val="010000"/>
              </w:rPr>
              <w:t>Yusuf Şevki HAKYEMEZ</w:t>
            </w:r>
          </w:p>
        </w:tc>
        <w:tc>
          <w:tcPr>
            <w:tcW w:w="1674" w:type="pct"/>
            <w:gridSpan w:val="2"/>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bCs/>
                <w:color w:val="010000"/>
              </w:rPr>
              <w:t>Yıldız SEFERİNOĞLU</w:t>
            </w:r>
          </w:p>
        </w:tc>
        <w:tc>
          <w:tcPr>
            <w:tcW w:w="1674" w:type="pct"/>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color w:val="010000"/>
              </w:rPr>
              <w:t>Selahaddin MENTEŞ</w:t>
            </w:r>
          </w:p>
        </w:tc>
      </w:tr>
      <w:tr w:rsidR="00F96D4C" w:rsidRPr="00C05F9E" w:rsidTr="00C05F9E">
        <w:trPr>
          <w:gridAfter w:val="1"/>
          <w:wAfter w:w="15" w:type="pct"/>
          <w:trHeight w:val="1600"/>
          <w:jc w:val="center"/>
        </w:trPr>
        <w:tc>
          <w:tcPr>
            <w:tcW w:w="1637" w:type="pct"/>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bCs/>
                <w:color w:val="010000"/>
              </w:rPr>
              <w:t>İrfan FİDAN</w:t>
            </w:r>
          </w:p>
        </w:tc>
        <w:tc>
          <w:tcPr>
            <w:tcW w:w="1674" w:type="pct"/>
            <w:gridSpan w:val="2"/>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color w:val="010000"/>
              </w:rPr>
              <w:t>Kenan YAŞAR</w:t>
            </w:r>
          </w:p>
        </w:tc>
        <w:tc>
          <w:tcPr>
            <w:tcW w:w="1674" w:type="pct"/>
            <w:vAlign w:val="center"/>
            <w:hideMark/>
          </w:tcPr>
          <w:p w:rsidR="00F96D4C" w:rsidRPr="00C05F9E" w:rsidRDefault="00F96D4C" w:rsidP="00C05F9E">
            <w:pPr>
              <w:spacing w:after="120"/>
              <w:jc w:val="center"/>
              <w:rPr>
                <w:color w:val="010000"/>
              </w:rPr>
            </w:pPr>
            <w:r w:rsidRPr="00C05F9E">
              <w:rPr>
                <w:color w:val="010000"/>
              </w:rPr>
              <w:t>Üye</w:t>
            </w:r>
          </w:p>
          <w:p w:rsidR="00F96D4C" w:rsidRPr="00C05F9E" w:rsidRDefault="00F96D4C" w:rsidP="00C05F9E">
            <w:pPr>
              <w:spacing w:after="120"/>
              <w:jc w:val="center"/>
              <w:rPr>
                <w:color w:val="010000"/>
              </w:rPr>
            </w:pPr>
            <w:r w:rsidRPr="00C05F9E">
              <w:rPr>
                <w:color w:val="010000"/>
              </w:rPr>
              <w:t>Muhterem İNCE</w:t>
            </w:r>
          </w:p>
        </w:tc>
      </w:tr>
      <w:tr w:rsidR="00C05F9E" w:rsidRPr="00C05F9E" w:rsidTr="00C05F9E">
        <w:trPr>
          <w:trHeight w:val="1600"/>
          <w:jc w:val="center"/>
        </w:trPr>
        <w:tc>
          <w:tcPr>
            <w:tcW w:w="2537" w:type="pct"/>
            <w:gridSpan w:val="2"/>
            <w:vAlign w:val="center"/>
            <w:hideMark/>
          </w:tcPr>
          <w:p w:rsidR="00C05F9E" w:rsidRPr="00C05F9E" w:rsidRDefault="00C05F9E" w:rsidP="00C05F9E">
            <w:pPr>
              <w:spacing w:after="120"/>
              <w:jc w:val="center"/>
              <w:rPr>
                <w:color w:val="010000"/>
              </w:rPr>
            </w:pPr>
            <w:r w:rsidRPr="00C05F9E">
              <w:rPr>
                <w:color w:val="010000"/>
              </w:rPr>
              <w:t>Üye</w:t>
            </w:r>
          </w:p>
          <w:p w:rsidR="00C05F9E" w:rsidRPr="00C05F9E" w:rsidRDefault="00C05F9E" w:rsidP="00C05F9E">
            <w:pPr>
              <w:spacing w:after="120"/>
              <w:jc w:val="center"/>
              <w:rPr>
                <w:color w:val="010000"/>
              </w:rPr>
            </w:pPr>
            <w:r w:rsidRPr="00C05F9E">
              <w:rPr>
                <w:bCs/>
                <w:color w:val="010000"/>
              </w:rPr>
              <w:t>Yılmaz AKÇİL</w:t>
            </w:r>
          </w:p>
        </w:tc>
        <w:tc>
          <w:tcPr>
            <w:tcW w:w="2463" w:type="pct"/>
            <w:gridSpan w:val="3"/>
            <w:vAlign w:val="center"/>
            <w:hideMark/>
          </w:tcPr>
          <w:p w:rsidR="00C05F9E" w:rsidRPr="00C05F9E" w:rsidRDefault="00C05F9E" w:rsidP="00C05F9E">
            <w:pPr>
              <w:spacing w:after="120"/>
              <w:jc w:val="center"/>
              <w:rPr>
                <w:color w:val="010000"/>
              </w:rPr>
            </w:pPr>
            <w:r w:rsidRPr="00C05F9E">
              <w:rPr>
                <w:color w:val="010000"/>
              </w:rPr>
              <w:t>Üye</w:t>
            </w:r>
          </w:p>
          <w:p w:rsidR="00C05F9E" w:rsidRPr="00C05F9E" w:rsidRDefault="00C05F9E" w:rsidP="00C05F9E">
            <w:pPr>
              <w:spacing w:after="120"/>
              <w:jc w:val="center"/>
              <w:rPr>
                <w:color w:val="010000"/>
              </w:rPr>
            </w:pPr>
            <w:r w:rsidRPr="00C05F9E">
              <w:rPr>
                <w:bCs/>
                <w:color w:val="010000"/>
              </w:rPr>
              <w:t>Ömer ÇINAR</w:t>
            </w:r>
          </w:p>
        </w:tc>
      </w:tr>
    </w:tbl>
    <w:p w:rsidR="00C05F9E" w:rsidRDefault="00C05F9E" w:rsidP="00C05F9E">
      <w:pPr>
        <w:spacing w:after="200"/>
        <w:ind w:right="283"/>
        <w:jc w:val="both"/>
        <w:rPr>
          <w:color w:val="010000"/>
        </w:rPr>
      </w:pPr>
      <w:bookmarkStart w:id="15" w:name="_Hlk181786961"/>
      <w:bookmarkEnd w:id="0"/>
    </w:p>
    <w:p w:rsidR="00C05F9E" w:rsidRDefault="00C05F9E" w:rsidP="00C05F9E">
      <w:pPr>
        <w:spacing w:after="200"/>
        <w:ind w:right="283"/>
        <w:jc w:val="both"/>
        <w:rPr>
          <w:color w:val="010000"/>
        </w:rPr>
      </w:pPr>
    </w:p>
    <w:p w:rsidR="00C05F9E" w:rsidRDefault="00C05F9E" w:rsidP="00C05F9E">
      <w:pPr>
        <w:spacing w:after="200"/>
        <w:ind w:right="283"/>
        <w:jc w:val="both"/>
        <w:rPr>
          <w:color w:val="010000"/>
        </w:rPr>
      </w:pPr>
    </w:p>
    <w:p w:rsidR="00F81EAE" w:rsidRPr="00C05F9E" w:rsidRDefault="00F81EAE" w:rsidP="00C05F9E">
      <w:pPr>
        <w:spacing w:after="200"/>
        <w:ind w:right="283"/>
        <w:jc w:val="center"/>
        <w:rPr>
          <w:color w:val="010000"/>
        </w:rPr>
      </w:pPr>
      <w:r w:rsidRPr="00C05F9E">
        <w:rPr>
          <w:color w:val="010000"/>
        </w:rPr>
        <w:t>KARŞIOY GEREKÇESİ</w:t>
      </w:r>
    </w:p>
    <w:bookmarkEnd w:id="15"/>
    <w:p w:rsidR="00F81EAE" w:rsidRPr="00C05F9E" w:rsidRDefault="00F81EAE" w:rsidP="00C05F9E">
      <w:pPr>
        <w:spacing w:after="200"/>
        <w:ind w:right="283" w:firstLine="709"/>
        <w:jc w:val="both"/>
        <w:rPr>
          <w:color w:val="010000"/>
        </w:rPr>
      </w:pPr>
      <w:r w:rsidRPr="00C05F9E">
        <w:rPr>
          <w:color w:val="010000"/>
        </w:rPr>
        <w:t>1. 5237 sayılı TCK’nın 53/</w:t>
      </w:r>
      <w:proofErr w:type="gramStart"/>
      <w:r w:rsidRPr="00C05F9E">
        <w:rPr>
          <w:color w:val="010000"/>
        </w:rPr>
        <w:t>1e</w:t>
      </w:r>
      <w:proofErr w:type="gramEnd"/>
      <w:r w:rsidRPr="00C05F9E">
        <w:rPr>
          <w:color w:val="010000"/>
        </w:rPr>
        <w:t>,2. maddesi gereği kişinin işlediği suçlardan dolayı hükmedilen hapis cezasına bağlı olarak cezasının infazı tamamlanıncaya kadar mesleğini yapamama yönünde hak yoksunluğu uygulanacaktır. Bundan ayrıca İncelemeye konu 1219 sayılı Kanunun 28. maddesinin 1. fıkrasındaki “</w:t>
      </w:r>
      <w:r w:rsidRPr="00C05F9E">
        <w:rPr>
          <w:i/>
          <w:color w:val="010000"/>
        </w:rPr>
        <w:t>Anayasal düzene ve bu düzenin işleyişine karşı suçlar”</w:t>
      </w:r>
      <w:r w:rsidRPr="00C05F9E">
        <w:rPr>
          <w:color w:val="010000"/>
        </w:rPr>
        <w:t xml:space="preserve"> ibaresi uyarınca, anılan suçlardan birini kasten işleyen kişi hakkında hekimlik mesleğinin icrasından süre sınırı olmaksızın yoksun bırakılacağı öngörülmektedir. Başka deyişle bu durumdaki hekimler ömür boyunca özel muayene açıp çalışamayacakları gibi özel bir sağlık biriminde hekim olarak çalışamayacaklardır.</w:t>
      </w:r>
    </w:p>
    <w:p w:rsidR="00F81EAE" w:rsidRPr="00C05F9E" w:rsidRDefault="00F81EAE" w:rsidP="00C05F9E">
      <w:pPr>
        <w:spacing w:after="200"/>
        <w:ind w:right="283" w:firstLine="709"/>
        <w:jc w:val="both"/>
        <w:rPr>
          <w:color w:val="010000"/>
        </w:rPr>
      </w:pPr>
      <w:r w:rsidRPr="00C05F9E">
        <w:rPr>
          <w:color w:val="010000"/>
        </w:rPr>
        <w:t>2. Çoğunluk gerekçesinde incelenen kurala karşın 5332 sayılı Adli Sicil Kanununun 13/A maddesinde düzenlenen yasaklanmış hakların geri verilmesi kurumu ile birlikte incelenerek, anılan yasal yol gereği anayasal düzene karşı suçtan mahkum olanların cezalarının infazından sonra üç yıllık sürenin geçmesi ve mahkemenin bu sürede hayatını iyi halli olarak sürdürdüğü konusunda olumlu kanaate varması durumunda hak yoksunluğunun kalkacağı görüşünden hareket edilmiş ve bu gerekçelerle kuralın Anayasa’ya aykırı olmadığı sonucuna ulaşılmıştır.</w:t>
      </w:r>
    </w:p>
    <w:p w:rsidR="00F81EAE" w:rsidRPr="00C05F9E" w:rsidRDefault="00F81EAE" w:rsidP="00C05F9E">
      <w:pPr>
        <w:spacing w:after="200"/>
        <w:ind w:right="283" w:firstLine="709"/>
        <w:jc w:val="both"/>
        <w:rPr>
          <w:color w:val="010000"/>
        </w:rPr>
      </w:pPr>
      <w:r w:rsidRPr="00C05F9E">
        <w:rPr>
          <w:color w:val="010000"/>
        </w:rPr>
        <w:t xml:space="preserve">3. Bu konunun değerlendirilebilmesi için ilgili kanunların düzenlenme tarihleriyle birlikte anlam ve kapsamlarına göz atılmalıdır. 5332 sayılı </w:t>
      </w:r>
      <w:proofErr w:type="gramStart"/>
      <w:r w:rsidRPr="00C05F9E">
        <w:rPr>
          <w:color w:val="010000"/>
        </w:rPr>
        <w:t>Adli Sicil Kanununun</w:t>
      </w:r>
      <w:proofErr w:type="gramEnd"/>
      <w:r w:rsidRPr="00C05F9E">
        <w:rPr>
          <w:color w:val="010000"/>
        </w:rPr>
        <w:t xml:space="preserve"> 13/A maddesi,</w:t>
      </w:r>
      <w:r w:rsidR="00C05F9E" w:rsidRPr="00C05F9E">
        <w:rPr>
          <w:color w:val="010000"/>
        </w:rPr>
        <w:t xml:space="preserve"> </w:t>
      </w:r>
      <w:r w:rsidRPr="00C05F9E">
        <w:rPr>
          <w:color w:val="010000"/>
        </w:rPr>
        <w:t>6.12.2006 tarihli ve 5560 sayılı Kanunun 38. maddesiyle Kanuna eklenmiştir. 5237 sayılı Türk Ceza Kanunu ise 1 Haziran 2005 tarihinde yürürlüğe girmiştir. Öte yandan 1219 sayılı Tababet ve</w:t>
      </w:r>
      <w:r w:rsidR="00C05F9E" w:rsidRPr="00C05F9E">
        <w:rPr>
          <w:color w:val="010000"/>
        </w:rPr>
        <w:t xml:space="preserve"> </w:t>
      </w:r>
      <w:proofErr w:type="spellStart"/>
      <w:r w:rsidRPr="00C05F9E">
        <w:rPr>
          <w:color w:val="010000"/>
        </w:rPr>
        <w:t>Şuabatı</w:t>
      </w:r>
      <w:proofErr w:type="spellEnd"/>
      <w:r w:rsidRPr="00C05F9E">
        <w:rPr>
          <w:color w:val="010000"/>
        </w:rPr>
        <w:t xml:space="preserve"> </w:t>
      </w:r>
      <w:proofErr w:type="spellStart"/>
      <w:r w:rsidRPr="00C05F9E">
        <w:rPr>
          <w:color w:val="010000"/>
        </w:rPr>
        <w:t>San’atlarının</w:t>
      </w:r>
      <w:proofErr w:type="spellEnd"/>
      <w:r w:rsidRPr="00C05F9E">
        <w:rPr>
          <w:color w:val="010000"/>
        </w:rPr>
        <w:t xml:space="preserve"> Tarzı İcrasına Dair Kanunun hekimlik mesleğini yapmaya hak kazananlara hak yoksunluğunu düzenleyen 28. maddesi ise 23.1.2008 tarihli ve 5728 sayılı Kanunun 25. maddesiyle düzenlenmiştir. Görüldüğü üzere hekimlere hak yoksunluğunu getiren özel </w:t>
      </w:r>
      <w:proofErr w:type="gramStart"/>
      <w:r w:rsidRPr="00C05F9E">
        <w:rPr>
          <w:color w:val="010000"/>
        </w:rPr>
        <w:t>düzenleme,</w:t>
      </w:r>
      <w:proofErr w:type="gramEnd"/>
      <w:r w:rsidRPr="00C05F9E">
        <w:rPr>
          <w:color w:val="010000"/>
        </w:rPr>
        <w:t xml:space="preserve"> gerek TCK ve gerekse Adli Sicil Kanununun 13/A maddesinin yürürlüğünden sonra, başka deyişle ilgili kurallar bilinerek düzenlenmiştir. Bu nedenle kural hekimlik mesleğine ilişkin </w:t>
      </w:r>
      <w:r w:rsidRPr="00C05F9E">
        <w:rPr>
          <w:i/>
          <w:color w:val="010000"/>
        </w:rPr>
        <w:t>özel düzenleme</w:t>
      </w:r>
      <w:r w:rsidRPr="00C05F9E">
        <w:rPr>
          <w:color w:val="010000"/>
        </w:rPr>
        <w:t xml:space="preserve"> niteliğindedir.</w:t>
      </w:r>
    </w:p>
    <w:p w:rsidR="00F81EAE" w:rsidRPr="00C05F9E" w:rsidRDefault="00F81EAE" w:rsidP="00C05F9E">
      <w:pPr>
        <w:spacing w:after="200"/>
        <w:ind w:right="283" w:firstLine="709"/>
        <w:jc w:val="both"/>
        <w:rPr>
          <w:color w:val="010000"/>
        </w:rPr>
      </w:pPr>
      <w:r w:rsidRPr="00C05F9E">
        <w:rPr>
          <w:color w:val="010000"/>
        </w:rPr>
        <w:t>4. İncelenen 28/1. madde ve fıkrasının ilk cümlesi “</w:t>
      </w:r>
      <w:r w:rsidRPr="00C05F9E">
        <w:rPr>
          <w:i/>
          <w:color w:val="010000"/>
        </w:rPr>
        <w:t xml:space="preserve">Hekimlik mesleğinin icrası için; </w:t>
      </w:r>
      <w:proofErr w:type="gramStart"/>
      <w:r w:rsidRPr="00C05F9E">
        <w:rPr>
          <w:i/>
          <w:color w:val="010000"/>
        </w:rPr>
        <w:t>Türk Ceza Kanununun</w:t>
      </w:r>
      <w:proofErr w:type="gramEnd"/>
      <w:r w:rsidRPr="00C05F9E">
        <w:rPr>
          <w:i/>
          <w:color w:val="010000"/>
        </w:rPr>
        <w:t xml:space="preserve"> 53. maddesinde belirtilen süreler geçmiş olsa bile</w:t>
      </w:r>
      <w:r w:rsidRPr="00C05F9E">
        <w:rPr>
          <w:color w:val="010000"/>
        </w:rPr>
        <w:t>” ibaresiyle başlamaktadır.</w:t>
      </w:r>
      <w:r w:rsidR="00C05F9E" w:rsidRPr="00C05F9E">
        <w:rPr>
          <w:color w:val="010000"/>
        </w:rPr>
        <w:t xml:space="preserve"> </w:t>
      </w:r>
      <w:r w:rsidRPr="00C05F9E">
        <w:rPr>
          <w:color w:val="010000"/>
        </w:rPr>
        <w:t xml:space="preserve">Böylece Kanun koyucunun bu özel düzenleme ile anılan bentte sayılan suçlar ve bu arada anayasal düzene karşı işlenen suçlardan </w:t>
      </w:r>
      <w:proofErr w:type="gramStart"/>
      <w:r w:rsidRPr="00C05F9E">
        <w:rPr>
          <w:color w:val="010000"/>
        </w:rPr>
        <w:t>mahkumiyet</w:t>
      </w:r>
      <w:proofErr w:type="gramEnd"/>
      <w:r w:rsidRPr="00C05F9E">
        <w:rPr>
          <w:color w:val="010000"/>
        </w:rPr>
        <w:t xml:space="preserve"> halinde </w:t>
      </w:r>
      <w:r w:rsidRPr="00C05F9E">
        <w:rPr>
          <w:i/>
          <w:color w:val="010000"/>
        </w:rPr>
        <w:t>süresiz bir hak yoksunluğu</w:t>
      </w:r>
      <w:r w:rsidRPr="00C05F9E">
        <w:rPr>
          <w:color w:val="010000"/>
        </w:rPr>
        <w:t xml:space="preserve"> </w:t>
      </w:r>
      <w:r w:rsidRPr="00C05F9E">
        <w:rPr>
          <w:i/>
          <w:color w:val="010000"/>
        </w:rPr>
        <w:t>öngördüğü</w:t>
      </w:r>
      <w:r w:rsidRPr="00C05F9E">
        <w:rPr>
          <w:color w:val="010000"/>
        </w:rPr>
        <w:t xml:space="preserve"> sonucunun çıkarılması gerekmektedir. </w:t>
      </w:r>
    </w:p>
    <w:p w:rsidR="00F81EAE" w:rsidRPr="00C05F9E" w:rsidRDefault="00F81EAE" w:rsidP="00C05F9E">
      <w:pPr>
        <w:spacing w:after="200"/>
        <w:ind w:right="283" w:firstLine="709"/>
        <w:jc w:val="both"/>
        <w:rPr>
          <w:color w:val="010000"/>
        </w:rPr>
      </w:pPr>
      <w:bookmarkStart w:id="16" w:name="_Hlk181786568"/>
      <w:r w:rsidRPr="00C05F9E">
        <w:rPr>
          <w:color w:val="010000"/>
        </w:rPr>
        <w:t>5. Şüphesiz kamu görevinde</w:t>
      </w:r>
      <w:r w:rsidR="00C05F9E" w:rsidRPr="00C05F9E">
        <w:rPr>
          <w:color w:val="010000"/>
        </w:rPr>
        <w:t xml:space="preserve"> </w:t>
      </w:r>
      <w:r w:rsidRPr="00C05F9E">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Nitekim </w:t>
      </w:r>
      <w:proofErr w:type="spellStart"/>
      <w:r w:rsidRPr="00C05F9E">
        <w:rPr>
          <w:color w:val="010000"/>
        </w:rPr>
        <w:t>AYM’nin</w:t>
      </w:r>
      <w:proofErr w:type="spellEnd"/>
      <w:r w:rsidRPr="00C05F9E">
        <w:rPr>
          <w:color w:val="010000"/>
        </w:rPr>
        <w:t xml:space="preserve"> 2008/17 E., 2010/44 K. sayılı ve 25.2.2010 sayılı kararında benzer değerlendirmelerle 28. Maddedeki </w:t>
      </w:r>
      <w:proofErr w:type="spellStart"/>
      <w:r w:rsidRPr="00C05F9E">
        <w:rPr>
          <w:color w:val="010000"/>
        </w:rPr>
        <w:t>birkısım</w:t>
      </w:r>
      <w:proofErr w:type="spellEnd"/>
      <w:r w:rsidRPr="00C05F9E">
        <w:rPr>
          <w:color w:val="010000"/>
        </w:rPr>
        <w:t xml:space="preserve"> suçlarla bağlantılı olarak iptal kararı verilmiştir.</w:t>
      </w:r>
      <w:r w:rsidR="00C05F9E" w:rsidRPr="00C05F9E">
        <w:rPr>
          <w:color w:val="010000"/>
        </w:rPr>
        <w:t xml:space="preserve"> </w:t>
      </w:r>
      <w:r w:rsidRPr="00C05F9E">
        <w:rPr>
          <w:color w:val="010000"/>
        </w:rPr>
        <w:t xml:space="preserve">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belirtilen iptal gerekçelerine karşın kamu görevlileri bakımından Danıştay kararlarında </w:t>
      </w:r>
      <w:proofErr w:type="gramStart"/>
      <w:r w:rsidRPr="00C05F9E">
        <w:rPr>
          <w:color w:val="010000"/>
        </w:rPr>
        <w:t>Adli Sicil Kanununun</w:t>
      </w:r>
      <w:proofErr w:type="gramEnd"/>
      <w:r w:rsidRPr="00C05F9E">
        <w:rPr>
          <w:color w:val="010000"/>
        </w:rPr>
        <w:t xml:space="preserve"> 13/A maddesindeki süreler geçse ve yasaklanmış hakların iadesine karar verilse dahi 657 sayılı </w:t>
      </w:r>
      <w:proofErr w:type="spellStart"/>
      <w:r w:rsidRPr="00C05F9E">
        <w:rPr>
          <w:color w:val="010000"/>
        </w:rPr>
        <w:t>DMK’nun</w:t>
      </w:r>
      <w:proofErr w:type="spellEnd"/>
      <w:r w:rsidRPr="00C05F9E">
        <w:rPr>
          <w:color w:val="010000"/>
        </w:rPr>
        <w:t xml:space="preserve"> 48. maddesi uyarınca anılan </w:t>
      </w:r>
      <w:r w:rsidRPr="00C05F9E">
        <w:rPr>
          <w:color w:val="010000"/>
        </w:rPr>
        <w:lastRenderedPageBreak/>
        <w:t xml:space="preserve">maddede sayılan suçlardan mahkum olanların devlet memurluğuna girmelerinin mümkün olmadığı belirtilmektedir (bkz. Danıştay İDDK 27.6.2022, E. 2022/1141, K. 2022/2318; 5.10.2023, E. 2023/444, K. 2023/1833). </w:t>
      </w:r>
    </w:p>
    <w:bookmarkEnd w:id="16"/>
    <w:p w:rsidR="00F81EAE" w:rsidRPr="00C05F9E" w:rsidRDefault="00F81EAE" w:rsidP="00C05F9E">
      <w:pPr>
        <w:spacing w:after="200"/>
        <w:ind w:right="283" w:firstLine="709"/>
        <w:jc w:val="both"/>
        <w:rPr>
          <w:color w:val="010000"/>
        </w:rPr>
      </w:pPr>
      <w:r w:rsidRPr="00C05F9E">
        <w:rPr>
          <w:color w:val="010000"/>
        </w:rPr>
        <w:t xml:space="preserve">6. Ayrıca belirtilmelidir ki çoğunluk gerekçesindeki gibi 5332 sayılı Kanunun 13/A maddesindeki düzenlemenin buna istisna oluşturacağı düşünülmekteyse, incelemeye konu özel düzenlemede bu hususun da belirtilmesi gerekirdi. Kuralın bu düzenleniş biçimi karşısında ihtilaflı yorum veya içtihatlarla bu </w:t>
      </w:r>
      <w:proofErr w:type="gramStart"/>
      <w:r w:rsidRPr="00C05F9E">
        <w:rPr>
          <w:color w:val="010000"/>
        </w:rPr>
        <w:t>imkanın</w:t>
      </w:r>
      <w:proofErr w:type="gramEnd"/>
      <w:r w:rsidRPr="00C05F9E">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05F9E" w:rsidTr="00C05F9E">
        <w:tc>
          <w:tcPr>
            <w:tcW w:w="1000" w:type="pct"/>
            <w:shd w:val="clear" w:color="auto" w:fill="auto"/>
          </w:tcPr>
          <w:p w:rsidR="00C05F9E" w:rsidRDefault="00C05F9E" w:rsidP="00C05F9E">
            <w:pPr>
              <w:spacing w:after="200"/>
              <w:ind w:right="283"/>
              <w:jc w:val="both"/>
              <w:rPr>
                <w:color w:val="010000"/>
              </w:rPr>
            </w:pPr>
            <w:bookmarkStart w:id="17" w:name="_Hlk181786885"/>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jc w:val="center"/>
              <w:rPr>
                <w:color w:val="010000"/>
              </w:rPr>
            </w:pPr>
            <w:r>
              <w:rPr>
                <w:color w:val="010000"/>
              </w:rPr>
              <w:t>Başkanvekili</w:t>
            </w:r>
          </w:p>
          <w:p w:rsidR="00C05F9E" w:rsidRPr="00C05F9E" w:rsidRDefault="00C05F9E" w:rsidP="00C05F9E">
            <w:pPr>
              <w:spacing w:after="200"/>
              <w:jc w:val="center"/>
              <w:rPr>
                <w:color w:val="010000"/>
              </w:rPr>
            </w:pPr>
            <w:r>
              <w:rPr>
                <w:color w:val="010000"/>
              </w:rPr>
              <w:t>Hasan Tahsin GÖKCAN</w:t>
            </w:r>
          </w:p>
        </w:tc>
      </w:tr>
    </w:tbl>
    <w:p w:rsidR="00F81EAE" w:rsidRPr="00C05F9E" w:rsidRDefault="00F81EAE" w:rsidP="00C05F9E">
      <w:pPr>
        <w:spacing w:after="200"/>
        <w:ind w:right="283" w:firstLine="709"/>
        <w:jc w:val="both"/>
        <w:rPr>
          <w:color w:val="010000"/>
        </w:rPr>
      </w:pPr>
    </w:p>
    <w:bookmarkEnd w:id="17"/>
    <w:p w:rsidR="00C05F9E" w:rsidRDefault="00C05F9E" w:rsidP="00C05F9E">
      <w:pPr>
        <w:spacing w:after="200"/>
        <w:ind w:right="283"/>
        <w:jc w:val="both"/>
        <w:rPr>
          <w:color w:val="010000"/>
        </w:rPr>
      </w:pPr>
    </w:p>
    <w:p w:rsidR="00C05F9E" w:rsidRDefault="00C05F9E" w:rsidP="00C05F9E">
      <w:pPr>
        <w:spacing w:after="200"/>
        <w:ind w:right="283"/>
        <w:jc w:val="both"/>
        <w:rPr>
          <w:color w:val="010000"/>
        </w:rPr>
      </w:pPr>
    </w:p>
    <w:p w:rsidR="005E7E1B" w:rsidRPr="00C05F9E" w:rsidRDefault="005E7E1B" w:rsidP="00C05F9E">
      <w:pPr>
        <w:spacing w:after="200"/>
        <w:ind w:right="283"/>
        <w:jc w:val="center"/>
        <w:rPr>
          <w:color w:val="010000"/>
        </w:rPr>
      </w:pPr>
      <w:r w:rsidRPr="00C05F9E">
        <w:rPr>
          <w:color w:val="010000"/>
        </w:rPr>
        <w:t>KARŞIOY</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b/>
          <w:color w:val="010000"/>
          <w:sz w:val="24"/>
          <w:szCs w:val="24"/>
        </w:rPr>
      </w:pPr>
      <w:r w:rsidRPr="00C05F9E">
        <w:rPr>
          <w:rFonts w:ascii="Times New Roman" w:hAnsi="Times New Roman"/>
          <w:color w:val="010000"/>
          <w:sz w:val="24"/>
          <w:szCs w:val="24"/>
        </w:rPr>
        <w:t>Çalışma izni talebinin zımnen reddine ilişkin işlemin iptali istemiyle açılan davada itiraz konusu kuralın Anayasa’ya aykırı olduğu kanısına varan İstanbul Bölge İdare Mahkemesi 7. İdari Dava Dairesi kuralın iptali için başvurmuştur. İtiraza konu kural uyarınca</w:t>
      </w:r>
      <w:r w:rsidRPr="00C05F9E">
        <w:rPr>
          <w:rFonts w:ascii="Times New Roman" w:hAnsi="Times New Roman"/>
          <w:bCs/>
          <w:color w:val="010000"/>
          <w:sz w:val="24"/>
          <w:szCs w:val="24"/>
          <w:lang w:eastAsia="tr-TR"/>
        </w:rPr>
        <w:t xml:space="preserve"> </w:t>
      </w:r>
      <w:r w:rsidRPr="00C05F9E">
        <w:rPr>
          <w:rFonts w:ascii="Times New Roman" w:hAnsi="Times New Roman"/>
          <w:color w:val="010000"/>
          <w:sz w:val="24"/>
          <w:szCs w:val="24"/>
          <w:lang w:eastAsia="tr-TR"/>
        </w:rPr>
        <w:t xml:space="preserve">anayasal düzene ve bu düzenin işleyişine karşı suçlardan mahkûm olanların hekimlik mesleğini süre sınırı olmaksızın hem özel sağlık kuruluşlarında hem de serbest </w:t>
      </w:r>
      <w:r w:rsidRPr="00C05F9E">
        <w:rPr>
          <w:rFonts w:ascii="Times New Roman" w:hAnsi="Times New Roman"/>
          <w:bCs/>
          <w:color w:val="010000"/>
          <w:sz w:val="24"/>
          <w:szCs w:val="24"/>
          <w:lang w:eastAsia="tr-TR"/>
        </w:rPr>
        <w:t xml:space="preserve">icra edemeyeceğini düzenlemektedir. </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C05F9E">
        <w:rPr>
          <w:rFonts w:ascii="Times New Roman" w:hAnsi="Times New Roman"/>
          <w:color w:val="010000"/>
          <w:sz w:val="24"/>
          <w:szCs w:val="24"/>
        </w:rPr>
        <w:t xml:space="preserve">Mahkememiz çoğunluğu tarafından </w:t>
      </w:r>
      <w:proofErr w:type="gramStart"/>
      <w:r w:rsidRPr="00C05F9E">
        <w:rPr>
          <w:rFonts w:ascii="Times New Roman" w:hAnsi="Times New Roman"/>
          <w:color w:val="010000"/>
          <w:sz w:val="24"/>
          <w:szCs w:val="24"/>
        </w:rPr>
        <w:t>“ kuralla</w:t>
      </w:r>
      <w:proofErr w:type="gramEnd"/>
      <w:r w:rsidRPr="00C05F9E">
        <w:rPr>
          <w:rFonts w:ascii="Times New Roman" w:hAnsi="Times New Roman"/>
          <w:color w:val="010000"/>
          <w:sz w:val="24"/>
          <w:szCs w:val="24"/>
        </w:rPr>
        <w:t xml:space="preserve"> hekimlik için bir </w:t>
      </w:r>
      <w:r w:rsidRPr="00C05F9E">
        <w:rPr>
          <w:rFonts w:ascii="Times New Roman" w:hAnsi="Times New Roman"/>
          <w:bCs/>
          <w:color w:val="010000"/>
          <w:sz w:val="24"/>
          <w:szCs w:val="24"/>
        </w:rPr>
        <w:t>hak yoksunluğu getirilmekte ise de yasaklanmış hakların geri verilmesi kurumuyla bu hak yoksunluğunun esasında süresiz olmadığı, bu sürenin de yeni kurumla birlikte diğer koşulların yanında üç yılla sınırlandırıldığı,</w:t>
      </w:r>
      <w:r w:rsidR="00C05F9E" w:rsidRPr="00C05F9E">
        <w:rPr>
          <w:rFonts w:ascii="Times New Roman" w:hAnsi="Times New Roman"/>
          <w:bCs/>
          <w:color w:val="010000"/>
          <w:sz w:val="24"/>
          <w:szCs w:val="24"/>
        </w:rPr>
        <w:t xml:space="preserve"> </w:t>
      </w:r>
      <w:r w:rsidRPr="00C05F9E">
        <w:rPr>
          <w:rFonts w:ascii="Times New Roman" w:hAnsi="Times New Roman"/>
          <w:bCs/>
          <w:color w:val="010000"/>
          <w:sz w:val="24"/>
          <w:szCs w:val="24"/>
        </w:rPr>
        <w:t xml:space="preserve">bu sürenin de hekimlik mesleğinin icrası için anayasal düzene ve bu düzenin işleyişine karşı suçlardan mahkûm olanlara aşırı bir külfet yüklemediği anlaşılmaktadır. Bu nedenle itirazın reddi gerekir” şeklindeki gerekçeyle kuralın reddine ilişkin kararına iştirak edilmemiştir. Şöyle ki; </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i/>
          <w:color w:val="010000"/>
          <w:sz w:val="24"/>
          <w:szCs w:val="24"/>
        </w:rPr>
      </w:pPr>
      <w:r w:rsidRPr="00C05F9E">
        <w:rPr>
          <w:rFonts w:ascii="Times New Roman" w:hAnsi="Times New Roman"/>
          <w:color w:val="010000"/>
          <w:sz w:val="24"/>
          <w:szCs w:val="24"/>
        </w:rPr>
        <w:t xml:space="preserve">Anayasa Mahkemesi norm denetimi kapsamında, süresiz olarak bir mesleği icra edememe ile ilgili verdiği bir kararında “23.1.2008 Tarihli ve 5728 Sayılı Temel Ceza Kanunlarına Uyum Amacıyla Çeşitli Kanunlarda ve Diğer Bazı Kanunlarda Değişiklik Yapılmasına Dair Kanun’un 25. maddesi ile değiştirilen 11.4.1928 tarihli ve </w:t>
      </w:r>
      <w:r w:rsidRPr="00C05F9E">
        <w:rPr>
          <w:rFonts w:ascii="Times New Roman" w:eastAsia="Times New Roman" w:hAnsi="Times New Roman"/>
          <w:color w:val="010000"/>
          <w:sz w:val="24"/>
          <w:szCs w:val="24"/>
          <w:lang w:eastAsia="tr-TR"/>
        </w:rPr>
        <w:t xml:space="preserve">1219 sayılı </w:t>
      </w:r>
      <w:r w:rsidRPr="00C05F9E">
        <w:rPr>
          <w:rFonts w:ascii="Times New Roman" w:eastAsia="Times New Roman" w:hAnsi="Times New Roman"/>
          <w:bCs/>
          <w:color w:val="010000"/>
          <w:sz w:val="24"/>
          <w:szCs w:val="24"/>
          <w:lang w:eastAsia="tr-TR"/>
        </w:rPr>
        <w:t xml:space="preserve">Tababet ve </w:t>
      </w:r>
      <w:proofErr w:type="spellStart"/>
      <w:r w:rsidRPr="00C05F9E">
        <w:rPr>
          <w:rFonts w:ascii="Times New Roman" w:eastAsia="Times New Roman" w:hAnsi="Times New Roman"/>
          <w:bCs/>
          <w:color w:val="010000"/>
          <w:sz w:val="24"/>
          <w:szCs w:val="24"/>
          <w:lang w:eastAsia="tr-TR"/>
        </w:rPr>
        <w:t>Şuabatı</w:t>
      </w:r>
      <w:proofErr w:type="spellEnd"/>
      <w:r w:rsidRPr="00C05F9E">
        <w:rPr>
          <w:rFonts w:ascii="Times New Roman" w:eastAsia="Times New Roman" w:hAnsi="Times New Roman"/>
          <w:bCs/>
          <w:color w:val="010000"/>
          <w:sz w:val="24"/>
          <w:szCs w:val="24"/>
          <w:lang w:eastAsia="tr-TR"/>
        </w:rPr>
        <w:t xml:space="preserve"> </w:t>
      </w:r>
      <w:proofErr w:type="spellStart"/>
      <w:r w:rsidRPr="00C05F9E">
        <w:rPr>
          <w:rFonts w:ascii="Times New Roman" w:eastAsia="Times New Roman" w:hAnsi="Times New Roman"/>
          <w:bCs/>
          <w:color w:val="010000"/>
          <w:sz w:val="24"/>
          <w:szCs w:val="24"/>
          <w:lang w:eastAsia="tr-TR"/>
        </w:rPr>
        <w:t>San'atlarının</w:t>
      </w:r>
      <w:proofErr w:type="spellEnd"/>
      <w:r w:rsidRPr="00C05F9E">
        <w:rPr>
          <w:rFonts w:ascii="Times New Roman" w:eastAsia="Times New Roman" w:hAnsi="Times New Roman"/>
          <w:bCs/>
          <w:color w:val="010000"/>
          <w:sz w:val="24"/>
          <w:szCs w:val="24"/>
          <w:lang w:eastAsia="tr-TR"/>
        </w:rPr>
        <w:t xml:space="preserve"> Tarzı İcrasına Dair Kanun</w:t>
      </w:r>
      <w:r w:rsidRPr="00C05F9E">
        <w:rPr>
          <w:rFonts w:ascii="Times New Roman" w:eastAsia="Times New Roman" w:hAnsi="Times New Roman"/>
          <w:color w:val="010000"/>
          <w:sz w:val="24"/>
          <w:szCs w:val="24"/>
          <w:lang w:eastAsia="tr-TR"/>
        </w:rPr>
        <w:t>’un 28. maddesinin b</w:t>
      </w:r>
      <w:r w:rsidRPr="00C05F9E">
        <w:rPr>
          <w:rFonts w:ascii="Times New Roman" w:hAnsi="Times New Roman"/>
          <w:color w:val="010000"/>
          <w:sz w:val="24"/>
          <w:szCs w:val="24"/>
        </w:rPr>
        <w:t>irinci fıkrasının</w:t>
      </w:r>
      <w:r w:rsidRPr="00C05F9E">
        <w:rPr>
          <w:rFonts w:ascii="Times New Roman" w:eastAsia="Times New Roman" w:hAnsi="Times New Roman"/>
          <w:color w:val="010000"/>
          <w:sz w:val="24"/>
          <w:szCs w:val="24"/>
          <w:lang w:eastAsia="tr-TR"/>
        </w:rPr>
        <w:t xml:space="preserve"> “...</w:t>
      </w:r>
      <w:r w:rsidRPr="00C05F9E">
        <w:rPr>
          <w:rFonts w:ascii="Times New Roman" w:eastAsia="Times New Roman" w:hAnsi="Times New Roman"/>
          <w:bCs/>
          <w:i/>
          <w:color w:val="010000"/>
          <w:sz w:val="24"/>
          <w:szCs w:val="24"/>
          <w:lang w:eastAsia="tr-TR"/>
        </w:rPr>
        <w:t xml:space="preserve">milli savunmaya karşı suçlar, devlet sırlarına karşı suçlar ve casusluk, kamunun sağlığına karşı suçlar,...” </w:t>
      </w:r>
      <w:r w:rsidRPr="00C05F9E">
        <w:rPr>
          <w:rFonts w:ascii="Times New Roman" w:eastAsia="Times New Roman" w:hAnsi="Times New Roman"/>
          <w:bCs/>
          <w:color w:val="010000"/>
          <w:sz w:val="24"/>
          <w:szCs w:val="24"/>
          <w:lang w:eastAsia="tr-TR"/>
        </w:rPr>
        <w:t>ibareleri incelemiş ve Anayasa’nın 2. maddesine aykırı görerek iptal etmiştir.</w:t>
      </w:r>
      <w:r w:rsidR="00C05F9E" w:rsidRPr="00C05F9E">
        <w:rPr>
          <w:rFonts w:ascii="Times New Roman" w:eastAsia="Times New Roman" w:hAnsi="Times New Roman"/>
          <w:bCs/>
          <w:color w:val="010000"/>
          <w:sz w:val="24"/>
          <w:szCs w:val="24"/>
          <w:lang w:eastAsia="tr-TR"/>
        </w:rPr>
        <w:t xml:space="preserve"> </w:t>
      </w:r>
    </w:p>
    <w:p w:rsidR="007806FA" w:rsidRPr="00C05F9E" w:rsidRDefault="00C05F9E" w:rsidP="00C05F9E">
      <w:pPr>
        <w:pStyle w:val="ListeParagraf"/>
        <w:spacing w:after="200" w:line="240" w:lineRule="auto"/>
        <w:ind w:left="0" w:right="283" w:firstLine="709"/>
        <w:contextualSpacing w:val="0"/>
        <w:jc w:val="both"/>
        <w:rPr>
          <w:rFonts w:ascii="Times New Roman" w:hAnsi="Times New Roman"/>
          <w:bCs/>
          <w:color w:val="010000"/>
          <w:sz w:val="24"/>
          <w:szCs w:val="24"/>
          <w:lang w:eastAsia="tr-TR"/>
        </w:rPr>
      </w:pPr>
      <w:r w:rsidRPr="00C05F9E">
        <w:rPr>
          <w:rFonts w:ascii="Times New Roman" w:eastAsia="Times New Roman" w:hAnsi="Times New Roman"/>
          <w:bCs/>
          <w:color w:val="010000"/>
          <w:sz w:val="24"/>
          <w:szCs w:val="24"/>
          <w:lang w:eastAsia="tr-TR"/>
        </w:rPr>
        <w:t xml:space="preserve"> </w:t>
      </w:r>
      <w:r w:rsidR="007806FA" w:rsidRPr="00C05F9E">
        <w:rPr>
          <w:rFonts w:ascii="Times New Roman" w:eastAsia="Times New Roman" w:hAnsi="Times New Roman"/>
          <w:bCs/>
          <w:color w:val="010000"/>
          <w:sz w:val="24"/>
          <w:szCs w:val="24"/>
          <w:lang w:eastAsia="tr-TR"/>
        </w:rPr>
        <w:t>“</w:t>
      </w:r>
      <w:r w:rsidR="007806FA" w:rsidRPr="00C05F9E">
        <w:rPr>
          <w:rFonts w:ascii="Times New Roman" w:eastAsia="Times New Roman" w:hAnsi="Times New Roman"/>
          <w:bCs/>
          <w:i/>
          <w:color w:val="010000"/>
          <w:sz w:val="24"/>
          <w:szCs w:val="24"/>
          <w:lang w:eastAsia="tr-TR"/>
        </w:rPr>
        <w:t xml:space="preserve">Dava konusu düzenlemeler, meslek veya görevlerin özellikleri, suçların niteliği, bu suçlara verilen cezalar ve cezaların süresi, kasıtla veya taksirle işlenip işlenmediğine bakılmaması ve bir kademelendirme de yapılmaması ve bu suçlardan mahkum olanların belirli meslekleri ve görevleri sürekli olarak icra edememeleri, işledikleri suçlara göre adaletli ve eylemle orantılı olmayan ölçüsüz bir hak yoksunluğuna yol açması nedeniyle Anayasa’nın 2. maddesinde belirtilen ‘Hukuk Devleti’ ilkesine aykırıdır. İptali gerekir.” </w:t>
      </w:r>
      <w:r w:rsidR="007806FA" w:rsidRPr="00C05F9E">
        <w:rPr>
          <w:rFonts w:ascii="Times New Roman" w:hAnsi="Times New Roman"/>
          <w:bCs/>
          <w:color w:val="010000"/>
          <w:sz w:val="24"/>
          <w:szCs w:val="24"/>
          <w:lang w:eastAsia="tr-TR"/>
        </w:rPr>
        <w:t>(AYM, E.2008/17, K.2010/44, 25.2.2010)</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i/>
          <w:color w:val="010000"/>
          <w:sz w:val="24"/>
          <w:szCs w:val="24"/>
        </w:rPr>
      </w:pPr>
      <w:r w:rsidRPr="00C05F9E">
        <w:rPr>
          <w:rFonts w:ascii="Times New Roman" w:hAnsi="Times New Roman"/>
          <w:color w:val="010000"/>
          <w:sz w:val="24"/>
          <w:szCs w:val="24"/>
        </w:rPr>
        <w:lastRenderedPageBreak/>
        <w:t>Hekimlik mesleğinin icrasının süre sınırı olmaksızın sınırlandırılması Anayasa’nın 48. ve 49. maddelerinde güvence altına alınan “</w:t>
      </w:r>
      <w:r w:rsidRPr="00C05F9E">
        <w:rPr>
          <w:rFonts w:ascii="Times New Roman" w:hAnsi="Times New Roman"/>
          <w:i/>
          <w:color w:val="010000"/>
          <w:sz w:val="24"/>
          <w:szCs w:val="24"/>
        </w:rPr>
        <w:t>çalışma ve sözleşme özgürlüğü ile çalışma hakkına ölçüsüz bir sınırlama”</w:t>
      </w:r>
      <w:r w:rsidRPr="00C05F9E">
        <w:rPr>
          <w:rFonts w:ascii="Times New Roman" w:hAnsi="Times New Roman"/>
          <w:color w:val="010000"/>
          <w:sz w:val="24"/>
          <w:szCs w:val="24"/>
        </w:rPr>
        <w:t xml:space="preserve"> niteliğindedir. Kural kamu ve özel sektör ayırımı yapmaksızın hekimlik mesleğine süresiz sınır getirmektedir. Anayasa Mahkemesi birçok kararında bu ayrımı içerip içermediğine bakmış ve buna göre değerlendirme yapmıştır: </w:t>
      </w:r>
    </w:p>
    <w:p w:rsidR="007806FA" w:rsidRPr="00C05F9E" w:rsidRDefault="00C05F9E" w:rsidP="00C05F9E">
      <w:pPr>
        <w:pStyle w:val="ListeParagraf"/>
        <w:spacing w:after="200" w:line="240" w:lineRule="auto"/>
        <w:ind w:left="0" w:right="283" w:firstLine="709"/>
        <w:contextualSpacing w:val="0"/>
        <w:jc w:val="both"/>
        <w:rPr>
          <w:rFonts w:ascii="Times New Roman" w:hAnsi="Times New Roman"/>
          <w:color w:val="010000"/>
          <w:sz w:val="24"/>
          <w:szCs w:val="24"/>
        </w:rPr>
      </w:pPr>
      <w:r w:rsidRPr="00C05F9E">
        <w:rPr>
          <w:rFonts w:ascii="Times New Roman" w:hAnsi="Times New Roman"/>
          <w:i/>
          <w:color w:val="010000"/>
          <w:sz w:val="24"/>
          <w:szCs w:val="24"/>
        </w:rPr>
        <w:t xml:space="preserve"> </w:t>
      </w:r>
      <w:proofErr w:type="gramStart"/>
      <w:r w:rsidR="007806FA" w:rsidRPr="00C05F9E">
        <w:rPr>
          <w:rFonts w:ascii="Times New Roman" w:hAnsi="Times New Roman"/>
          <w:i/>
          <w:color w:val="010000"/>
          <w:sz w:val="24"/>
          <w:szCs w:val="24"/>
        </w:rPr>
        <w:t>“ Başvurucunun</w:t>
      </w:r>
      <w:proofErr w:type="gramEnd"/>
      <w:r w:rsidR="007806FA" w:rsidRPr="00C05F9E">
        <w:rPr>
          <w:rFonts w:ascii="Times New Roman" w:hAnsi="Times New Roman"/>
          <w:i/>
          <w:color w:val="010000"/>
          <w:sz w:val="24"/>
          <w:szCs w:val="24"/>
        </w:rPr>
        <w:t xml:space="preserve"> İdare tarafından özel sektörde çalışma yasağı içeren bir karar alındığına dair bir iddiasının bulunmadığı, somut olaya konu idari işlemin özel sektörde çalışmayı engelleyen bir içeriğinin olduğunu da ortaya koyamadığı vurgulanmalıdır. Bu durumda yukarıdaki açıklamalar çerçevesinde başvurucunun sınavı kazanarak harita mühendisi olarak atanmaya hak kazanmasına rağmen atama tarihi itibarıyla geçerli olan Kanun'da belirlenen kamu görevlisi olarak atanma şartlarını taşımadığının tespit edilmesi üzerine atamanın yapılmamasının -başvurucunun özel sektörde çalışma imkânının olması hususları da gözetildiğinde- demokratik toplum gereklerine uygun ve ölçülü olmadığı söylenemez.” </w:t>
      </w:r>
      <w:r w:rsidR="007806FA" w:rsidRPr="00C05F9E">
        <w:rPr>
          <w:rFonts w:ascii="Times New Roman" w:hAnsi="Times New Roman"/>
          <w:color w:val="010000"/>
          <w:sz w:val="24"/>
          <w:szCs w:val="24"/>
        </w:rPr>
        <w:t xml:space="preserve">(Cem </w:t>
      </w:r>
      <w:proofErr w:type="spellStart"/>
      <w:r w:rsidR="007806FA" w:rsidRPr="00C05F9E">
        <w:rPr>
          <w:rFonts w:ascii="Times New Roman" w:hAnsi="Times New Roman"/>
          <w:color w:val="010000"/>
          <w:sz w:val="24"/>
          <w:szCs w:val="24"/>
        </w:rPr>
        <w:t>Turğut</w:t>
      </w:r>
      <w:proofErr w:type="spellEnd"/>
      <w:r w:rsidR="007806FA" w:rsidRPr="00C05F9E">
        <w:rPr>
          <w:rFonts w:ascii="Times New Roman" w:hAnsi="Times New Roman"/>
          <w:color w:val="010000"/>
          <w:sz w:val="24"/>
          <w:szCs w:val="24"/>
        </w:rPr>
        <w:t>, B. No: 2019/16656, 18/10/2023, § …)</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C05F9E">
        <w:rPr>
          <w:rFonts w:ascii="Times New Roman" w:hAnsi="Times New Roman"/>
          <w:color w:val="010000"/>
          <w:sz w:val="24"/>
          <w:szCs w:val="24"/>
        </w:rPr>
        <w:t xml:space="preserve">Öte yandan Anayasa Mahkemesi daha önce Ahmet </w:t>
      </w:r>
      <w:proofErr w:type="spellStart"/>
      <w:r w:rsidRPr="00C05F9E">
        <w:rPr>
          <w:rFonts w:ascii="Times New Roman" w:hAnsi="Times New Roman"/>
          <w:color w:val="010000"/>
          <w:sz w:val="24"/>
          <w:szCs w:val="24"/>
        </w:rPr>
        <w:t>Gödeoğlu</w:t>
      </w:r>
      <w:proofErr w:type="spellEnd"/>
      <w:r w:rsidRPr="00C05F9E">
        <w:rPr>
          <w:rFonts w:ascii="Times New Roman" w:hAnsi="Times New Roman"/>
          <w:color w:val="010000"/>
          <w:sz w:val="24"/>
          <w:szCs w:val="24"/>
        </w:rPr>
        <w:t xml:space="preserve"> kararında, mahkûmiyet kararının bir sonucu olarak hekimlik mesleğindeki hak ve yetkilerini kullanmasının ömür boyu yasaklanması nedeniyle özel hayata saygı hakkının ihlal edildiğine karar vermiştir.</w:t>
      </w:r>
      <w:r w:rsidR="00C05F9E" w:rsidRPr="00C05F9E">
        <w:rPr>
          <w:rFonts w:ascii="Times New Roman" w:hAnsi="Times New Roman"/>
          <w:color w:val="010000"/>
          <w:sz w:val="24"/>
          <w:szCs w:val="24"/>
        </w:rPr>
        <w:t xml:space="preserve"> </w:t>
      </w:r>
      <w:r w:rsidRPr="00C05F9E">
        <w:rPr>
          <w:rFonts w:ascii="Times New Roman" w:hAnsi="Times New Roman"/>
          <w:color w:val="010000"/>
          <w:sz w:val="24"/>
          <w:szCs w:val="24"/>
        </w:rPr>
        <w:t xml:space="preserve">(B. </w:t>
      </w:r>
      <w:proofErr w:type="gramStart"/>
      <w:r w:rsidRPr="00C05F9E">
        <w:rPr>
          <w:rFonts w:ascii="Times New Roman" w:hAnsi="Times New Roman"/>
          <w:color w:val="010000"/>
          <w:sz w:val="24"/>
          <w:szCs w:val="24"/>
        </w:rPr>
        <w:t>No :</w:t>
      </w:r>
      <w:proofErr w:type="gramEnd"/>
      <w:r w:rsidRPr="00C05F9E">
        <w:rPr>
          <w:rFonts w:ascii="Times New Roman" w:hAnsi="Times New Roman"/>
          <w:color w:val="010000"/>
          <w:sz w:val="24"/>
          <w:szCs w:val="24"/>
        </w:rPr>
        <w:t xml:space="preserve"> 2018/28616, 17.11.2021) Söz konusu kararda Başvurucunun güveni kötüye kullanma suçundan mahkûm olduğu gerekçesiyle hekimlik mesleğini icra etmesine izin verilmemiştir. AYM tarafından özel sektörde dahi süresiz bir şekilde mesleğin icrasının yasaklanmasına sebep olan tedbirin özel hayata saygı hakkına orantısız bir müdahalede bulunulduğu sonucuna varılmıştır. </w:t>
      </w:r>
    </w:p>
    <w:p w:rsidR="007806FA" w:rsidRPr="00C05F9E" w:rsidRDefault="007806FA" w:rsidP="00C05F9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C05F9E">
        <w:rPr>
          <w:rFonts w:ascii="Times New Roman" w:hAnsi="Times New Roman"/>
          <w:color w:val="010000"/>
          <w:sz w:val="24"/>
          <w:szCs w:val="24"/>
        </w:rPr>
        <w:t>Yukarıda açıklandığı üzere; Anayasa Mahkemesi’nin mahkûmiyete bağlı süresiz hak yoksunluğu öngören</w:t>
      </w:r>
      <w:r w:rsidR="00C05F9E" w:rsidRPr="00C05F9E">
        <w:rPr>
          <w:rFonts w:ascii="Times New Roman" w:hAnsi="Times New Roman"/>
          <w:color w:val="010000"/>
          <w:sz w:val="24"/>
          <w:szCs w:val="24"/>
        </w:rPr>
        <w:t xml:space="preserve"> </w:t>
      </w:r>
      <w:r w:rsidRPr="00C05F9E">
        <w:rPr>
          <w:rFonts w:ascii="Times New Roman" w:hAnsi="Times New Roman"/>
          <w:color w:val="010000"/>
          <w:sz w:val="24"/>
          <w:szCs w:val="24"/>
        </w:rPr>
        <w:t>kuralları norm denetiminde iptal ettiği bu kuralların uygulanması üzerine tesis edilen işlemlerle ilgili yapılan bireysel başvuru incelemesinde de ihlal kararı verildiği görülmektedir.</w:t>
      </w:r>
    </w:p>
    <w:p w:rsidR="00F2653C" w:rsidRPr="00C05F9E" w:rsidRDefault="007806FA" w:rsidP="00AF621C">
      <w:pPr>
        <w:pStyle w:val="ListeParagraf"/>
        <w:numPr>
          <w:ilvl w:val="0"/>
          <w:numId w:val="2"/>
        </w:numPr>
        <w:spacing w:after="200" w:line="240" w:lineRule="auto"/>
        <w:ind w:left="0" w:right="283" w:firstLine="709"/>
        <w:contextualSpacing w:val="0"/>
        <w:jc w:val="both"/>
        <w:rPr>
          <w:rFonts w:ascii="Times New Roman" w:hAnsi="Times New Roman"/>
          <w:color w:val="010000"/>
          <w:sz w:val="24"/>
        </w:rPr>
      </w:pPr>
      <w:r w:rsidRPr="00C05F9E">
        <w:rPr>
          <w:rFonts w:ascii="Times New Roman" w:hAnsi="Times New Roman"/>
          <w:color w:val="010000"/>
          <w:sz w:val="24"/>
          <w:szCs w:val="24"/>
        </w:rPr>
        <w:t xml:space="preserve">Anayasa Mahkemesinin norm denetiminde ve bireysel başvuruda benzer konulardaki içtihatlarından farklılık gösteren çoğunluk görüşüne yukarıda izah ettiğimiz nedenlerle iştirak edilmemiştir. </w:t>
      </w:r>
    </w:p>
    <w:p w:rsidR="00C05F9E" w:rsidRPr="00C05F9E" w:rsidRDefault="00C05F9E" w:rsidP="00C05F9E">
      <w:pPr>
        <w:pStyle w:val="ListeParagraf"/>
        <w:spacing w:after="200" w:line="240" w:lineRule="auto"/>
        <w:ind w:left="709" w:right="283"/>
        <w:contextualSpacing w:val="0"/>
        <w:jc w:val="both"/>
        <w:rPr>
          <w:rFonts w:ascii="Times New Roman" w:hAnsi="Times New Roman"/>
          <w:color w:val="010000"/>
          <w:sz w:val="24"/>
        </w:rPr>
      </w:pPr>
    </w:p>
    <w:tbl>
      <w:tblPr>
        <w:tblW w:w="5000" w:type="pct"/>
        <w:jc w:val="center"/>
        <w:tblCellMar>
          <w:left w:w="70" w:type="dxa"/>
          <w:right w:w="70" w:type="dxa"/>
        </w:tblCellMar>
        <w:tblLook w:val="00A0" w:firstRow="1" w:lastRow="0" w:firstColumn="1" w:lastColumn="0" w:noHBand="0" w:noVBand="0"/>
      </w:tblPr>
      <w:tblGrid>
        <w:gridCol w:w="5080"/>
        <w:gridCol w:w="4700"/>
      </w:tblGrid>
      <w:tr w:rsidR="00F2653C" w:rsidRPr="00C05F9E" w:rsidTr="00C05F9E">
        <w:trPr>
          <w:trHeight w:val="1600"/>
          <w:jc w:val="center"/>
        </w:trPr>
        <w:tc>
          <w:tcPr>
            <w:tcW w:w="2597" w:type="pct"/>
            <w:vAlign w:val="center"/>
            <w:hideMark/>
          </w:tcPr>
          <w:p w:rsidR="00F2653C" w:rsidRPr="00C05F9E" w:rsidRDefault="00F2653C" w:rsidP="00C05F9E">
            <w:pPr>
              <w:spacing w:after="120"/>
              <w:jc w:val="center"/>
              <w:rPr>
                <w:color w:val="010000"/>
              </w:rPr>
            </w:pPr>
            <w:r w:rsidRPr="00C05F9E">
              <w:rPr>
                <w:color w:val="010000"/>
              </w:rPr>
              <w:t xml:space="preserve">Üye </w:t>
            </w:r>
          </w:p>
          <w:p w:rsidR="00F2653C" w:rsidRPr="00C05F9E" w:rsidRDefault="00F2653C" w:rsidP="00C05F9E">
            <w:pPr>
              <w:spacing w:after="120"/>
              <w:jc w:val="center"/>
              <w:rPr>
                <w:color w:val="010000"/>
              </w:rPr>
            </w:pPr>
            <w:r w:rsidRPr="00C05F9E">
              <w:rPr>
                <w:color w:val="010000"/>
              </w:rPr>
              <w:t>Engin YILDIRIM</w:t>
            </w:r>
          </w:p>
        </w:tc>
        <w:tc>
          <w:tcPr>
            <w:tcW w:w="2403" w:type="pct"/>
            <w:vAlign w:val="center"/>
          </w:tcPr>
          <w:p w:rsidR="00F2653C" w:rsidRPr="00C05F9E" w:rsidRDefault="00F2653C" w:rsidP="00C05F9E">
            <w:pPr>
              <w:spacing w:after="120"/>
              <w:jc w:val="center"/>
              <w:rPr>
                <w:color w:val="010000"/>
              </w:rPr>
            </w:pPr>
            <w:r w:rsidRPr="00C05F9E">
              <w:rPr>
                <w:color w:val="010000"/>
              </w:rPr>
              <w:t>Üye</w:t>
            </w:r>
          </w:p>
          <w:p w:rsidR="00F2653C" w:rsidRPr="00C05F9E" w:rsidRDefault="00F2653C" w:rsidP="00C05F9E">
            <w:pPr>
              <w:spacing w:after="120"/>
              <w:jc w:val="center"/>
              <w:rPr>
                <w:color w:val="010000"/>
              </w:rPr>
            </w:pPr>
            <w:r w:rsidRPr="00C05F9E">
              <w:rPr>
                <w:bCs/>
                <w:color w:val="010000"/>
              </w:rPr>
              <w:t>Yıldız SEFERİNOĞLU</w:t>
            </w:r>
          </w:p>
        </w:tc>
      </w:tr>
      <w:tr w:rsidR="00F2653C" w:rsidRPr="00C05F9E" w:rsidTr="00C05F9E">
        <w:trPr>
          <w:trHeight w:val="1600"/>
          <w:jc w:val="center"/>
        </w:trPr>
        <w:tc>
          <w:tcPr>
            <w:tcW w:w="2597" w:type="pct"/>
            <w:vAlign w:val="center"/>
            <w:hideMark/>
          </w:tcPr>
          <w:p w:rsidR="00F2653C" w:rsidRPr="00C05F9E" w:rsidRDefault="00F2653C" w:rsidP="00C05F9E">
            <w:pPr>
              <w:spacing w:after="120"/>
              <w:jc w:val="center"/>
              <w:rPr>
                <w:color w:val="010000"/>
              </w:rPr>
            </w:pPr>
            <w:r w:rsidRPr="00C05F9E">
              <w:rPr>
                <w:color w:val="010000"/>
              </w:rPr>
              <w:t>Üye</w:t>
            </w:r>
          </w:p>
          <w:p w:rsidR="00F2653C" w:rsidRPr="00C05F9E" w:rsidRDefault="00F2653C" w:rsidP="00C05F9E">
            <w:pPr>
              <w:spacing w:after="120"/>
              <w:jc w:val="center"/>
              <w:rPr>
                <w:color w:val="010000"/>
              </w:rPr>
            </w:pPr>
            <w:r w:rsidRPr="00C05F9E">
              <w:rPr>
                <w:color w:val="010000"/>
              </w:rPr>
              <w:t>Selahaddin MENTEŞ</w:t>
            </w:r>
          </w:p>
        </w:tc>
        <w:tc>
          <w:tcPr>
            <w:tcW w:w="2403" w:type="pct"/>
            <w:vAlign w:val="center"/>
            <w:hideMark/>
          </w:tcPr>
          <w:p w:rsidR="00F2653C" w:rsidRPr="00C05F9E" w:rsidRDefault="00F2653C" w:rsidP="00C05F9E">
            <w:pPr>
              <w:spacing w:after="120"/>
              <w:jc w:val="center"/>
              <w:rPr>
                <w:color w:val="010000"/>
              </w:rPr>
            </w:pPr>
            <w:r w:rsidRPr="00C05F9E">
              <w:rPr>
                <w:color w:val="010000"/>
              </w:rPr>
              <w:t>Üye</w:t>
            </w:r>
          </w:p>
          <w:p w:rsidR="00F2653C" w:rsidRPr="00C05F9E" w:rsidRDefault="00F2653C" w:rsidP="00C05F9E">
            <w:pPr>
              <w:spacing w:after="120"/>
              <w:jc w:val="center"/>
              <w:rPr>
                <w:color w:val="010000"/>
              </w:rPr>
            </w:pPr>
            <w:r w:rsidRPr="00C05F9E">
              <w:rPr>
                <w:color w:val="010000"/>
              </w:rPr>
              <w:t>Kenan YAŞAR</w:t>
            </w:r>
          </w:p>
        </w:tc>
      </w:tr>
    </w:tbl>
    <w:p w:rsidR="00C05F9E" w:rsidRDefault="00C05F9E" w:rsidP="00C05F9E">
      <w:pPr>
        <w:spacing w:after="200"/>
        <w:ind w:right="283"/>
        <w:jc w:val="both"/>
        <w:rPr>
          <w:b/>
          <w:color w:val="010000"/>
        </w:rPr>
      </w:pPr>
    </w:p>
    <w:p w:rsidR="00C05F9E" w:rsidRDefault="00C05F9E" w:rsidP="00C05F9E">
      <w:pPr>
        <w:spacing w:after="200"/>
        <w:ind w:right="283"/>
        <w:jc w:val="both"/>
        <w:rPr>
          <w:b/>
          <w:color w:val="010000"/>
        </w:rPr>
      </w:pPr>
    </w:p>
    <w:p w:rsidR="00C05F9E" w:rsidRDefault="00C05F9E" w:rsidP="00C05F9E">
      <w:pPr>
        <w:spacing w:after="200"/>
        <w:ind w:right="283"/>
        <w:jc w:val="both"/>
        <w:rPr>
          <w:b/>
          <w:color w:val="010000"/>
        </w:rPr>
      </w:pPr>
    </w:p>
    <w:p w:rsidR="00C05F9E" w:rsidRDefault="00C05F9E" w:rsidP="00C05F9E">
      <w:pPr>
        <w:spacing w:after="200"/>
        <w:ind w:right="283"/>
        <w:jc w:val="both"/>
        <w:rPr>
          <w:b/>
          <w:color w:val="010000"/>
        </w:rPr>
      </w:pPr>
    </w:p>
    <w:p w:rsidR="000A5797" w:rsidRPr="00C05F9E" w:rsidRDefault="000A5797" w:rsidP="00C05F9E">
      <w:pPr>
        <w:spacing w:after="200"/>
        <w:ind w:right="283"/>
        <w:jc w:val="center"/>
        <w:rPr>
          <w:b/>
          <w:color w:val="010000"/>
        </w:rPr>
      </w:pPr>
      <w:r w:rsidRPr="00C05F9E">
        <w:rPr>
          <w:b/>
          <w:color w:val="010000"/>
        </w:rPr>
        <w:lastRenderedPageBreak/>
        <w:t>KARŞIOY GEREKÇESİ</w:t>
      </w:r>
    </w:p>
    <w:p w:rsidR="000A5797" w:rsidRPr="00C05F9E" w:rsidRDefault="000A5797" w:rsidP="00C05F9E">
      <w:pPr>
        <w:spacing w:after="200"/>
        <w:ind w:right="283" w:firstLine="709"/>
        <w:jc w:val="both"/>
        <w:rPr>
          <w:color w:val="010000"/>
        </w:rPr>
      </w:pPr>
      <w:r w:rsidRPr="00C05F9E">
        <w:rPr>
          <w:color w:val="010000"/>
        </w:rPr>
        <w:t xml:space="preserve">1. Mahkememiz çoğunluğunun </w:t>
      </w:r>
      <w:r w:rsidRPr="00C05F9E">
        <w:rPr>
          <w:rFonts w:eastAsia="Calibri"/>
          <w:bCs/>
          <w:color w:val="010000"/>
        </w:rPr>
        <w:t xml:space="preserve">11/4/1928 tarihli ve 1219 sayılı Tababet ve </w:t>
      </w:r>
      <w:proofErr w:type="spellStart"/>
      <w:r w:rsidRPr="00C05F9E">
        <w:rPr>
          <w:rFonts w:eastAsia="Calibri"/>
          <w:bCs/>
          <w:color w:val="010000"/>
        </w:rPr>
        <w:t>Şuabatı</w:t>
      </w:r>
      <w:proofErr w:type="spellEnd"/>
      <w:r w:rsidRPr="00C05F9E">
        <w:rPr>
          <w:rFonts w:eastAsia="Calibri"/>
          <w:bCs/>
          <w:color w:val="010000"/>
        </w:rPr>
        <w:t xml:space="preserve"> </w:t>
      </w:r>
      <w:proofErr w:type="spellStart"/>
      <w:r w:rsidRPr="00C05F9E">
        <w:rPr>
          <w:rFonts w:eastAsia="Calibri"/>
          <w:bCs/>
          <w:color w:val="010000"/>
        </w:rPr>
        <w:t>San'atlarının</w:t>
      </w:r>
      <w:proofErr w:type="spellEnd"/>
      <w:r w:rsidRPr="00C05F9E">
        <w:rPr>
          <w:rFonts w:eastAsia="Calibri"/>
          <w:bCs/>
          <w:color w:val="010000"/>
        </w:rPr>
        <w:t xml:space="preserve"> Tarzı İcrasına Dair Kanun’un 23/1/2008 tarihli ve 5728 sayılı Kanun’un 25. maddesiyle değiştirilen 28. maddesinin birinci fıkrasında yer alan </w:t>
      </w:r>
      <w:bookmarkStart w:id="18" w:name="_Hlk180486349"/>
      <w:r w:rsidRPr="00C05F9E">
        <w:rPr>
          <w:rFonts w:eastAsia="Calibri"/>
          <w:bCs/>
          <w:i/>
          <w:color w:val="010000"/>
        </w:rPr>
        <w:t xml:space="preserve">“Hekimlik mesleğinin icrası için; Türk Ceza Kanununun 53 üncü maddesinde belirtilen süreler geçmiş olsa bile;…” </w:t>
      </w:r>
      <w:r w:rsidRPr="00C05F9E">
        <w:rPr>
          <w:rFonts w:eastAsia="Calibri"/>
          <w:bCs/>
          <w:color w:val="010000"/>
        </w:rPr>
        <w:t>bölümü ile</w:t>
      </w:r>
      <w:r w:rsidR="00C05F9E" w:rsidRPr="00C05F9E">
        <w:rPr>
          <w:rFonts w:eastAsia="Calibri"/>
          <w:bCs/>
          <w:i/>
          <w:color w:val="010000"/>
        </w:rPr>
        <w:t xml:space="preserve"> </w:t>
      </w:r>
      <w:bookmarkEnd w:id="18"/>
      <w:r w:rsidRPr="00C05F9E">
        <w:rPr>
          <w:rFonts w:eastAsia="Calibri"/>
          <w:bCs/>
          <w:i/>
          <w:color w:val="010000"/>
        </w:rPr>
        <w:t>“…Anayasal düzene ve bu düzenin işleyişine karşı suçlar…”</w:t>
      </w:r>
      <w:r w:rsidRPr="00C05F9E">
        <w:rPr>
          <w:rFonts w:eastAsia="Calibri"/>
          <w:bCs/>
          <w:color w:val="010000"/>
        </w:rPr>
        <w:t xml:space="preserve"> ve</w:t>
      </w:r>
      <w:r w:rsidRPr="00C05F9E">
        <w:rPr>
          <w:rFonts w:eastAsia="Calibri"/>
          <w:bCs/>
          <w:i/>
          <w:color w:val="010000"/>
        </w:rPr>
        <w:t xml:space="preserve"> “…hapis cezasına mahkûm olmamak gerekir.” </w:t>
      </w:r>
      <w:r w:rsidRPr="00C05F9E">
        <w:rPr>
          <w:rFonts w:eastAsia="Calibri"/>
          <w:bCs/>
          <w:color w:val="010000"/>
        </w:rPr>
        <w:t>ibarelerinin Anayasa’ya aykırı olmadığına</w:t>
      </w:r>
      <w:r w:rsidRPr="00C05F9E">
        <w:rPr>
          <w:color w:val="010000"/>
        </w:rPr>
        <w:t xml:space="preserve"> </w:t>
      </w:r>
      <w:r w:rsidRPr="00C05F9E">
        <w:rPr>
          <w:bCs/>
          <w:color w:val="010000"/>
        </w:rPr>
        <w:t xml:space="preserve">ilişkin </w:t>
      </w:r>
      <w:r w:rsidRPr="00C05F9E">
        <w:rPr>
          <w:color w:val="010000"/>
        </w:rPr>
        <w:t xml:space="preserve">kanaatine katılmamaktayım. </w:t>
      </w:r>
    </w:p>
    <w:p w:rsidR="000A5797" w:rsidRPr="00C05F9E" w:rsidRDefault="000A5797" w:rsidP="00C05F9E">
      <w:pPr>
        <w:spacing w:after="200"/>
        <w:ind w:right="283" w:firstLine="709"/>
        <w:jc w:val="both"/>
        <w:rPr>
          <w:rFonts w:eastAsia="Calibri"/>
          <w:color w:val="010000"/>
        </w:rPr>
      </w:pPr>
      <w:r w:rsidRPr="00C05F9E">
        <w:rPr>
          <w:color w:val="010000"/>
        </w:rPr>
        <w:t xml:space="preserve">2. Dava konusu ibarelerin yer aldığı </w:t>
      </w:r>
      <w:r w:rsidRPr="00C05F9E">
        <w:rPr>
          <w:rFonts w:eastAsia="Calibri"/>
          <w:color w:val="010000"/>
        </w:rPr>
        <w:t xml:space="preserve">Kanun’un 28. maddesinde hekimlik mesleğinin icrası için bazı suçlardan </w:t>
      </w:r>
      <w:proofErr w:type="gramStart"/>
      <w:r w:rsidRPr="00C05F9E">
        <w:rPr>
          <w:rFonts w:eastAsia="Calibri"/>
          <w:color w:val="010000"/>
        </w:rPr>
        <w:t>mahkum</w:t>
      </w:r>
      <w:proofErr w:type="gramEnd"/>
      <w:r w:rsidRPr="00C05F9E">
        <w:rPr>
          <w:rFonts w:eastAsia="Calibri"/>
          <w:color w:val="010000"/>
        </w:rPr>
        <w:t xml:space="preserve"> olmamak sayılmış olup bunlar içerisinde birinci fıkrada Türk Ceza Kanunu’nun 53. maddesinde belirtilen süreler geçmiş olsa bile anayasal düzene ve bu düzenin işleyişine karşı suçtan hapis cezasına mahkûm olmamak da yer almaktadır.</w:t>
      </w:r>
    </w:p>
    <w:p w:rsidR="000A5797" w:rsidRPr="00C05F9E" w:rsidRDefault="000A5797" w:rsidP="00C05F9E">
      <w:pPr>
        <w:spacing w:after="200"/>
        <w:ind w:right="283" w:firstLine="709"/>
        <w:jc w:val="both"/>
        <w:rPr>
          <w:rFonts w:eastAsia="Calibri"/>
          <w:bCs/>
          <w:color w:val="010000"/>
        </w:rPr>
      </w:pPr>
      <w:r w:rsidRPr="00C05F9E">
        <w:rPr>
          <w:rFonts w:eastAsia="Calibri"/>
          <w:color w:val="010000"/>
        </w:rPr>
        <w:t xml:space="preserve">3. Mahkememiz çoğunluğu </w:t>
      </w:r>
      <w:r w:rsidRPr="00C05F9E">
        <w:rPr>
          <w:rFonts w:eastAsia="Calibri"/>
          <w:bCs/>
          <w:color w:val="010000"/>
        </w:rPr>
        <w:t xml:space="preserve">yaptığı değerlendirmede, kuralla hekimlik için bir hak yoksunluğu getirilmekte ise de yasaklanmış hakların geri verilmesi kurumuyla bu hak yoksunluğunun esasında süresiz olmadığı, bu sürenin yeni kurumla birlikte diğer koşulların yanında üç yılla sınırlandırıldığı, bu sürenin de hekimlik mesleğinin icrası için anayasal düzene ve bu düzenin işleyişine karşı suçlardan mahkûm olanlara aşırı bir külfet yüklemediği sonucuna ulaşarak kuralın Anayasa’nın 13., 48. ve 49. maddelerine aykırı olmadığı sonucuna ulaşmıştır (Bkz.: </w:t>
      </w:r>
      <w:r w:rsidRPr="00C05F9E">
        <w:rPr>
          <w:rFonts w:eastAsia="Calibri"/>
          <w:color w:val="010000"/>
          <w:shd w:val="clear" w:color="auto" w:fill="FFFFFF"/>
        </w:rPr>
        <w:t>§§</w:t>
      </w:r>
      <w:r w:rsidR="00C05F9E" w:rsidRPr="00C05F9E">
        <w:rPr>
          <w:rFonts w:eastAsia="Calibri"/>
          <w:color w:val="010000"/>
          <w:shd w:val="clear" w:color="auto" w:fill="FFFFFF"/>
        </w:rPr>
        <w:t xml:space="preserve"> </w:t>
      </w:r>
      <w:r w:rsidRPr="00C05F9E">
        <w:rPr>
          <w:rFonts w:eastAsia="Calibri"/>
          <w:bCs/>
          <w:color w:val="010000"/>
        </w:rPr>
        <w:t xml:space="preserve">35-36). </w:t>
      </w:r>
    </w:p>
    <w:p w:rsidR="000A5797" w:rsidRPr="00C05F9E" w:rsidRDefault="000A5797" w:rsidP="00C05F9E">
      <w:pPr>
        <w:spacing w:after="200"/>
        <w:ind w:right="283" w:firstLine="709"/>
        <w:jc w:val="both"/>
        <w:rPr>
          <w:rFonts w:eastAsia="Calibri"/>
          <w:color w:val="010000"/>
        </w:rPr>
      </w:pPr>
      <w:r w:rsidRPr="00C05F9E">
        <w:rPr>
          <w:rFonts w:eastAsia="Calibri"/>
          <w:bCs/>
          <w:color w:val="010000"/>
        </w:rPr>
        <w:t xml:space="preserve">4. Öncelikle ifade etmek gerekir kural kamu veya özel sektör ayırımı yapmaksızın hekimlik mesleğinin icrasını sınırlandırmaktadır. Ancak hekimlik mesleğinin icrasının sınırlandırılabilmesi için </w:t>
      </w:r>
      <w:r w:rsidRPr="00C05F9E">
        <w:rPr>
          <w:rFonts w:eastAsia="Calibri"/>
          <w:color w:val="010000"/>
        </w:rPr>
        <w:t xml:space="preserve">anayasal düzene ve bu düzenin işleyişine karşı suçtan hapis cezasına mahkûm edilmiş olmak şartı yer almaktadır. Öte yandan kural gereği bu suçtan mahkumiyetin bir sonucu olarak kişi hekimlik mesleğinin icrasını herhangi bir süre sınırı olmaksızın gerçekleştiremeyecektir. </w:t>
      </w:r>
    </w:p>
    <w:p w:rsidR="000A5797" w:rsidRPr="00C05F9E" w:rsidRDefault="000A5797" w:rsidP="00C05F9E">
      <w:pPr>
        <w:spacing w:after="200"/>
        <w:ind w:right="283" w:firstLine="709"/>
        <w:jc w:val="both"/>
        <w:rPr>
          <w:rFonts w:eastAsia="Calibri"/>
          <w:color w:val="010000"/>
        </w:rPr>
      </w:pPr>
      <w:r w:rsidRPr="00C05F9E">
        <w:rPr>
          <w:rFonts w:eastAsia="Calibri"/>
          <w:color w:val="010000"/>
        </w:rPr>
        <w:t xml:space="preserve">5. Hekimlik mesleğinin icrasının bu şekilde süre sınırı olmaksızın sınırlandırılması çoğunluk kararında ifade edildiği biçimde meşru bir amaca dayanır olsa bile dava konusu kural bu tür </w:t>
      </w:r>
      <w:proofErr w:type="gramStart"/>
      <w:r w:rsidRPr="00C05F9E">
        <w:rPr>
          <w:rFonts w:eastAsia="Calibri"/>
          <w:color w:val="010000"/>
        </w:rPr>
        <w:t>mahkumiyet</w:t>
      </w:r>
      <w:proofErr w:type="gramEnd"/>
      <w:r w:rsidRPr="00C05F9E">
        <w:rPr>
          <w:rFonts w:eastAsia="Calibri"/>
          <w:color w:val="010000"/>
        </w:rPr>
        <w:t xml:space="preserve"> alan hekimler açısından Anayasa’nın 48. ve 49. maddelerinde güvence altına alınan çalışma ve sözleşme özgürlüğü ile çalışma hakkına ölçüsüz bir sınırlama getirmektedir. </w:t>
      </w:r>
    </w:p>
    <w:p w:rsidR="000A5797" w:rsidRPr="00C05F9E" w:rsidRDefault="000A5797" w:rsidP="00C05F9E">
      <w:pPr>
        <w:spacing w:after="200"/>
        <w:ind w:right="283" w:firstLine="709"/>
        <w:jc w:val="both"/>
        <w:rPr>
          <w:rFonts w:eastAsia="Calibri"/>
          <w:color w:val="010000"/>
          <w:shd w:val="clear" w:color="auto" w:fill="FFFFFF"/>
        </w:rPr>
      </w:pPr>
      <w:r w:rsidRPr="00C05F9E">
        <w:rPr>
          <w:rFonts w:eastAsia="Calibri"/>
          <w:color w:val="010000"/>
        </w:rPr>
        <w:t>6. Nitekim bu minvalde yapılan bir bireysel başvuruda Anayasa Mahkemesi güveni kötüye kullanmak suçundan</w:t>
      </w:r>
      <w:r w:rsidRPr="00C05F9E">
        <w:rPr>
          <w:rFonts w:eastAsia="Calibri"/>
          <w:i/>
          <w:color w:val="010000"/>
        </w:rPr>
        <w:t xml:space="preserve"> </w:t>
      </w:r>
      <w:r w:rsidRPr="00C05F9E">
        <w:rPr>
          <w:rFonts w:eastAsia="Calibri"/>
          <w:bCs/>
          <w:color w:val="010000"/>
        </w:rPr>
        <w:t xml:space="preserve">aldığı </w:t>
      </w:r>
      <w:r w:rsidRPr="00C05F9E">
        <w:rPr>
          <w:rFonts w:eastAsia="Calibri"/>
          <w:color w:val="010000"/>
          <w:shd w:val="clear" w:color="auto" w:fill="FFFFFF"/>
        </w:rPr>
        <w:t>mahkûmiyet kararının bir sonucu olarak başvurucunun hekimlik mesleğindeki hak ve yetkilerini kullanmasının ömür boyu yasaklanması nedeniyle</w:t>
      </w:r>
      <w:r w:rsidR="00C05F9E" w:rsidRPr="00C05F9E">
        <w:rPr>
          <w:rFonts w:eastAsia="Calibri"/>
          <w:color w:val="010000"/>
          <w:shd w:val="clear" w:color="auto" w:fill="FFFFFF"/>
        </w:rPr>
        <w:t xml:space="preserve"> </w:t>
      </w:r>
      <w:r w:rsidRPr="00C05F9E">
        <w:rPr>
          <w:rFonts w:eastAsia="Calibri"/>
          <w:color w:val="010000"/>
          <w:shd w:val="clear" w:color="auto" w:fill="FFFFFF"/>
        </w:rPr>
        <w:t xml:space="preserve">özel hayata saygı hakkının ihlal edildiğine karar vermiştir (Bkz.: </w:t>
      </w:r>
      <w:r w:rsidRPr="00C05F9E">
        <w:rPr>
          <w:rFonts w:eastAsia="Calibri"/>
          <w:bCs/>
          <w:i/>
          <w:iCs/>
          <w:color w:val="010000"/>
        </w:rPr>
        <w:t xml:space="preserve">Ahmet </w:t>
      </w:r>
      <w:proofErr w:type="spellStart"/>
      <w:r w:rsidRPr="00C05F9E">
        <w:rPr>
          <w:rFonts w:eastAsia="Calibri"/>
          <w:bCs/>
          <w:i/>
          <w:iCs/>
          <w:color w:val="010000"/>
        </w:rPr>
        <w:t>Gödeoğlu</w:t>
      </w:r>
      <w:proofErr w:type="spellEnd"/>
      <w:r w:rsidRPr="00C05F9E">
        <w:rPr>
          <w:rFonts w:eastAsia="Calibri"/>
          <w:bCs/>
          <w:i/>
          <w:iCs/>
          <w:color w:val="010000"/>
        </w:rPr>
        <w:t xml:space="preserve">, B. No: 2018/28616, 17/11/2021, </w:t>
      </w:r>
      <w:r w:rsidRPr="00C05F9E">
        <w:rPr>
          <w:rFonts w:eastAsia="Calibri"/>
          <w:color w:val="010000"/>
          <w:shd w:val="clear" w:color="auto" w:fill="FFFFFF"/>
        </w:rPr>
        <w:t>§§ 45-52).</w:t>
      </w:r>
    </w:p>
    <w:p w:rsidR="000A5797" w:rsidRPr="00C05F9E" w:rsidRDefault="000A5797" w:rsidP="00C05F9E">
      <w:pPr>
        <w:spacing w:after="200"/>
        <w:ind w:right="283" w:firstLine="709"/>
        <w:jc w:val="both"/>
        <w:rPr>
          <w:rFonts w:eastAsia="Calibri"/>
          <w:bCs/>
          <w:color w:val="010000"/>
        </w:rPr>
      </w:pPr>
      <w:r w:rsidRPr="00C05F9E">
        <w:rPr>
          <w:rFonts w:eastAsia="Calibri"/>
          <w:color w:val="010000"/>
          <w:shd w:val="clear" w:color="auto" w:fill="FFFFFF"/>
        </w:rPr>
        <w:t xml:space="preserve">7. Her ne kadar bireysel başvuru kararındaki bu gerekçeyi Mahkememiz çoğunluğu bu kararda revize ederek dava konusu </w:t>
      </w:r>
      <w:r w:rsidRPr="00C05F9E">
        <w:rPr>
          <w:rFonts w:eastAsia="Calibri"/>
          <w:bCs/>
          <w:color w:val="010000"/>
        </w:rPr>
        <w:t xml:space="preserve">kuralla hekimlik için bir hak yoksunluğu getirilmekte ise de yasaklanmış hakların geri verilmesi kurumuyla bu hak yoksunluğunun esasında süresiz olmadığını, bu sürenin yasaklanmış hakların geri verilmesi kurumuyla birlikte diğer koşulların yanında üç yılla sınırlandırıldığını ve öngörülen sürenin hekimlik mesleğinin icrası için anayasal düzene ve bu düzenin işleyişine karşı suçlardan mahkûm olanlara aşırı bir külfet yüklemediğini belirtmiştir (Bkz.: </w:t>
      </w:r>
      <w:r w:rsidRPr="00C05F9E">
        <w:rPr>
          <w:rFonts w:eastAsia="Calibri"/>
          <w:color w:val="010000"/>
          <w:shd w:val="clear" w:color="auto" w:fill="FFFFFF"/>
        </w:rPr>
        <w:t>§</w:t>
      </w:r>
      <w:r w:rsidR="00C05F9E" w:rsidRPr="00C05F9E">
        <w:rPr>
          <w:rFonts w:eastAsia="Calibri"/>
          <w:color w:val="010000"/>
          <w:shd w:val="clear" w:color="auto" w:fill="FFFFFF"/>
        </w:rPr>
        <w:t xml:space="preserve"> </w:t>
      </w:r>
      <w:r w:rsidRPr="00C05F9E">
        <w:rPr>
          <w:rFonts w:eastAsia="Calibri"/>
          <w:bCs/>
          <w:color w:val="010000"/>
        </w:rPr>
        <w:t xml:space="preserve">35). Bununla birlikte kanaatimizce burada hekimlerin anılan haklarına yine de ölçüsüz bir müdahale söz konusudur. </w:t>
      </w:r>
    </w:p>
    <w:p w:rsidR="000A5797" w:rsidRPr="00C05F9E" w:rsidRDefault="000A5797" w:rsidP="00C05F9E">
      <w:pPr>
        <w:spacing w:after="200"/>
        <w:ind w:right="283" w:firstLine="709"/>
        <w:jc w:val="both"/>
        <w:rPr>
          <w:rFonts w:eastAsia="Calibri"/>
          <w:bCs/>
          <w:color w:val="010000"/>
        </w:rPr>
      </w:pPr>
      <w:r w:rsidRPr="00C05F9E">
        <w:rPr>
          <w:rFonts w:eastAsia="Calibri"/>
          <w:bCs/>
          <w:color w:val="010000"/>
        </w:rPr>
        <w:t xml:space="preserve">8. Somut kural bağlamında hekimlerin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mahkûm olunan cezanın </w:t>
      </w:r>
      <w:r w:rsidRPr="00C05F9E">
        <w:rPr>
          <w:rFonts w:eastAsia="Calibri"/>
          <w:bCs/>
          <w:color w:val="010000"/>
        </w:rPr>
        <w:lastRenderedPageBreak/>
        <w:t xml:space="preserve">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kaldırılabilmektedir. </w:t>
      </w:r>
    </w:p>
    <w:p w:rsidR="000A5797" w:rsidRPr="00C05F9E" w:rsidRDefault="000A5797" w:rsidP="00C05F9E">
      <w:pPr>
        <w:spacing w:after="200"/>
        <w:ind w:right="283" w:firstLine="709"/>
        <w:jc w:val="both"/>
        <w:rPr>
          <w:color w:val="010000"/>
        </w:rPr>
      </w:pPr>
      <w:r w:rsidRPr="00C05F9E">
        <w:rPr>
          <w:rFonts w:eastAsia="Calibri"/>
          <w:bCs/>
          <w:color w:val="010000"/>
        </w:rPr>
        <w:t xml:space="preserve">9.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C05F9E">
        <w:rPr>
          <w:rFonts w:eastAsia="Calibri"/>
          <w:bCs/>
          <w:i/>
          <w:color w:val="010000"/>
        </w:rPr>
        <w:t>“kanunların belli bir suçtan dolayı veya belli bir cezaya mahkûmiyete bağladığı hak yoksunluklarının giderilebilmesi için”</w:t>
      </w:r>
      <w:r w:rsidRPr="00C05F9E">
        <w:rPr>
          <w:color w:val="010000"/>
        </w:rPr>
        <w:t xml:space="preserve"> yasaklanmış hakların geri verilmesi yoluna gidilebileceği ifade edilmektedir. Ek olarak, buradaki </w:t>
      </w:r>
      <w:r w:rsidRPr="00C05F9E">
        <w:rPr>
          <w:i/>
          <w:color w:val="010000"/>
        </w:rPr>
        <w:t>“gidilebileceği”</w:t>
      </w:r>
      <w:r w:rsidRPr="00C05F9E">
        <w:rPr>
          <w:color w:val="010000"/>
        </w:rPr>
        <w:t xml:space="preserve"> şeklindeki ifade </w:t>
      </w:r>
      <w:proofErr w:type="gramStart"/>
      <w:r w:rsidRPr="00C05F9E">
        <w:rPr>
          <w:color w:val="010000"/>
        </w:rPr>
        <w:t>mahkum</w:t>
      </w:r>
      <w:proofErr w:type="gramEnd"/>
      <w:r w:rsidRPr="00C05F9E">
        <w:rPr>
          <w:color w:val="010000"/>
        </w:rPr>
        <w:t xml:space="preserve"> olan kişiye yönelik olarak kullanılmış olsa dahi bu konuda verilecek kararda bu üç şartın içerisinde yer alan </w:t>
      </w:r>
      <w:r w:rsidRPr="00C05F9E">
        <w:rPr>
          <w:i/>
          <w:color w:val="010000"/>
        </w:rPr>
        <w:t xml:space="preserve">“hayatını iyi halli olarak sürdürdüğü hususunda mahkemede bir kanaat oluşması” </w:t>
      </w:r>
      <w:r w:rsidRPr="00C05F9E">
        <w:rPr>
          <w:color w:val="010000"/>
        </w:rPr>
        <w:t>şeklinde hakime takdir yetkisi tanıyan bir ibare bulunduğu dikkate alınmalıdır.</w:t>
      </w:r>
    </w:p>
    <w:p w:rsidR="000A5797" w:rsidRPr="00C05F9E" w:rsidRDefault="000A5797" w:rsidP="00C05F9E">
      <w:pPr>
        <w:spacing w:after="200"/>
        <w:ind w:right="283" w:firstLine="709"/>
        <w:jc w:val="both"/>
        <w:rPr>
          <w:color w:val="010000"/>
        </w:rPr>
      </w:pPr>
      <w:r w:rsidRPr="00C05F9E">
        <w:rPr>
          <w:color w:val="010000"/>
        </w:rPr>
        <w:t xml:space="preserve">10. Elbette hakimlerin takdirlerini Anayasa’nın 138. maddesinin birinci fıkrasında da vurgulandığı üzere </w:t>
      </w:r>
      <w:r w:rsidRPr="00C05F9E">
        <w:rPr>
          <w:i/>
          <w:color w:val="010000"/>
        </w:rPr>
        <w:t>“Anayasaya, kanuna ve hukuka uygun olarak vicdani kanaatlerine göre”</w:t>
      </w:r>
      <w:r w:rsidRPr="00C05F9E">
        <w:rPr>
          <w:color w:val="010000"/>
        </w:rPr>
        <w:t xml:space="preserve"> kullanması gerekmektedir. Ancak diğer iki şart olan </w:t>
      </w:r>
      <w:r w:rsidRPr="00C05F9E">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C05F9E">
        <w:rPr>
          <w:i/>
          <w:color w:val="010000"/>
        </w:rPr>
        <w:t xml:space="preserve">“hayatını iyi halli olarak sürdürdüğü hususunda </w:t>
      </w:r>
      <w:r w:rsidRPr="00C05F9E">
        <w:rPr>
          <w:bCs/>
          <w:i/>
          <w:color w:val="010000"/>
        </w:rPr>
        <w:t>mahkemede</w:t>
      </w:r>
      <w:r w:rsidRPr="00C05F9E">
        <w:rPr>
          <w:i/>
          <w:color w:val="010000"/>
        </w:rPr>
        <w:t xml:space="preserve"> bir kanaat oluşması”</w:t>
      </w:r>
      <w:r w:rsidRPr="00C05F9E">
        <w:rPr>
          <w:color w:val="010000"/>
        </w:rPr>
        <w:t xml:space="preserve"> şartına yer verilmesi uygulamada takdire bağlı olarak olumsuz sonuçlar ortaya çıkmasının ihtimal dahilinde olduğunu akla getirmektedir. </w:t>
      </w:r>
    </w:p>
    <w:p w:rsidR="000A5797" w:rsidRPr="00C05F9E" w:rsidRDefault="000A5797" w:rsidP="00C05F9E">
      <w:pPr>
        <w:spacing w:after="200"/>
        <w:ind w:right="283" w:firstLine="709"/>
        <w:jc w:val="both"/>
        <w:rPr>
          <w:color w:val="010000"/>
        </w:rPr>
      </w:pPr>
      <w:r w:rsidRPr="00C05F9E">
        <w:rPr>
          <w:color w:val="010000"/>
        </w:rPr>
        <w:t xml:space="preserve">11.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rsidR="000A5797" w:rsidRPr="00C05F9E" w:rsidRDefault="000A5797" w:rsidP="00C05F9E">
      <w:pPr>
        <w:spacing w:after="200"/>
        <w:ind w:right="283" w:firstLine="709"/>
        <w:jc w:val="both"/>
        <w:rPr>
          <w:color w:val="010000"/>
        </w:rPr>
      </w:pPr>
      <w:bookmarkStart w:id="19" w:name="_Hlk181183847"/>
      <w:r w:rsidRPr="00C05F9E">
        <w:rPr>
          <w:color w:val="010000"/>
        </w:rPr>
        <w:t xml:space="preserve">12.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C05F9E">
        <w:rPr>
          <w:iCs/>
          <w:color w:val="010000"/>
        </w:rPr>
        <w:t>hayatını iyi halli olarak sürdürdüğü hususunda yeterli kanaat oluşmadığından talebi yerinde gör</w:t>
      </w:r>
      <w:r w:rsidR="0079496A" w:rsidRPr="00C05F9E">
        <w:rPr>
          <w:iCs/>
          <w:color w:val="010000"/>
        </w:rPr>
        <w:t>ül</w:t>
      </w:r>
      <w:r w:rsidRPr="00C05F9E">
        <w:rPr>
          <w:iCs/>
          <w:color w:val="010000"/>
        </w:rPr>
        <w:t>memiştir. Yapılan başvuru üzerine Anayasa Mahkemesi,</w:t>
      </w:r>
      <w:r w:rsidRPr="00C05F9E">
        <w:rPr>
          <w:i/>
          <w:iCs/>
          <w:color w:val="010000"/>
        </w:rPr>
        <w:t xml:space="preserve"> </w:t>
      </w:r>
      <w:r w:rsidRPr="00C05F9E">
        <w:rPr>
          <w:color w:val="010000"/>
        </w:rPr>
        <w:t xml:space="preserve">başvurucunun ayrı ve açık bir yanıt verilmesini gerektiren ve talebinin kabul edilebilmesine neden olabilecek nitelikte olan </w:t>
      </w:r>
      <w:r w:rsidRPr="00C05F9E">
        <w:rPr>
          <w:i/>
          <w:color w:val="010000"/>
        </w:rPr>
        <w:t xml:space="preserve">"hakkındaki cezaların infazının tamamlandığı tarihten itibaren 16 yıllık bir sürenin geçmiş olduğuna" </w:t>
      </w:r>
      <w:r w:rsidRPr="00C05F9E">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C05F9E">
        <w:rPr>
          <w:i/>
          <w:iCs/>
          <w:color w:val="010000"/>
        </w:rPr>
        <w:t xml:space="preserve">Mümtaz </w:t>
      </w:r>
      <w:proofErr w:type="spellStart"/>
      <w:r w:rsidRPr="00C05F9E">
        <w:rPr>
          <w:i/>
          <w:iCs/>
          <w:color w:val="010000"/>
        </w:rPr>
        <w:t>Bekci</w:t>
      </w:r>
      <w:proofErr w:type="spellEnd"/>
      <w:r w:rsidRPr="00C05F9E">
        <w:rPr>
          <w:color w:val="010000"/>
        </w:rPr>
        <w:t>, B. No: 2014/16269, 8/11/2017, §§ 29-31).</w:t>
      </w:r>
      <w:r w:rsidR="00C05F9E" w:rsidRPr="00C05F9E">
        <w:rPr>
          <w:color w:val="010000"/>
        </w:rPr>
        <w:t xml:space="preserve"> </w:t>
      </w:r>
    </w:p>
    <w:bookmarkEnd w:id="19"/>
    <w:p w:rsidR="000A5797" w:rsidRPr="00C05F9E" w:rsidRDefault="000A5797" w:rsidP="00C05F9E">
      <w:pPr>
        <w:spacing w:after="200"/>
        <w:ind w:right="283" w:firstLine="709"/>
        <w:jc w:val="both"/>
        <w:rPr>
          <w:rFonts w:eastAsia="Calibri"/>
          <w:color w:val="010000"/>
        </w:rPr>
      </w:pPr>
      <w:r w:rsidRPr="00C05F9E">
        <w:rPr>
          <w:color w:val="010000"/>
        </w:rPr>
        <w:t xml:space="preserve">13. Ek olarak bahse konu mesleğin hekimlik 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hekimlik mesleğinin icrası için üç yıllık bir sürenin geçmesini beklemek hekimlerin Anayasa’nın 48. ve 49. maddelerinde güvence altına alınan </w:t>
      </w:r>
      <w:r w:rsidRPr="00C05F9E">
        <w:rPr>
          <w:rFonts w:eastAsia="Calibri"/>
          <w:color w:val="010000"/>
        </w:rPr>
        <w:t xml:space="preserve">çalışma ve sözleşme özgürlüğü ile çalışma hakkına yapılan müdahaleyi daha da ölçüsüz hale sokacaktır. Dolayısıyla asıl cezanın infazıyla birlikte hekimlik mesleğinin icrasını engelleyen güvenlik tedbirinin sona ermemesi somut kural bağlamında ölçüsüzlüğü daha da belirginleştirmektedir. </w:t>
      </w:r>
    </w:p>
    <w:p w:rsidR="000A5797" w:rsidRPr="00C05F9E" w:rsidRDefault="000A5797" w:rsidP="00C05F9E">
      <w:pPr>
        <w:spacing w:after="200"/>
        <w:ind w:right="283" w:firstLine="709"/>
        <w:jc w:val="both"/>
        <w:rPr>
          <w:rFonts w:eastAsia="Calibri"/>
          <w:bCs/>
          <w:color w:val="010000"/>
        </w:rPr>
      </w:pPr>
      <w:r w:rsidRPr="00C05F9E">
        <w:rPr>
          <w:rFonts w:eastAsia="Calibri"/>
          <w:color w:val="010000"/>
        </w:rPr>
        <w:lastRenderedPageBreak/>
        <w:t xml:space="preserve">14. Bu nedenle infazın tamamlanmasından sonraki geçmesi gereken üç yıllık bekleme süresi ile ilgili olarak çoğunluk kararındaki </w:t>
      </w:r>
      <w:r w:rsidRPr="00C05F9E">
        <w:rPr>
          <w:rFonts w:eastAsia="Calibri"/>
          <w:i/>
          <w:color w:val="010000"/>
        </w:rPr>
        <w:t>“</w:t>
      </w:r>
      <w:r w:rsidRPr="00C05F9E">
        <w:rPr>
          <w:rFonts w:eastAsia="Calibri"/>
          <w:bCs/>
          <w:i/>
          <w:color w:val="010000"/>
        </w:rPr>
        <w:t xml:space="preserve">üç yıllık süre şartıyla hekimlik mesleğinin özel sağlık kuruluşları bünyesinde veya serbest olarak icrasının süresiz olarak sınırlanmadığı ve bu üç yıllık sürenin hekimlik mesleğinin niteliği gözetildiğinde makul ve orantılı olduğu” </w:t>
      </w:r>
      <w:r w:rsidRPr="00C05F9E">
        <w:rPr>
          <w:rFonts w:eastAsia="Calibri"/>
          <w:bCs/>
          <w:color w:val="010000"/>
        </w:rPr>
        <w:t>(</w:t>
      </w:r>
      <w:r w:rsidRPr="00C05F9E">
        <w:rPr>
          <w:rFonts w:eastAsia="Calibri"/>
          <w:color w:val="010000"/>
          <w:shd w:val="clear" w:color="auto" w:fill="FFFFFF"/>
        </w:rPr>
        <w:t xml:space="preserve">§ </w:t>
      </w:r>
      <w:r w:rsidRPr="00C05F9E">
        <w:rPr>
          <w:rFonts w:eastAsia="Calibri"/>
          <w:bCs/>
          <w:color w:val="010000"/>
        </w:rPr>
        <w:t xml:space="preserve">32) biçimindeki gerekçeye de katılmak mümkün değildir. </w:t>
      </w:r>
    </w:p>
    <w:p w:rsidR="000A5797" w:rsidRPr="00C05F9E" w:rsidRDefault="000A5797" w:rsidP="00C05F9E">
      <w:pPr>
        <w:spacing w:after="200"/>
        <w:ind w:right="283" w:firstLine="709"/>
        <w:jc w:val="both"/>
        <w:rPr>
          <w:rFonts w:eastAsia="Calibri"/>
          <w:bCs/>
          <w:color w:val="010000"/>
        </w:rPr>
      </w:pPr>
      <w:r w:rsidRPr="00C05F9E">
        <w:rPr>
          <w:color w:val="010000"/>
        </w:rPr>
        <w:t xml:space="preserve">15. Sonuç olarak yukarıda sıralanan gerekçeyle </w:t>
      </w:r>
      <w:r w:rsidRPr="00C05F9E">
        <w:rPr>
          <w:rFonts w:eastAsia="Calibri"/>
          <w:bCs/>
          <w:color w:val="010000"/>
        </w:rPr>
        <w:t xml:space="preserve">11/4/1928 tarihli ve 1219 sayılı Tababet ve </w:t>
      </w:r>
      <w:proofErr w:type="spellStart"/>
      <w:r w:rsidRPr="00C05F9E">
        <w:rPr>
          <w:rFonts w:eastAsia="Calibri"/>
          <w:bCs/>
          <w:color w:val="010000"/>
        </w:rPr>
        <w:t>Şuabatı</w:t>
      </w:r>
      <w:proofErr w:type="spellEnd"/>
      <w:r w:rsidRPr="00C05F9E">
        <w:rPr>
          <w:rFonts w:eastAsia="Calibri"/>
          <w:bCs/>
          <w:color w:val="010000"/>
        </w:rPr>
        <w:t xml:space="preserve"> </w:t>
      </w:r>
      <w:proofErr w:type="spellStart"/>
      <w:r w:rsidRPr="00C05F9E">
        <w:rPr>
          <w:rFonts w:eastAsia="Calibri"/>
          <w:bCs/>
          <w:color w:val="010000"/>
        </w:rPr>
        <w:t>San'atlarının</w:t>
      </w:r>
      <w:proofErr w:type="spellEnd"/>
      <w:r w:rsidRPr="00C05F9E">
        <w:rPr>
          <w:rFonts w:eastAsia="Calibri"/>
          <w:bCs/>
          <w:color w:val="010000"/>
        </w:rPr>
        <w:t xml:space="preserve"> Tarzı İcrasına Dair Kanun’un 23/1/2008 tarihli ve 5728 sayılı Kanun’un 25. maddesiyle değiştirilen 28. maddesinin birinci fıkrasında yer alan </w:t>
      </w:r>
      <w:r w:rsidRPr="00C05F9E">
        <w:rPr>
          <w:rFonts w:eastAsia="Calibri"/>
          <w:bCs/>
          <w:i/>
          <w:color w:val="010000"/>
        </w:rPr>
        <w:t>“…Anayasal düzene ve bu düzenin işleyişine karşı suçlar…”</w:t>
      </w:r>
      <w:r w:rsidRPr="00C05F9E">
        <w:rPr>
          <w:rFonts w:eastAsia="Calibri"/>
          <w:bCs/>
          <w:color w:val="010000"/>
        </w:rPr>
        <w:t xml:space="preserve"> ibaresinin kişilerin </w:t>
      </w:r>
      <w:r w:rsidRPr="00C05F9E">
        <w:rPr>
          <w:color w:val="010000"/>
        </w:rPr>
        <w:t xml:space="preserve">Anayasa’nın 48. ve 49. maddelerinde güvence altına alınan </w:t>
      </w:r>
      <w:r w:rsidRPr="00C05F9E">
        <w:rPr>
          <w:rFonts w:eastAsia="Calibri"/>
          <w:color w:val="010000"/>
        </w:rPr>
        <w:t xml:space="preserve">çalışma ve sözleşme özgürlüğü ile çalışma hakkına yapılan müdahaleyi ölçüsüz hale getirdiği için </w:t>
      </w:r>
      <w:r w:rsidRPr="00C05F9E">
        <w:rPr>
          <w:rFonts w:eastAsia="Calibri"/>
          <w:bCs/>
          <w:color w:val="010000"/>
        </w:rPr>
        <w:t xml:space="preserve">Anayasa’nın 13., 48. ve 49. maddelerine aykırı olduğundan iptali gerektiği kanaatiyle Mahkememiz çoğunluğunun aksi yöndeki kararına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05F9E" w:rsidTr="00C05F9E">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ind w:right="283"/>
              <w:jc w:val="both"/>
              <w:rPr>
                <w:color w:val="010000"/>
              </w:rPr>
            </w:pPr>
          </w:p>
        </w:tc>
        <w:tc>
          <w:tcPr>
            <w:tcW w:w="1000" w:type="pct"/>
            <w:shd w:val="clear" w:color="auto" w:fill="auto"/>
          </w:tcPr>
          <w:p w:rsidR="00C05F9E" w:rsidRDefault="00C05F9E" w:rsidP="00C05F9E">
            <w:pPr>
              <w:spacing w:after="200"/>
              <w:jc w:val="center"/>
              <w:rPr>
                <w:color w:val="010000"/>
              </w:rPr>
            </w:pPr>
            <w:r>
              <w:rPr>
                <w:color w:val="010000"/>
              </w:rPr>
              <w:t xml:space="preserve">Üye </w:t>
            </w:r>
          </w:p>
          <w:p w:rsidR="00C05F9E" w:rsidRPr="00C05F9E" w:rsidRDefault="00C05F9E" w:rsidP="00C05F9E">
            <w:pPr>
              <w:spacing w:after="200"/>
              <w:jc w:val="center"/>
              <w:rPr>
                <w:color w:val="010000"/>
              </w:rPr>
            </w:pPr>
            <w:r>
              <w:rPr>
                <w:color w:val="010000"/>
              </w:rPr>
              <w:t xml:space="preserve"> Yusuf Şevki HAKYEMEZ</w:t>
            </w:r>
          </w:p>
        </w:tc>
      </w:tr>
    </w:tbl>
    <w:p w:rsidR="000A5797" w:rsidRPr="00C05F9E" w:rsidRDefault="000A5797" w:rsidP="00C05F9E">
      <w:pPr>
        <w:spacing w:after="200"/>
        <w:ind w:right="283" w:firstLine="709"/>
        <w:jc w:val="both"/>
        <w:rPr>
          <w:color w:val="010000"/>
        </w:rPr>
      </w:pPr>
      <w:bookmarkStart w:id="20" w:name="_GoBack"/>
      <w:bookmarkEnd w:id="20"/>
    </w:p>
    <w:sectPr w:rsidR="000A5797" w:rsidRPr="00C05F9E" w:rsidSect="00C05F9E">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FD" w:rsidRDefault="00892EFD" w:rsidP="00A03823">
      <w:r>
        <w:separator/>
      </w:r>
    </w:p>
  </w:endnote>
  <w:endnote w:type="continuationSeparator" w:id="0">
    <w:p w:rsidR="00892EFD" w:rsidRDefault="00892EFD" w:rsidP="00A0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0E" w:rsidRDefault="00C60F0E" w:rsidP="00C60F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60F0E" w:rsidRDefault="00C60F0E" w:rsidP="00C60F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0E" w:rsidRPr="00C05F9E" w:rsidRDefault="00C60F0E" w:rsidP="00C60F0E">
    <w:pPr>
      <w:pStyle w:val="AltBilgi"/>
      <w:framePr w:wrap="around" w:vAnchor="text" w:hAnchor="margin" w:xAlign="right" w:y="1"/>
      <w:rPr>
        <w:rStyle w:val="SayfaNumaras"/>
        <w:rFonts w:ascii="Times New Roman" w:hAnsi="Times New Roman"/>
        <w:sz w:val="24"/>
        <w:szCs w:val="24"/>
      </w:rPr>
    </w:pPr>
    <w:r w:rsidRPr="00C05F9E">
      <w:rPr>
        <w:rStyle w:val="SayfaNumaras"/>
        <w:rFonts w:ascii="Times New Roman" w:hAnsi="Times New Roman"/>
        <w:sz w:val="24"/>
        <w:szCs w:val="24"/>
      </w:rPr>
      <w:fldChar w:fldCharType="begin"/>
    </w:r>
    <w:r w:rsidRPr="00C05F9E">
      <w:rPr>
        <w:rStyle w:val="SayfaNumaras"/>
        <w:rFonts w:ascii="Times New Roman" w:hAnsi="Times New Roman"/>
        <w:sz w:val="24"/>
        <w:szCs w:val="24"/>
      </w:rPr>
      <w:instrText xml:space="preserve"> PAGE </w:instrText>
    </w:r>
    <w:r w:rsidRPr="00C05F9E">
      <w:rPr>
        <w:rStyle w:val="SayfaNumaras"/>
        <w:rFonts w:ascii="Times New Roman" w:hAnsi="Times New Roman"/>
        <w:sz w:val="24"/>
        <w:szCs w:val="24"/>
      </w:rPr>
      <w:fldChar w:fldCharType="separate"/>
    </w:r>
    <w:r w:rsidRPr="00C05F9E">
      <w:rPr>
        <w:rStyle w:val="SayfaNumaras"/>
        <w:rFonts w:ascii="Times New Roman" w:hAnsi="Times New Roman"/>
        <w:noProof/>
        <w:sz w:val="24"/>
        <w:szCs w:val="24"/>
      </w:rPr>
      <w:t>2</w:t>
    </w:r>
    <w:r w:rsidRPr="00C05F9E">
      <w:rPr>
        <w:rStyle w:val="SayfaNumaras"/>
        <w:rFonts w:ascii="Times New Roman" w:hAnsi="Times New Roman"/>
        <w:sz w:val="24"/>
        <w:szCs w:val="24"/>
      </w:rPr>
      <w:fldChar w:fldCharType="end"/>
    </w:r>
  </w:p>
  <w:p w:rsidR="00C60F0E" w:rsidRPr="00A03823" w:rsidRDefault="00C60F0E" w:rsidP="00C60F0E">
    <w:pPr>
      <w:pStyle w:val="AltBilgi"/>
      <w:ind w:right="360"/>
      <w:jc w:val="right"/>
      <w:rPr>
        <w:rFonts w:ascii="Times New Roman" w:hAnsi="Times New Roman"/>
        <w:sz w:val="24"/>
        <w:szCs w:val="24"/>
      </w:rPr>
    </w:pPr>
  </w:p>
  <w:p w:rsidR="00C60F0E" w:rsidRDefault="00C60F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FD" w:rsidRDefault="00892EFD" w:rsidP="00A03823">
      <w:r>
        <w:separator/>
      </w:r>
    </w:p>
  </w:footnote>
  <w:footnote w:type="continuationSeparator" w:id="0">
    <w:p w:rsidR="00892EFD" w:rsidRDefault="00892EFD" w:rsidP="00A0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9E" w:rsidRPr="00C05F9E" w:rsidRDefault="00C05F9E" w:rsidP="00C05F9E">
    <w:pPr>
      <w:pStyle w:val="stBilgi"/>
      <w:rPr>
        <w:rFonts w:ascii="Times New Roman" w:hAnsi="Times New Roman"/>
        <w:b/>
        <w:sz w:val="24"/>
      </w:rPr>
    </w:pPr>
    <w:r w:rsidRPr="00C05F9E">
      <w:rPr>
        <w:rFonts w:ascii="Times New Roman" w:hAnsi="Times New Roman"/>
        <w:b/>
        <w:sz w:val="24"/>
      </w:rPr>
      <w:t xml:space="preserve">Esas </w:t>
    </w:r>
    <w:proofErr w:type="gramStart"/>
    <w:r w:rsidRPr="00C05F9E">
      <w:rPr>
        <w:rFonts w:ascii="Times New Roman" w:hAnsi="Times New Roman"/>
        <w:b/>
        <w:sz w:val="24"/>
      </w:rPr>
      <w:t>Sayısı :</w:t>
    </w:r>
    <w:proofErr w:type="gramEnd"/>
    <w:r w:rsidRPr="00C05F9E">
      <w:rPr>
        <w:rFonts w:ascii="Times New Roman" w:hAnsi="Times New Roman"/>
        <w:b/>
        <w:sz w:val="24"/>
      </w:rPr>
      <w:t xml:space="preserve"> 2023/80</w:t>
    </w:r>
  </w:p>
  <w:p w:rsidR="00C05F9E" w:rsidRDefault="00C05F9E" w:rsidP="00C05F9E">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2024/142</w:t>
    </w:r>
  </w:p>
  <w:p w:rsidR="00C60F0E" w:rsidRPr="00C05F9E" w:rsidRDefault="00C60F0E" w:rsidP="00C05F9E">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F0E" w:rsidRDefault="00C60F0E" w:rsidP="00C60F0E">
    <w:pPr>
      <w:pStyle w:val="stBilgi"/>
    </w:pPr>
    <w:r w:rsidRPr="007C30FB">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918B0"/>
    <w:multiLevelType w:val="multilevel"/>
    <w:tmpl w:val="CFACB376"/>
    <w:lvl w:ilvl="0">
      <w:start w:val="1"/>
      <w:numFmt w:val="decimal"/>
      <w:suff w:val="space"/>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5797"/>
    <w:rsid w:val="001F1F83"/>
    <w:rsid w:val="002D74B3"/>
    <w:rsid w:val="002E29D6"/>
    <w:rsid w:val="003D7905"/>
    <w:rsid w:val="00407CF6"/>
    <w:rsid w:val="005E7E1B"/>
    <w:rsid w:val="006A564E"/>
    <w:rsid w:val="00721F2A"/>
    <w:rsid w:val="00741271"/>
    <w:rsid w:val="00750B2E"/>
    <w:rsid w:val="007806FA"/>
    <w:rsid w:val="00791FC7"/>
    <w:rsid w:val="0079496A"/>
    <w:rsid w:val="007D18FB"/>
    <w:rsid w:val="00846043"/>
    <w:rsid w:val="00851B57"/>
    <w:rsid w:val="00892EFD"/>
    <w:rsid w:val="008A1113"/>
    <w:rsid w:val="008A6983"/>
    <w:rsid w:val="008B5849"/>
    <w:rsid w:val="00952B5F"/>
    <w:rsid w:val="00977BE8"/>
    <w:rsid w:val="00A03823"/>
    <w:rsid w:val="00A5159F"/>
    <w:rsid w:val="00B2064C"/>
    <w:rsid w:val="00B64756"/>
    <w:rsid w:val="00C05F9E"/>
    <w:rsid w:val="00C60F0E"/>
    <w:rsid w:val="00D86B01"/>
    <w:rsid w:val="00E2229E"/>
    <w:rsid w:val="00ED3A25"/>
    <w:rsid w:val="00EE3C0F"/>
    <w:rsid w:val="00F2653C"/>
    <w:rsid w:val="00F81EAE"/>
    <w:rsid w:val="00F96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5469D"/>
  <w15:chartTrackingRefBased/>
  <w15:docId w15:val="{1BCCC590-76EE-4975-BF21-FDD976F2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382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A03823"/>
    <w:rPr>
      <w:rFonts w:ascii="Calibri" w:eastAsia="Calibri" w:hAnsi="Calibri"/>
      <w:sz w:val="22"/>
      <w:szCs w:val="22"/>
      <w:lang w:eastAsia="en-US"/>
    </w:rPr>
  </w:style>
  <w:style w:type="paragraph" w:styleId="AltBilgi">
    <w:name w:val="footer"/>
    <w:basedOn w:val="Normal"/>
    <w:link w:val="AltBilgiChar"/>
    <w:uiPriority w:val="99"/>
    <w:unhideWhenUsed/>
    <w:rsid w:val="00A0382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A03823"/>
    <w:rPr>
      <w:rFonts w:ascii="Calibri" w:eastAsia="Calibri" w:hAnsi="Calibri"/>
      <w:sz w:val="22"/>
      <w:szCs w:val="22"/>
      <w:lang w:eastAsia="en-US"/>
    </w:rPr>
  </w:style>
  <w:style w:type="character" w:styleId="SayfaNumaras">
    <w:name w:val="page number"/>
    <w:rsid w:val="00A03823"/>
  </w:style>
  <w:style w:type="paragraph" w:styleId="BalonMetni">
    <w:name w:val="Balloon Text"/>
    <w:basedOn w:val="Normal"/>
    <w:link w:val="BalonMetniChar"/>
    <w:rsid w:val="00721F2A"/>
    <w:rPr>
      <w:rFonts w:ascii="Segoe UI" w:hAnsi="Segoe UI" w:cs="Segoe UI"/>
      <w:sz w:val="18"/>
      <w:szCs w:val="18"/>
    </w:rPr>
  </w:style>
  <w:style w:type="character" w:customStyle="1" w:styleId="BalonMetniChar">
    <w:name w:val="Balon Metni Char"/>
    <w:link w:val="BalonMetni"/>
    <w:rsid w:val="00721F2A"/>
    <w:rPr>
      <w:rFonts w:ascii="Segoe UI" w:hAnsi="Segoe UI" w:cs="Segoe UI"/>
      <w:sz w:val="18"/>
      <w:szCs w:val="18"/>
    </w:rPr>
  </w:style>
  <w:style w:type="paragraph" w:styleId="ListeParagraf">
    <w:name w:val="List Paragraph"/>
    <w:basedOn w:val="Normal"/>
    <w:uiPriority w:val="34"/>
    <w:qFormat/>
    <w:rsid w:val="005E7E1B"/>
    <w:pPr>
      <w:spacing w:after="160" w:line="259" w:lineRule="auto"/>
      <w:ind w:left="720"/>
      <w:contextualSpacing/>
    </w:pPr>
    <w:rPr>
      <w:rFonts w:ascii="Calibri" w:eastAsia="Calibri" w:hAnsi="Calibri"/>
      <w:sz w:val="22"/>
      <w:szCs w:val="22"/>
      <w:lang w:eastAsia="en-US"/>
    </w:rPr>
  </w:style>
  <w:style w:type="paragraph" w:styleId="AralkYok">
    <w:name w:val="No Spacing"/>
    <w:uiPriority w:val="1"/>
    <w:qFormat/>
    <w:rsid w:val="002E29D6"/>
    <w:pPr>
      <w:overflowPunct w:val="0"/>
      <w:autoSpaceDE w:val="0"/>
      <w:autoSpaceDN w:val="0"/>
      <w:adjustRightInd w:val="0"/>
    </w:pPr>
    <w:rPr>
      <w:rFonts w:ascii="Arial" w:hAnsi="Arial"/>
      <w:sz w:val="24"/>
    </w:rPr>
  </w:style>
  <w:style w:type="table" w:styleId="TabloKlavuzu">
    <w:name w:val="Table Grid"/>
    <w:basedOn w:val="NormalTablo"/>
    <w:rsid w:val="00C0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5877</Words>
  <Characters>33502</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2024-12-09T09:35:00Z</cp:lastPrinted>
  <dcterms:created xsi:type="dcterms:W3CDTF">2024-12-09T14:23:00Z</dcterms:created>
  <dcterms:modified xsi:type="dcterms:W3CDTF">2024-12-09T14:23:00Z</dcterms:modified>
</cp:coreProperties>
</file>