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150" w:rsidRDefault="00231150" w:rsidP="00B235CE">
      <w:pPr>
        <w:spacing w:after="200"/>
        <w:ind w:right="283"/>
        <w:jc w:val="center"/>
        <w:rPr>
          <w:b/>
          <w:bCs/>
          <w:caps/>
          <w:color w:val="010000"/>
          <w:szCs w:val="26"/>
        </w:rPr>
      </w:pPr>
      <w:r w:rsidRPr="00B235CE">
        <w:rPr>
          <w:b/>
          <w:bCs/>
          <w:caps/>
          <w:color w:val="010000"/>
          <w:szCs w:val="26"/>
        </w:rPr>
        <w:t>ANAYASA MAHKEMESİ KARARI</w:t>
      </w:r>
    </w:p>
    <w:p w:rsidR="00B235CE" w:rsidRPr="00B235CE" w:rsidRDefault="00B235CE" w:rsidP="00B235CE">
      <w:pPr>
        <w:spacing w:after="200"/>
        <w:ind w:right="283" w:firstLine="709"/>
        <w:jc w:val="center"/>
        <w:rPr>
          <w:b/>
          <w:caps/>
          <w:color w:val="010000"/>
          <w:szCs w:val="27"/>
        </w:rPr>
      </w:pPr>
    </w:p>
    <w:p w:rsidR="00B235CE" w:rsidRDefault="00B235CE" w:rsidP="00B235CE">
      <w:pPr>
        <w:rPr>
          <w:b/>
          <w:bCs/>
          <w:color w:val="010000"/>
          <w:szCs w:val="26"/>
        </w:rPr>
      </w:pPr>
      <w:bookmarkStart w:id="0" w:name="_Hlk141876816"/>
      <w:r>
        <w:rPr>
          <w:b/>
          <w:bCs/>
          <w:color w:val="010000"/>
          <w:szCs w:val="26"/>
        </w:rPr>
        <w:t xml:space="preserve">Esas </w:t>
      </w:r>
      <w:proofErr w:type="gramStart"/>
      <w:r>
        <w:rPr>
          <w:b/>
          <w:bCs/>
          <w:color w:val="010000"/>
          <w:szCs w:val="26"/>
        </w:rPr>
        <w:t>Sayısı :</w:t>
      </w:r>
      <w:proofErr w:type="gramEnd"/>
      <w:r>
        <w:rPr>
          <w:b/>
          <w:bCs/>
          <w:color w:val="010000"/>
          <w:szCs w:val="26"/>
        </w:rPr>
        <w:t xml:space="preserve"> 2024/141</w:t>
      </w:r>
    </w:p>
    <w:p w:rsidR="00B235CE" w:rsidRDefault="00B235CE" w:rsidP="00B235CE">
      <w:pPr>
        <w:rPr>
          <w:b/>
          <w:color w:val="010000"/>
        </w:rPr>
      </w:pPr>
      <w:r>
        <w:rPr>
          <w:b/>
          <w:color w:val="010000"/>
        </w:rPr>
        <w:t xml:space="preserve">Karar </w:t>
      </w:r>
      <w:proofErr w:type="gramStart"/>
      <w:r>
        <w:rPr>
          <w:b/>
          <w:color w:val="010000"/>
        </w:rPr>
        <w:t>Sayısı :</w:t>
      </w:r>
      <w:proofErr w:type="gramEnd"/>
      <w:r>
        <w:rPr>
          <w:b/>
          <w:color w:val="010000"/>
        </w:rPr>
        <w:t xml:space="preserve"> 2024/132</w:t>
      </w:r>
    </w:p>
    <w:p w:rsidR="00B235CE" w:rsidRDefault="00B235CE" w:rsidP="00B235CE">
      <w:pPr>
        <w:rPr>
          <w:b/>
          <w:color w:val="010000"/>
        </w:rPr>
      </w:pPr>
      <w:r>
        <w:rPr>
          <w:b/>
          <w:color w:val="010000"/>
        </w:rPr>
        <w:t xml:space="preserve">Karar </w:t>
      </w:r>
      <w:proofErr w:type="gramStart"/>
      <w:r>
        <w:rPr>
          <w:b/>
          <w:color w:val="010000"/>
        </w:rPr>
        <w:t>Tarihi :</w:t>
      </w:r>
      <w:proofErr w:type="gramEnd"/>
      <w:r>
        <w:rPr>
          <w:b/>
          <w:color w:val="010000"/>
        </w:rPr>
        <w:t xml:space="preserve"> 23/7/2024</w:t>
      </w:r>
    </w:p>
    <w:p w:rsidR="00B235CE" w:rsidRDefault="00B235CE" w:rsidP="00B235CE">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A7748A" w:rsidRPr="00B235CE" w:rsidRDefault="00A7748A" w:rsidP="00B235CE">
      <w:pPr>
        <w:rPr>
          <w:b/>
          <w:color w:val="010000"/>
        </w:rPr>
      </w:pPr>
    </w:p>
    <w:bookmarkEnd w:id="0"/>
    <w:p w:rsidR="00231150" w:rsidRPr="00B235CE" w:rsidRDefault="00231150" w:rsidP="00B235CE">
      <w:pPr>
        <w:spacing w:after="200"/>
        <w:ind w:right="283" w:firstLine="709"/>
        <w:jc w:val="both"/>
        <w:rPr>
          <w:color w:val="010000"/>
          <w:szCs w:val="26"/>
        </w:rPr>
      </w:pPr>
      <w:r w:rsidRPr="00B235CE">
        <w:rPr>
          <w:b/>
          <w:bCs/>
          <w:color w:val="010000"/>
          <w:szCs w:val="26"/>
        </w:rPr>
        <w:t xml:space="preserve">İTİRAZ YOLUNA BAŞVURAN: </w:t>
      </w:r>
      <w:r w:rsidRPr="00B235CE">
        <w:rPr>
          <w:color w:val="010000"/>
        </w:rPr>
        <w:t>Ankara Batı Asliye Ticaret Mahkemesi</w:t>
      </w:r>
    </w:p>
    <w:p w:rsidR="00231150" w:rsidRPr="00B235CE" w:rsidRDefault="00231150" w:rsidP="00B235CE">
      <w:pPr>
        <w:spacing w:after="200"/>
        <w:ind w:right="283" w:firstLine="709"/>
        <w:jc w:val="both"/>
        <w:rPr>
          <w:color w:val="010000"/>
          <w:szCs w:val="26"/>
        </w:rPr>
      </w:pPr>
      <w:r w:rsidRPr="00B235CE">
        <w:rPr>
          <w:b/>
          <w:bCs/>
          <w:color w:val="010000"/>
          <w:szCs w:val="26"/>
        </w:rPr>
        <w:t>İTİRAZIN KONUSU:</w:t>
      </w:r>
      <w:r w:rsidR="00B235CE" w:rsidRPr="00B235CE">
        <w:rPr>
          <w:color w:val="010000"/>
          <w:szCs w:val="26"/>
        </w:rPr>
        <w:t xml:space="preserve"> </w:t>
      </w:r>
      <w:r w:rsidRPr="00B235CE">
        <w:rPr>
          <w:color w:val="010000"/>
        </w:rPr>
        <w:t>12/1/2011 tarihli ve 6100 sayılı Hukuk Muhakemeleri Kanunu’nun 334. maddesinin (2) numaralı fıkrasının Anayasa’nın 10. ve 36. maddelerine aykırılığı ileri sürülerek iptaline karar verilmesi talebidir.</w:t>
      </w:r>
    </w:p>
    <w:p w:rsidR="00231150" w:rsidRPr="00B235CE" w:rsidRDefault="00231150" w:rsidP="00B235CE">
      <w:pPr>
        <w:spacing w:after="200"/>
        <w:ind w:right="283" w:firstLine="709"/>
        <w:jc w:val="both"/>
        <w:rPr>
          <w:b/>
          <w:bCs/>
          <w:color w:val="010000"/>
        </w:rPr>
      </w:pPr>
      <w:r w:rsidRPr="00B235CE">
        <w:rPr>
          <w:b/>
          <w:bCs/>
          <w:color w:val="010000"/>
          <w:szCs w:val="26"/>
        </w:rPr>
        <w:t>OLAY:</w:t>
      </w:r>
      <w:r w:rsidR="00B235CE" w:rsidRPr="00B235CE">
        <w:rPr>
          <w:b/>
          <w:bCs/>
          <w:color w:val="010000"/>
          <w:szCs w:val="26"/>
        </w:rPr>
        <w:t xml:space="preserve"> </w:t>
      </w:r>
      <w:r w:rsidRPr="00B235CE">
        <w:rPr>
          <w:color w:val="010000"/>
        </w:rPr>
        <w:t xml:space="preserve">Kat karşılığı eser sözleşmesinden kaynaklanan tapu iptal ve tescil davasında </w:t>
      </w:r>
      <w:r w:rsidRPr="00B235CE">
        <w:rPr>
          <w:rFonts w:eastAsia="Calibri"/>
          <w:color w:val="010000"/>
          <w:lang w:eastAsia="en-US"/>
        </w:rPr>
        <w:t xml:space="preserve">itiraz konusu kuralın Anayasa’ya aykırı olduğu kanısına varan Mahkeme, iptali için başvurmuştur. </w:t>
      </w:r>
    </w:p>
    <w:p w:rsidR="00231150" w:rsidRPr="00B235CE" w:rsidRDefault="00231150" w:rsidP="00B235CE">
      <w:pPr>
        <w:spacing w:after="200"/>
        <w:ind w:right="283" w:firstLine="709"/>
        <w:jc w:val="both"/>
        <w:rPr>
          <w:b/>
          <w:bCs/>
          <w:color w:val="010000"/>
          <w:szCs w:val="26"/>
        </w:rPr>
      </w:pPr>
      <w:r w:rsidRPr="00B235CE">
        <w:rPr>
          <w:b/>
          <w:bCs/>
          <w:color w:val="010000"/>
          <w:szCs w:val="26"/>
        </w:rPr>
        <w:t>I. İPTALİ İSTENEN KANUN HÜKMÜ</w:t>
      </w:r>
    </w:p>
    <w:p w:rsidR="00231150" w:rsidRPr="00B235CE" w:rsidRDefault="00231150" w:rsidP="00B235CE">
      <w:pPr>
        <w:spacing w:after="200"/>
        <w:ind w:right="283" w:firstLine="709"/>
        <w:jc w:val="both"/>
        <w:rPr>
          <w:i/>
          <w:iCs/>
          <w:color w:val="010000"/>
        </w:rPr>
      </w:pPr>
      <w:r w:rsidRPr="00B235CE">
        <w:rPr>
          <w:rFonts w:eastAsia="Calibri"/>
          <w:color w:val="010000"/>
          <w:shd w:val="clear" w:color="auto" w:fill="FFFFFF"/>
          <w:lang w:eastAsia="en-US"/>
        </w:rPr>
        <w:t>Kanun’un itiraz konusu kuralın da yer aldığı 334. maddesi şöyledir:</w:t>
      </w:r>
      <w:r w:rsidRPr="00B235CE">
        <w:rPr>
          <w:i/>
          <w:iCs/>
          <w:color w:val="010000"/>
        </w:rPr>
        <w:t xml:space="preserve"> </w:t>
      </w:r>
    </w:p>
    <w:p w:rsidR="00231150" w:rsidRPr="00B235CE" w:rsidRDefault="00B235CE" w:rsidP="00B235CE">
      <w:pPr>
        <w:spacing w:after="200"/>
        <w:ind w:right="283" w:firstLine="709"/>
        <w:jc w:val="both"/>
        <w:rPr>
          <w:i/>
          <w:color w:val="010000"/>
          <w:szCs w:val="22"/>
        </w:rPr>
      </w:pPr>
      <w:r w:rsidRPr="00B235CE">
        <w:rPr>
          <w:i/>
          <w:iCs/>
          <w:color w:val="010000"/>
          <w:szCs w:val="22"/>
        </w:rPr>
        <w:t xml:space="preserve"> </w:t>
      </w:r>
      <w:r w:rsidR="00231150" w:rsidRPr="00B235CE">
        <w:rPr>
          <w:i/>
          <w:iCs/>
          <w:color w:val="010000"/>
          <w:szCs w:val="22"/>
        </w:rPr>
        <w:t>“</w:t>
      </w:r>
      <w:r w:rsidR="00231150" w:rsidRPr="00B235CE">
        <w:rPr>
          <w:bCs/>
          <w:i/>
          <w:color w:val="010000"/>
          <w:szCs w:val="22"/>
        </w:rPr>
        <w:t>Adli yardımdan yararlanacak kişiler</w:t>
      </w:r>
    </w:p>
    <w:p w:rsidR="00231150" w:rsidRPr="00B235CE" w:rsidRDefault="00231150" w:rsidP="00B235CE">
      <w:pPr>
        <w:spacing w:after="200"/>
        <w:ind w:right="283" w:firstLine="709"/>
        <w:jc w:val="both"/>
        <w:rPr>
          <w:i/>
          <w:color w:val="010000"/>
          <w:szCs w:val="22"/>
        </w:rPr>
      </w:pPr>
      <w:r w:rsidRPr="00B235CE">
        <w:rPr>
          <w:i/>
          <w:iCs/>
          <w:color w:val="010000"/>
          <w:szCs w:val="22"/>
          <w:shd w:val="clear" w:color="auto" w:fill="FFFFFF"/>
        </w:rPr>
        <w:t>MADDE 334 –</w:t>
      </w:r>
      <w:r w:rsidRPr="00B235CE">
        <w:rPr>
          <w:i/>
          <w:color w:val="010000"/>
          <w:szCs w:val="22"/>
        </w:rPr>
        <w:t xml:space="preserve"> (1) Kendisi ve ailesinin geçimini önemli ölçüde zor duruma düşürmeksizin, gereken yargılama veya takip giderlerini kısmen veya tamamen ödeme gücünden yoksun olan kimseler, iddia ve savunmalarında, geçici hukuki korunma taleplerinde ve icra takibinde, taleplerinin açıkça dayanaktan yoksun olmaması kaydıyla adli yardımdan yararlanabilirler.</w:t>
      </w:r>
    </w:p>
    <w:p w:rsidR="00231150" w:rsidRPr="00B235CE" w:rsidRDefault="00B235CE" w:rsidP="00B235CE">
      <w:pPr>
        <w:spacing w:after="200"/>
        <w:ind w:right="283" w:firstLine="709"/>
        <w:jc w:val="both"/>
        <w:rPr>
          <w:b/>
          <w:i/>
          <w:color w:val="010000"/>
          <w:szCs w:val="22"/>
        </w:rPr>
      </w:pPr>
      <w:r w:rsidRPr="00B235CE">
        <w:rPr>
          <w:b/>
          <w:i/>
          <w:color w:val="010000"/>
          <w:szCs w:val="22"/>
        </w:rPr>
        <w:t xml:space="preserve"> </w:t>
      </w:r>
      <w:r w:rsidR="00231150" w:rsidRPr="00B235CE">
        <w:rPr>
          <w:b/>
          <w:i/>
          <w:color w:val="010000"/>
          <w:szCs w:val="22"/>
        </w:rPr>
        <w:t>(2) Kamuya yararlı dernek ve vakıflar, iddia ve savunmalarında haklı göründükleri ve mali açıdan zor duruma düşmeden gerekli giderleri kısmen veya tamamen ödeyemeyecek durumda oldukları takdirde adli yardımdan yararlanabilirler.</w:t>
      </w:r>
    </w:p>
    <w:p w:rsidR="00231150" w:rsidRPr="00B235CE" w:rsidRDefault="00B235CE" w:rsidP="00B235CE">
      <w:pPr>
        <w:spacing w:after="200"/>
        <w:ind w:right="283" w:firstLine="709"/>
        <w:jc w:val="both"/>
        <w:rPr>
          <w:color w:val="010000"/>
          <w:szCs w:val="22"/>
        </w:rPr>
      </w:pPr>
      <w:r w:rsidRPr="00B235CE">
        <w:rPr>
          <w:i/>
          <w:color w:val="010000"/>
          <w:szCs w:val="22"/>
        </w:rPr>
        <w:t xml:space="preserve"> </w:t>
      </w:r>
      <w:r w:rsidR="00231150" w:rsidRPr="00B235CE">
        <w:rPr>
          <w:i/>
          <w:color w:val="010000"/>
          <w:szCs w:val="22"/>
        </w:rPr>
        <w:t>(3) Yabancıların adli yardımdan yararlanabilmeleri ayrıca karşılıklılık şartına bağlıdır.</w:t>
      </w:r>
      <w:r w:rsidR="00231150" w:rsidRPr="00B235CE">
        <w:rPr>
          <w:i/>
          <w:iCs/>
          <w:color w:val="010000"/>
          <w:szCs w:val="22"/>
        </w:rPr>
        <w:t>”</w:t>
      </w:r>
    </w:p>
    <w:p w:rsidR="00231150" w:rsidRPr="00B235CE" w:rsidRDefault="00231150" w:rsidP="00B235CE">
      <w:pPr>
        <w:spacing w:after="200"/>
        <w:ind w:right="283" w:firstLine="709"/>
        <w:jc w:val="both"/>
        <w:rPr>
          <w:b/>
          <w:bCs/>
          <w:color w:val="010000"/>
          <w:szCs w:val="26"/>
        </w:rPr>
      </w:pPr>
      <w:r w:rsidRPr="00B235CE">
        <w:rPr>
          <w:b/>
          <w:bCs/>
          <w:color w:val="010000"/>
          <w:szCs w:val="26"/>
        </w:rPr>
        <w:t>II. İLK İNCELEME</w:t>
      </w:r>
      <w:r w:rsidR="00B235CE" w:rsidRPr="00B235CE">
        <w:rPr>
          <w:b/>
          <w:bCs/>
          <w:color w:val="010000"/>
          <w:szCs w:val="26"/>
        </w:rPr>
        <w:t xml:space="preserve"> </w:t>
      </w:r>
    </w:p>
    <w:p w:rsidR="00231150" w:rsidRPr="00B235CE" w:rsidRDefault="00231150" w:rsidP="00B235CE">
      <w:pPr>
        <w:spacing w:after="200"/>
        <w:ind w:right="283" w:firstLine="709"/>
        <w:jc w:val="both"/>
        <w:rPr>
          <w:color w:val="010000"/>
          <w:szCs w:val="26"/>
        </w:rPr>
      </w:pPr>
      <w:r w:rsidRPr="00B235CE">
        <w:rPr>
          <w:rFonts w:eastAsia="Calibri"/>
          <w:color w:val="010000"/>
          <w:szCs w:val="26"/>
          <w:shd w:val="clear" w:color="auto" w:fill="FFFFFF"/>
          <w:lang w:eastAsia="en-US"/>
        </w:rPr>
        <w:t>1.</w:t>
      </w:r>
      <w:r w:rsidRPr="00B235CE">
        <w:rPr>
          <w:color w:val="010000"/>
          <w:szCs w:val="26"/>
        </w:rPr>
        <w:t xml:space="preserve"> Anayasa Mahkemesi İçtüzüğü hükümleri uyarınca yapılan ilk inceleme toplantısında başvuru kararı ve ekleri, Raportör Sümeyye KOCAMAN tarafından hazırlanan ilk inceleme raporu ve itiraz konusu kanun hükmü okunup incelendikten sonra gereği görüşülüp düşünüldü:</w:t>
      </w:r>
    </w:p>
    <w:p w:rsidR="00231150" w:rsidRPr="00B235CE" w:rsidRDefault="00231150" w:rsidP="00B235CE">
      <w:pPr>
        <w:spacing w:after="200"/>
        <w:ind w:right="283" w:firstLine="709"/>
        <w:jc w:val="both"/>
        <w:rPr>
          <w:color w:val="010000"/>
          <w:shd w:val="clear" w:color="auto" w:fill="FFFFFF"/>
        </w:rPr>
      </w:pPr>
      <w:r w:rsidRPr="00B235CE">
        <w:rPr>
          <w:color w:val="010000"/>
          <w:szCs w:val="26"/>
        </w:rPr>
        <w:t xml:space="preserve">2. </w:t>
      </w:r>
      <w:r w:rsidRPr="00B235CE">
        <w:rPr>
          <w:color w:val="010000"/>
          <w:shd w:val="clear" w:color="auto" w:fill="FFFFFF"/>
        </w:rPr>
        <w:t xml:space="preserve">30/3/2011 tarihli ve 6216 sayılı Anayasa Mahkemesinin Kuruluşu ve Yargılama Usulleri Hakkında Kanun'un </w:t>
      </w:r>
      <w:r w:rsidRPr="00B235CE">
        <w:rPr>
          <w:i/>
          <w:color w:val="010000"/>
          <w:shd w:val="clear" w:color="auto" w:fill="FFFFFF"/>
        </w:rPr>
        <w:t>“</w:t>
      </w:r>
      <w:r w:rsidRPr="00B235CE">
        <w:rPr>
          <w:i/>
          <w:iCs/>
          <w:color w:val="010000"/>
          <w:shd w:val="clear" w:color="auto" w:fill="FFFFFF"/>
        </w:rPr>
        <w:t>Anayasaya aykırılığın mahkemelerce ileri sürülmesi</w:t>
      </w:r>
      <w:r w:rsidRPr="00B235CE">
        <w:rPr>
          <w:i/>
          <w:color w:val="010000"/>
          <w:shd w:val="clear" w:color="auto" w:fill="FFFFFF"/>
        </w:rPr>
        <w:t>”</w:t>
      </w:r>
      <w:r w:rsidRPr="00B235CE">
        <w:rPr>
          <w:color w:val="010000"/>
          <w:shd w:val="clear" w:color="auto" w:fill="FFFFFF"/>
        </w:rPr>
        <w:t xml:space="preserve"> başlıklı 40. maddesinde Anayasa Mahkemesine itiraz yoluyla yapılacak başvurularda izlenecek yöntem belirtilmiştir.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anılan fıkrada sayılan belgeleri dizi listesine bağlayarak Anayasa Mahkemesine göndereceği kurala bağlanmış; söz konusu fıkranın (a) bendinde </w:t>
      </w:r>
      <w:r w:rsidRPr="00B235CE">
        <w:rPr>
          <w:i/>
          <w:color w:val="010000"/>
          <w:shd w:val="clear" w:color="auto" w:fill="FFFFFF"/>
        </w:rPr>
        <w:t>“</w:t>
      </w:r>
      <w:r w:rsidRPr="00B235CE">
        <w:rPr>
          <w:i/>
          <w:iCs/>
          <w:color w:val="010000"/>
          <w:shd w:val="clear" w:color="auto" w:fill="FFFFFF"/>
        </w:rPr>
        <w:t>İptali istenen kuralların Anayasanın hangi maddelerine aykırı olduklarını açıklayan gerekçeli başvuru kararının aslı”,</w:t>
      </w:r>
      <w:r w:rsidRPr="00B235CE">
        <w:rPr>
          <w:color w:val="010000"/>
          <w:shd w:val="clear" w:color="auto" w:fill="FFFFFF"/>
        </w:rPr>
        <w:t xml:space="preserve"> (b) bendinde </w:t>
      </w:r>
      <w:r w:rsidRPr="00B235CE">
        <w:rPr>
          <w:i/>
          <w:color w:val="010000"/>
          <w:shd w:val="clear" w:color="auto" w:fill="FFFFFF"/>
        </w:rPr>
        <w:t>“</w:t>
      </w:r>
      <w:r w:rsidRPr="00B235CE">
        <w:rPr>
          <w:i/>
          <w:iCs/>
          <w:color w:val="010000"/>
          <w:shd w:val="clear" w:color="auto" w:fill="FFFFFF"/>
        </w:rPr>
        <w:t>Başvuru kararına ilişkin tutanağın onaylı örneği</w:t>
      </w:r>
      <w:r w:rsidRPr="00B235CE">
        <w:rPr>
          <w:i/>
          <w:color w:val="010000"/>
          <w:shd w:val="clear" w:color="auto" w:fill="FFFFFF"/>
        </w:rPr>
        <w:t>”</w:t>
      </w:r>
      <w:r w:rsidRPr="00B235CE">
        <w:rPr>
          <w:color w:val="010000"/>
          <w:shd w:val="clear" w:color="auto" w:fill="FFFFFF"/>
        </w:rPr>
        <w:t xml:space="preserve"> Anayasa Mahkemesine gönderilecek belgeler arasında sayılmıştır. </w:t>
      </w:r>
    </w:p>
    <w:p w:rsidR="00231150" w:rsidRPr="00B235CE" w:rsidRDefault="00231150" w:rsidP="00B235CE">
      <w:pPr>
        <w:spacing w:after="200"/>
        <w:ind w:right="283" w:firstLine="709"/>
        <w:jc w:val="both"/>
        <w:rPr>
          <w:rFonts w:eastAsia="Calibri"/>
          <w:color w:val="010000"/>
          <w:lang w:eastAsia="en-US"/>
        </w:rPr>
      </w:pPr>
      <w:r w:rsidRPr="00B235CE">
        <w:rPr>
          <w:rFonts w:eastAsia="Calibri"/>
          <w:color w:val="010000"/>
          <w:lang w:eastAsia="en-US"/>
        </w:rPr>
        <w:lastRenderedPageBreak/>
        <w:t>3. Maddenin (4) numaralı fıkrasında ise yöntemine uygun olmayan itiraz başvurularının Anayasa Mahkemesi tarafından esas incelemeye geçilmeksizin gerekçeleriyle reddedileceği hükme bağlanmıştır.</w:t>
      </w:r>
    </w:p>
    <w:p w:rsidR="00231150" w:rsidRPr="00B235CE" w:rsidRDefault="00231150" w:rsidP="00B235CE">
      <w:pPr>
        <w:spacing w:after="200"/>
        <w:ind w:right="283" w:firstLine="709"/>
        <w:jc w:val="both"/>
        <w:rPr>
          <w:rFonts w:eastAsia="Calibri"/>
          <w:color w:val="010000"/>
          <w:shd w:val="clear" w:color="auto" w:fill="FFFFFF"/>
          <w:lang w:eastAsia="en-US"/>
        </w:rPr>
      </w:pPr>
      <w:r w:rsidRPr="00B235CE">
        <w:rPr>
          <w:rFonts w:eastAsia="Calibri"/>
          <w:color w:val="010000"/>
          <w:lang w:eastAsia="en-US"/>
        </w:rPr>
        <w:t xml:space="preserve">4. Anılan </w:t>
      </w:r>
      <w:proofErr w:type="spellStart"/>
      <w:r w:rsidRPr="00B235CE">
        <w:rPr>
          <w:rFonts w:eastAsia="Calibri"/>
          <w:color w:val="010000"/>
          <w:lang w:eastAsia="en-US"/>
        </w:rPr>
        <w:t>İçtüzük’ün</w:t>
      </w:r>
      <w:proofErr w:type="spellEnd"/>
      <w:r w:rsidRPr="00B235CE">
        <w:rPr>
          <w:rFonts w:eastAsia="Calibri"/>
          <w:color w:val="010000"/>
          <w:lang w:eastAsia="en-US"/>
        </w:rPr>
        <w:t xml:space="preserve"> </w:t>
      </w:r>
      <w:r w:rsidRPr="00B235CE">
        <w:rPr>
          <w:color w:val="010000"/>
          <w:shd w:val="clear" w:color="auto" w:fill="FFFFFF"/>
        </w:rPr>
        <w:t>46. maddesinin (1) numaralı fıkrasının (a) bendinde itiraz yoluna başvuran mahkemenin gerekçeli kararında, Anayasa’ya aykırılıkları ileri sürülen hükümlerin her birinin Anayasa’nın hangi maddelerine, hangi nedenlerle aykırı olduğunun ayrı ayrı ve gerekçeleriyle birlikte açıkça gösterilmesi gerektiği, (2) numaralı fıkrasında da itiraz başvurusunda gerekçeli başvuru kararının</w:t>
      </w:r>
      <w:r w:rsidR="00B235CE" w:rsidRPr="00B235CE">
        <w:rPr>
          <w:color w:val="010000"/>
          <w:shd w:val="clear" w:color="auto" w:fill="FFFFFF"/>
        </w:rPr>
        <w:t xml:space="preserve"> </w:t>
      </w:r>
      <w:r w:rsidRPr="00B235CE">
        <w:rPr>
          <w:color w:val="010000"/>
          <w:shd w:val="clear" w:color="auto" w:fill="FFFFFF"/>
        </w:rPr>
        <w:t xml:space="preserve">aslının Anayasa Mahkemesine sunulacağı ifade edilmiştir. Anılan fıkranın </w:t>
      </w:r>
      <w:r w:rsidRPr="00B235CE">
        <w:rPr>
          <w:rFonts w:eastAsia="Calibri"/>
          <w:color w:val="010000"/>
          <w:lang w:eastAsia="en-US"/>
        </w:rPr>
        <w:t>(a) bendinde ise “</w:t>
      </w:r>
      <w:r w:rsidRPr="00B235CE">
        <w:rPr>
          <w:rFonts w:eastAsia="Calibri"/>
          <w:i/>
          <w:iCs/>
          <w:color w:val="010000"/>
          <w:lang w:eastAsia="en-US"/>
        </w:rPr>
        <w:t>Başvuru kararına ilişkin tutanağın onaylı örneği</w:t>
      </w:r>
      <w:r w:rsidRPr="00B235CE">
        <w:rPr>
          <w:rFonts w:eastAsia="Calibri"/>
          <w:color w:val="010000"/>
          <w:lang w:eastAsia="en-US"/>
        </w:rPr>
        <w:t>”</w:t>
      </w:r>
      <w:r w:rsidR="00B235CE" w:rsidRPr="00B235CE">
        <w:rPr>
          <w:rFonts w:eastAsia="Calibri"/>
          <w:color w:val="010000"/>
          <w:shd w:val="clear" w:color="auto" w:fill="FFFFFF"/>
          <w:lang w:eastAsia="en-US"/>
        </w:rPr>
        <w:t xml:space="preserve"> </w:t>
      </w:r>
      <w:r w:rsidRPr="00B235CE">
        <w:rPr>
          <w:rFonts w:eastAsia="Calibri"/>
          <w:color w:val="010000"/>
          <w:shd w:val="clear" w:color="auto" w:fill="FFFFFF"/>
          <w:lang w:eastAsia="en-US"/>
        </w:rPr>
        <w:t>Anayasa Mahkemesine sunulacak belgeler arasında sayılmıştır.</w:t>
      </w:r>
    </w:p>
    <w:p w:rsidR="00231150" w:rsidRPr="00B235CE" w:rsidRDefault="00231150" w:rsidP="00B235CE">
      <w:pPr>
        <w:spacing w:after="200"/>
        <w:ind w:right="283" w:firstLine="709"/>
        <w:jc w:val="both"/>
        <w:rPr>
          <w:rFonts w:eastAsia="Calibri"/>
          <w:color w:val="010000"/>
          <w:lang w:eastAsia="en-US"/>
        </w:rPr>
      </w:pPr>
      <w:r w:rsidRPr="00B235CE">
        <w:rPr>
          <w:rFonts w:eastAsia="Calibri"/>
          <w:color w:val="010000"/>
          <w:lang w:eastAsia="en-US"/>
        </w:rPr>
        <w:t xml:space="preserve">5. Yine </w:t>
      </w:r>
      <w:proofErr w:type="spellStart"/>
      <w:r w:rsidRPr="00B235CE">
        <w:rPr>
          <w:rFonts w:eastAsia="Calibri"/>
          <w:color w:val="010000"/>
          <w:lang w:eastAsia="en-US"/>
        </w:rPr>
        <w:t>İçtüzük’ün</w:t>
      </w:r>
      <w:proofErr w:type="spellEnd"/>
      <w:r w:rsidRPr="00B235CE">
        <w:rPr>
          <w:rFonts w:eastAsia="Calibri"/>
          <w:color w:val="010000"/>
          <w:lang w:eastAsia="en-US"/>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w:t>
      </w:r>
      <w:r w:rsidR="00B235CE" w:rsidRPr="00B235CE">
        <w:rPr>
          <w:rFonts w:eastAsia="Calibri"/>
          <w:color w:val="010000"/>
          <w:lang w:eastAsia="en-US"/>
        </w:rPr>
        <w:t xml:space="preserve"> </w:t>
      </w:r>
      <w:r w:rsidRPr="00B235CE">
        <w:rPr>
          <w:rFonts w:eastAsia="Calibri"/>
          <w:color w:val="010000"/>
          <w:shd w:val="clear" w:color="auto" w:fill="FFFFFF"/>
          <w:lang w:eastAsia="en-US"/>
        </w:rPr>
        <w:t>(2) numaralı fıkrasında ise anılan (b) bendi uyarınca verilen kararın itiraz yoluna başvuran mahkemenin eksiklikleri tamamlayarak yeniden başvurmasına engel olmadığı</w:t>
      </w:r>
      <w:r w:rsidR="00B235CE" w:rsidRPr="00B235CE">
        <w:rPr>
          <w:rFonts w:eastAsia="Calibri"/>
          <w:color w:val="010000"/>
          <w:shd w:val="clear" w:color="auto" w:fill="FFFFFF"/>
          <w:lang w:eastAsia="en-US"/>
        </w:rPr>
        <w:t xml:space="preserve"> </w:t>
      </w:r>
      <w:r w:rsidRPr="00B235CE">
        <w:rPr>
          <w:rFonts w:eastAsia="Calibri"/>
          <w:color w:val="010000"/>
          <w:lang w:eastAsia="en-US"/>
        </w:rPr>
        <w:t>belirtilmiştir.</w:t>
      </w:r>
    </w:p>
    <w:p w:rsidR="00231150" w:rsidRPr="00B235CE" w:rsidRDefault="00231150" w:rsidP="00B235CE">
      <w:pPr>
        <w:spacing w:after="200"/>
        <w:ind w:right="283" w:firstLine="709"/>
        <w:jc w:val="both"/>
        <w:rPr>
          <w:rFonts w:eastAsia="Calibri"/>
          <w:color w:val="010000"/>
          <w:lang w:eastAsia="en-US"/>
        </w:rPr>
      </w:pPr>
      <w:r w:rsidRPr="00B235CE">
        <w:rPr>
          <w:rFonts w:eastAsia="Calibri"/>
          <w:color w:val="010000"/>
          <w:lang w:eastAsia="en-US"/>
        </w:rPr>
        <w:t xml:space="preserve">6. İtiraz yoluna başvuran Mahkemenin aynı dava dosyası üzerinden itiraz konusu kurala ilişkin olarak daha önce Anayasa Mahkemesine yaptığı başvuru Anayasa Mahkemesinin 4/4/2024 tarihli ve E.2024/76, K.2024/84 sayılı kararıyla gönderilen belgeler arasında </w:t>
      </w:r>
      <w:r w:rsidRPr="00B235CE">
        <w:rPr>
          <w:rFonts w:eastAsia="Calibri"/>
          <w:i/>
          <w:iCs/>
          <w:color w:val="010000"/>
          <w:lang w:eastAsia="en-US"/>
        </w:rPr>
        <w:t>başvuru kararına ilişkin tutanağın onaylı örneği</w:t>
      </w:r>
      <w:r w:rsidRPr="00B235CE">
        <w:rPr>
          <w:rFonts w:eastAsia="Calibri"/>
          <w:color w:val="010000"/>
          <w:lang w:eastAsia="en-US"/>
        </w:rPr>
        <w:t>nin</w:t>
      </w:r>
      <w:r w:rsidR="00B235CE" w:rsidRPr="00B235CE">
        <w:rPr>
          <w:rFonts w:eastAsia="Calibri"/>
          <w:color w:val="010000"/>
          <w:shd w:val="clear" w:color="auto" w:fill="FFFFFF"/>
          <w:lang w:eastAsia="en-US"/>
        </w:rPr>
        <w:t xml:space="preserve"> </w:t>
      </w:r>
      <w:r w:rsidRPr="00B235CE">
        <w:rPr>
          <w:rFonts w:eastAsia="Calibri"/>
          <w:color w:val="010000"/>
          <w:shd w:val="clear" w:color="auto" w:fill="FFFFFF"/>
          <w:lang w:eastAsia="en-US"/>
        </w:rPr>
        <w:t xml:space="preserve">bulunmadığı </w:t>
      </w:r>
      <w:r w:rsidRPr="00B235CE">
        <w:rPr>
          <w:rFonts w:eastAsia="Calibri"/>
          <w:color w:val="010000"/>
          <w:lang w:eastAsia="en-US"/>
        </w:rPr>
        <w:t>gerekçesiyle 6216 sayılı Kanun’un 40. maddesinin (4) numaralı fıkrası gereğince yöntemine uygun olmadığından esas incelemeye geçilmeksizin reddedilmiştir.</w:t>
      </w:r>
    </w:p>
    <w:p w:rsidR="00231150" w:rsidRPr="00B235CE" w:rsidRDefault="00231150" w:rsidP="00B235CE">
      <w:pPr>
        <w:spacing w:after="200"/>
        <w:ind w:right="283" w:firstLine="709"/>
        <w:jc w:val="both"/>
        <w:rPr>
          <w:rFonts w:eastAsia="Calibri"/>
          <w:color w:val="010000"/>
          <w:lang w:eastAsia="en-US"/>
        </w:rPr>
      </w:pPr>
      <w:r w:rsidRPr="00B235CE">
        <w:rPr>
          <w:rFonts w:eastAsia="Calibri"/>
          <w:color w:val="010000"/>
          <w:shd w:val="clear" w:color="auto" w:fill="FFFFFF"/>
          <w:lang w:eastAsia="en-US"/>
        </w:rPr>
        <w:t>7. Yapılan incelemede itiraz yoluna başvuran Mahkeme, aynı kurala ilişkin olarak yeniden Anayasa Mahkemesine başvuruda bulunmuştur. B</w:t>
      </w:r>
      <w:r w:rsidRPr="00B235CE">
        <w:rPr>
          <w:color w:val="010000"/>
        </w:rPr>
        <w:t>akılmakta olan davanın heyet hâlinde görülecek işlerden olmasına rağmen</w:t>
      </w:r>
      <w:r w:rsidRPr="00B235CE">
        <w:rPr>
          <w:rFonts w:eastAsia="Calibri"/>
          <w:color w:val="010000"/>
          <w:shd w:val="clear" w:color="auto" w:fill="FFFFFF"/>
          <w:lang w:eastAsia="en-US"/>
        </w:rPr>
        <w:t xml:space="preserve"> itiraz başvurusunda gönderilen </w:t>
      </w:r>
      <w:r w:rsidRPr="00B235CE">
        <w:rPr>
          <w:color w:val="010000"/>
        </w:rPr>
        <w:t xml:space="preserve">24/6/2024 tarihli tutanakta yalnızca mahkeme başkanının imzasının bulunduğu, bu hâliyle söz konusu tutanağın anılan Kanun’un 40. maddesinin (1) numaralı fıkrasının (b) bendinde belirtilen nitelikte bir başvuru tutanağı olarak değerlendirilemeyeceği anlaşılmaktadır. </w:t>
      </w:r>
    </w:p>
    <w:p w:rsidR="00231150" w:rsidRPr="00B235CE" w:rsidRDefault="00231150" w:rsidP="00B235CE">
      <w:pPr>
        <w:spacing w:after="200"/>
        <w:ind w:right="283" w:firstLine="709"/>
        <w:jc w:val="both"/>
        <w:rPr>
          <w:rFonts w:eastAsia="Calibri"/>
          <w:color w:val="010000"/>
          <w:lang w:eastAsia="en-US"/>
        </w:rPr>
      </w:pPr>
      <w:r w:rsidRPr="00B235CE">
        <w:rPr>
          <w:rFonts w:eastAsia="Calibri"/>
          <w:color w:val="010000"/>
          <w:lang w:eastAsia="en-US"/>
        </w:rPr>
        <w:t xml:space="preserve">8. Öte yandan </w:t>
      </w:r>
      <w:proofErr w:type="spellStart"/>
      <w:r w:rsidRPr="00B235CE">
        <w:rPr>
          <w:rFonts w:eastAsia="Calibri"/>
          <w:color w:val="010000"/>
          <w:lang w:eastAsia="en-US"/>
        </w:rPr>
        <w:t>İçtüzük’ün</w:t>
      </w:r>
      <w:proofErr w:type="spellEnd"/>
      <w:r w:rsidRPr="00B235CE">
        <w:rPr>
          <w:rFonts w:eastAsia="Calibri"/>
          <w:color w:val="010000"/>
          <w:lang w:eastAsia="en-US"/>
        </w:rPr>
        <w:t xml:space="preserve"> 49. maddesinin (2) numaralı fıkrası uyarınca Mahkemenin eksiklikleri tamamlayarak yeniden itiraz başvurusunda bulunması mümkün olmakla birlikte yapılacak başvuru önceki başvurunun devamı mahiyetinde olmayıp yeni bir başvuru niteliği taşımaktadır. Bu sebeple aynı kurala ilişkin yapılacak yeni başvurunun Anayasa, 6216 sayılı Kanun ile </w:t>
      </w:r>
      <w:proofErr w:type="spellStart"/>
      <w:r w:rsidRPr="00B235CE">
        <w:rPr>
          <w:rFonts w:eastAsia="Calibri"/>
          <w:color w:val="010000"/>
          <w:lang w:eastAsia="en-US"/>
        </w:rPr>
        <w:t>İçtüzük’te</w:t>
      </w:r>
      <w:proofErr w:type="spellEnd"/>
      <w:r w:rsidRPr="00B235CE">
        <w:rPr>
          <w:rFonts w:eastAsia="Calibri"/>
          <w:color w:val="010000"/>
          <w:lang w:eastAsia="en-US"/>
        </w:rPr>
        <w:t xml:space="preserve"> belirtilen yönteme uygun olması gerekmektedir. </w:t>
      </w:r>
    </w:p>
    <w:p w:rsidR="00231150" w:rsidRPr="00B235CE" w:rsidRDefault="00231150" w:rsidP="00B235CE">
      <w:pPr>
        <w:spacing w:after="200"/>
        <w:ind w:right="283" w:firstLine="709"/>
        <w:jc w:val="both"/>
        <w:rPr>
          <w:rFonts w:eastAsia="Calibri"/>
          <w:color w:val="010000"/>
          <w:shd w:val="clear" w:color="auto" w:fill="FFFFFF"/>
          <w:lang w:eastAsia="en-US"/>
        </w:rPr>
      </w:pPr>
      <w:r w:rsidRPr="00B235CE">
        <w:rPr>
          <w:rFonts w:eastAsia="Calibri"/>
          <w:color w:val="010000"/>
          <w:shd w:val="clear" w:color="auto" w:fill="FFFFFF"/>
          <w:lang w:eastAsia="en-US"/>
        </w:rPr>
        <w:t xml:space="preserve">9. </w:t>
      </w:r>
      <w:r w:rsidRPr="00B235CE">
        <w:rPr>
          <w:rFonts w:eastAsia="Calibri"/>
          <w:color w:val="010000"/>
          <w:lang w:eastAsia="en-US"/>
        </w:rPr>
        <w:t xml:space="preserve">İtiraz yoluna başvuran </w:t>
      </w:r>
      <w:r w:rsidRPr="00B235CE">
        <w:rPr>
          <w:rFonts w:eastAsia="Calibri"/>
          <w:color w:val="010000"/>
          <w:shd w:val="clear" w:color="auto" w:fill="FFFFFF"/>
          <w:lang w:eastAsia="en-US"/>
        </w:rPr>
        <w:t xml:space="preserve">Mahkemenin </w:t>
      </w:r>
      <w:r w:rsidRPr="00B235CE">
        <w:rPr>
          <w:color w:val="010000"/>
        </w:rPr>
        <w:t xml:space="preserve">daha önceki başvuruya ilişkin olarak düzenlenen 15/3/2024 tarihli gerekçeli başvuru kararıyla </w:t>
      </w:r>
      <w:r w:rsidRPr="00B235CE">
        <w:rPr>
          <w:rFonts w:eastAsia="Calibri"/>
          <w:color w:val="010000"/>
          <w:shd w:val="clear" w:color="auto" w:fill="FFFFFF"/>
          <w:lang w:eastAsia="en-US"/>
        </w:rPr>
        <w:t xml:space="preserve">Anayasa Mahkemesine </w:t>
      </w:r>
      <w:r w:rsidRPr="00B235CE">
        <w:rPr>
          <w:color w:val="010000"/>
        </w:rPr>
        <w:t xml:space="preserve">yeniden itiraz başvurusunda bulunduğu, bu başvuruya ilişkin yeni bir gerekçeli başvuru kararının düzenlenmediği anlaşılmaktadır. </w:t>
      </w:r>
      <w:r w:rsidRPr="00B235CE">
        <w:rPr>
          <w:rFonts w:eastAsia="Calibri"/>
          <w:color w:val="010000"/>
          <w:shd w:val="clear" w:color="auto" w:fill="FFFFFF"/>
          <w:lang w:eastAsia="en-US"/>
        </w:rPr>
        <w:t xml:space="preserve">Bu itibarla itiraz başvurusunda daha önceki başvuruya ilişkin düzenlenen gerekçeli başvuru kararının bu başvuru açısından </w:t>
      </w:r>
      <w:r w:rsidRPr="00B235CE">
        <w:rPr>
          <w:color w:val="010000"/>
        </w:rPr>
        <w:t>Kanun’un 40. maddesinin (1) numaralı fıkrasının (a) bendine uygun bir gerekçeli başvuru kararı olarak değerlendirilemeyeceği açıktır.</w:t>
      </w:r>
      <w:r w:rsidR="00B235CE" w:rsidRPr="00B235CE">
        <w:rPr>
          <w:color w:val="010000"/>
        </w:rPr>
        <w:t xml:space="preserve"> </w:t>
      </w:r>
    </w:p>
    <w:p w:rsidR="00231150" w:rsidRPr="00B235CE" w:rsidRDefault="00231150" w:rsidP="00B235CE">
      <w:pPr>
        <w:spacing w:after="200"/>
        <w:ind w:right="283" w:firstLine="709"/>
        <w:jc w:val="both"/>
        <w:rPr>
          <w:rFonts w:eastAsia="Calibri"/>
          <w:color w:val="010000"/>
          <w:lang w:eastAsia="en-US"/>
        </w:rPr>
      </w:pPr>
      <w:r w:rsidRPr="00B235CE">
        <w:rPr>
          <w:rFonts w:eastAsia="Calibri"/>
          <w:color w:val="010000"/>
          <w:lang w:eastAsia="en-US"/>
        </w:rPr>
        <w:t xml:space="preserve">10. Açıklanan nedenlerle 6216 sayılı Kanun’un 40. maddesinin (1) numaralı fıkrasının (a) ve (b) bentleri ile </w:t>
      </w:r>
      <w:proofErr w:type="spellStart"/>
      <w:r w:rsidRPr="00B235CE">
        <w:rPr>
          <w:rFonts w:eastAsia="Calibri"/>
          <w:color w:val="010000"/>
          <w:lang w:eastAsia="en-US"/>
        </w:rPr>
        <w:t>İçtüzük’ün</w:t>
      </w:r>
      <w:proofErr w:type="spellEnd"/>
      <w:r w:rsidRPr="00B235CE">
        <w:rPr>
          <w:rFonts w:eastAsia="Calibri"/>
          <w:color w:val="010000"/>
          <w:lang w:eastAsia="en-US"/>
        </w:rPr>
        <w:t xml:space="preserve"> 46. maddesinin (1) numaralı fıkrasının (a) bendine ve (2) numaralı fıkrasının (a) bendine aykırı olduğu anlaşılan başvurunun 6216 sayılı Kanun’un 40. maddesinin (4) numaralı fıkrası gereğince yöntemine uygun olmadığından esas incelemeye geçilmeksizin reddi gerekir.</w:t>
      </w:r>
    </w:p>
    <w:p w:rsidR="00592CDB" w:rsidRPr="00B235CE" w:rsidRDefault="00592CDB" w:rsidP="00B235CE">
      <w:pPr>
        <w:spacing w:after="200"/>
        <w:ind w:right="283" w:firstLine="709"/>
        <w:jc w:val="both"/>
        <w:rPr>
          <w:b/>
          <w:bCs/>
          <w:color w:val="010000"/>
          <w:szCs w:val="26"/>
        </w:rPr>
      </w:pPr>
      <w:r w:rsidRPr="00B235CE">
        <w:rPr>
          <w:b/>
          <w:bCs/>
          <w:color w:val="010000"/>
          <w:szCs w:val="26"/>
        </w:rPr>
        <w:lastRenderedPageBreak/>
        <w:t>III. HÜKÜM</w:t>
      </w:r>
    </w:p>
    <w:p w:rsidR="00231150" w:rsidRPr="00B235CE" w:rsidRDefault="00231150" w:rsidP="00B235CE">
      <w:pPr>
        <w:spacing w:after="200"/>
        <w:ind w:right="283" w:firstLine="709"/>
        <w:jc w:val="both"/>
        <w:rPr>
          <w:color w:val="010000"/>
        </w:rPr>
      </w:pPr>
      <w:bookmarkStart w:id="1" w:name="_Hlk167364087"/>
      <w:r w:rsidRPr="00B235CE">
        <w:rPr>
          <w:color w:val="010000"/>
        </w:rPr>
        <w:t>12/1/2011 tarihli ve 6100 sayılı Hukuk Muhakemeleri Kanunu’nun 334. maddesinin (2) numaralı fıkrasının</w:t>
      </w:r>
      <w:r w:rsidRPr="00B235CE">
        <w:rPr>
          <w:b/>
          <w:color w:val="010000"/>
        </w:rPr>
        <w:t xml:space="preserve"> </w:t>
      </w:r>
      <w:r w:rsidRPr="00B235CE">
        <w:rPr>
          <w:color w:val="010000"/>
        </w:rPr>
        <w:t xml:space="preserve">iptaline karar verilmesi talebiyle yapılan itiraz başvurusunun 30/3/2011 tarihli ve 6216 sayılı Anayasa Mahkemesinin Kuruluşu ve Yargılama Usulleri Hakkında Kanun’un 40. maddesinin (4) numaralı fıkrası gereğince yöntemine uygun olmadığından REDDİNE </w:t>
      </w:r>
      <w:r w:rsidRPr="00B235CE">
        <w:rPr>
          <w:rFonts w:eastAsia="ヒラギノ明朝 Pro W3"/>
          <w:color w:val="010000"/>
          <w:lang w:eastAsia="en-US"/>
        </w:rPr>
        <w:t>23/7/2024</w:t>
      </w:r>
      <w:r w:rsidRPr="00B235CE">
        <w:rPr>
          <w:color w:val="010000"/>
        </w:rPr>
        <w:t xml:space="preserve"> tarihinde OYBİRLİĞİYLE karar verildi.</w:t>
      </w:r>
      <w:r w:rsidR="00B235CE" w:rsidRPr="00B235CE">
        <w:rPr>
          <w:color w:val="010000"/>
        </w:rPr>
        <w:t xml:space="preserve"> </w:t>
      </w:r>
    </w:p>
    <w:p w:rsidR="00B235CE" w:rsidRDefault="00B235CE">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02"/>
        <w:gridCol w:w="1760"/>
        <w:gridCol w:w="1514"/>
        <w:gridCol w:w="3304"/>
      </w:tblGrid>
      <w:tr w:rsidR="00231150" w:rsidRPr="00B235CE" w:rsidTr="00B235CE">
        <w:trPr>
          <w:trHeight w:val="1600"/>
          <w:jc w:val="center"/>
        </w:trPr>
        <w:tc>
          <w:tcPr>
            <w:tcW w:w="1637" w:type="pct"/>
            <w:vAlign w:val="center"/>
            <w:hideMark/>
          </w:tcPr>
          <w:bookmarkEnd w:id="1"/>
          <w:p w:rsidR="00231150" w:rsidRPr="00B235CE" w:rsidRDefault="00231150" w:rsidP="00B235CE">
            <w:pPr>
              <w:spacing w:after="120"/>
              <w:jc w:val="center"/>
              <w:rPr>
                <w:color w:val="010000"/>
              </w:rPr>
            </w:pPr>
            <w:r w:rsidRPr="00B235CE">
              <w:rPr>
                <w:color w:val="010000"/>
              </w:rPr>
              <w:t>Başkan</w:t>
            </w:r>
          </w:p>
          <w:p w:rsidR="00231150" w:rsidRPr="00B235CE" w:rsidRDefault="00231150" w:rsidP="00B235CE">
            <w:pPr>
              <w:spacing w:after="120"/>
              <w:jc w:val="center"/>
              <w:rPr>
                <w:color w:val="010000"/>
              </w:rPr>
            </w:pPr>
            <w:r w:rsidRPr="00B235CE">
              <w:rPr>
                <w:color w:val="010000"/>
              </w:rPr>
              <w:t>Kadir ÖZKAYA</w:t>
            </w:r>
          </w:p>
        </w:tc>
        <w:tc>
          <w:tcPr>
            <w:tcW w:w="1674" w:type="pct"/>
            <w:gridSpan w:val="2"/>
            <w:vAlign w:val="center"/>
            <w:hideMark/>
          </w:tcPr>
          <w:p w:rsidR="00231150" w:rsidRPr="00B235CE" w:rsidRDefault="00231150" w:rsidP="00B235CE">
            <w:pPr>
              <w:spacing w:after="120"/>
              <w:jc w:val="center"/>
              <w:rPr>
                <w:color w:val="010000"/>
              </w:rPr>
            </w:pPr>
            <w:r w:rsidRPr="00B235CE">
              <w:rPr>
                <w:color w:val="010000"/>
              </w:rPr>
              <w:t>Başkanvekili</w:t>
            </w:r>
          </w:p>
          <w:p w:rsidR="00231150" w:rsidRPr="00B235CE" w:rsidRDefault="00231150" w:rsidP="00B235CE">
            <w:pPr>
              <w:spacing w:after="120"/>
              <w:jc w:val="center"/>
              <w:rPr>
                <w:color w:val="010000"/>
              </w:rPr>
            </w:pPr>
            <w:r w:rsidRPr="00B235CE">
              <w:rPr>
                <w:color w:val="010000"/>
              </w:rPr>
              <w:t>Hasan Tahsin GÖKCAN</w:t>
            </w:r>
          </w:p>
        </w:tc>
        <w:tc>
          <w:tcPr>
            <w:tcW w:w="1689" w:type="pct"/>
            <w:vAlign w:val="center"/>
            <w:hideMark/>
          </w:tcPr>
          <w:p w:rsidR="00231150" w:rsidRPr="00B235CE" w:rsidRDefault="00231150" w:rsidP="00B235CE">
            <w:pPr>
              <w:spacing w:after="120"/>
              <w:jc w:val="center"/>
              <w:rPr>
                <w:color w:val="010000"/>
              </w:rPr>
            </w:pPr>
            <w:r w:rsidRPr="00B235CE">
              <w:rPr>
                <w:color w:val="010000"/>
              </w:rPr>
              <w:t xml:space="preserve">Başkanvekili </w:t>
            </w:r>
          </w:p>
          <w:p w:rsidR="00231150" w:rsidRPr="00B235CE" w:rsidRDefault="00231150" w:rsidP="00B235CE">
            <w:pPr>
              <w:spacing w:after="120"/>
              <w:jc w:val="center"/>
              <w:rPr>
                <w:color w:val="010000"/>
              </w:rPr>
            </w:pPr>
            <w:r w:rsidRPr="00B235CE">
              <w:rPr>
                <w:color w:val="010000"/>
              </w:rPr>
              <w:t>Basri BAĞCI</w:t>
            </w:r>
          </w:p>
        </w:tc>
      </w:tr>
      <w:tr w:rsidR="00231150" w:rsidRPr="00B235CE" w:rsidTr="00B235CE">
        <w:trPr>
          <w:trHeight w:val="1600"/>
          <w:jc w:val="center"/>
        </w:trPr>
        <w:tc>
          <w:tcPr>
            <w:tcW w:w="1637" w:type="pct"/>
            <w:vAlign w:val="center"/>
            <w:hideMark/>
          </w:tcPr>
          <w:p w:rsidR="00231150" w:rsidRPr="00B235CE" w:rsidRDefault="00231150" w:rsidP="00B235CE">
            <w:pPr>
              <w:spacing w:after="120"/>
              <w:jc w:val="center"/>
              <w:rPr>
                <w:color w:val="010000"/>
              </w:rPr>
            </w:pPr>
            <w:r w:rsidRPr="00B235CE">
              <w:rPr>
                <w:color w:val="010000"/>
              </w:rPr>
              <w:t xml:space="preserve">Üye </w:t>
            </w:r>
          </w:p>
          <w:p w:rsidR="00231150" w:rsidRPr="00B235CE" w:rsidRDefault="00231150" w:rsidP="00B235CE">
            <w:pPr>
              <w:spacing w:after="120"/>
              <w:jc w:val="center"/>
              <w:rPr>
                <w:color w:val="010000"/>
              </w:rPr>
            </w:pPr>
            <w:r w:rsidRPr="00B235CE">
              <w:rPr>
                <w:color w:val="010000"/>
              </w:rPr>
              <w:t>Engin YILDIRIM</w:t>
            </w:r>
          </w:p>
        </w:tc>
        <w:tc>
          <w:tcPr>
            <w:tcW w:w="1674" w:type="pct"/>
            <w:gridSpan w:val="2"/>
            <w:vAlign w:val="center"/>
            <w:hideMark/>
          </w:tcPr>
          <w:p w:rsidR="00231150" w:rsidRPr="00B235CE" w:rsidRDefault="00231150" w:rsidP="00B235CE">
            <w:pPr>
              <w:spacing w:after="120"/>
              <w:jc w:val="center"/>
              <w:rPr>
                <w:color w:val="010000"/>
              </w:rPr>
            </w:pPr>
            <w:r w:rsidRPr="00B235CE">
              <w:rPr>
                <w:color w:val="010000"/>
              </w:rPr>
              <w:t>Üye</w:t>
            </w:r>
          </w:p>
          <w:p w:rsidR="00231150" w:rsidRPr="00B235CE" w:rsidRDefault="00231150" w:rsidP="00B235CE">
            <w:pPr>
              <w:spacing w:after="120"/>
              <w:jc w:val="center"/>
              <w:rPr>
                <w:color w:val="010000"/>
              </w:rPr>
            </w:pPr>
            <w:r w:rsidRPr="00B235CE">
              <w:rPr>
                <w:color w:val="010000"/>
              </w:rPr>
              <w:t>Rıdvan GÜLEÇ</w:t>
            </w:r>
          </w:p>
        </w:tc>
        <w:tc>
          <w:tcPr>
            <w:tcW w:w="1689" w:type="pct"/>
            <w:vAlign w:val="center"/>
            <w:hideMark/>
          </w:tcPr>
          <w:p w:rsidR="00231150" w:rsidRPr="00B235CE" w:rsidRDefault="00231150" w:rsidP="00B235CE">
            <w:pPr>
              <w:spacing w:after="120"/>
              <w:jc w:val="center"/>
              <w:rPr>
                <w:color w:val="010000"/>
              </w:rPr>
            </w:pPr>
            <w:r w:rsidRPr="00B235CE">
              <w:rPr>
                <w:color w:val="010000"/>
              </w:rPr>
              <w:t>Üye</w:t>
            </w:r>
          </w:p>
          <w:p w:rsidR="00231150" w:rsidRPr="00B235CE" w:rsidRDefault="00231150" w:rsidP="00B235CE">
            <w:pPr>
              <w:spacing w:after="120"/>
              <w:jc w:val="center"/>
              <w:rPr>
                <w:color w:val="010000"/>
              </w:rPr>
            </w:pPr>
            <w:r w:rsidRPr="00B235CE">
              <w:rPr>
                <w:bCs/>
                <w:color w:val="010000"/>
              </w:rPr>
              <w:t>Recai AKYEL</w:t>
            </w:r>
          </w:p>
        </w:tc>
      </w:tr>
      <w:tr w:rsidR="00231150" w:rsidRPr="00B235CE" w:rsidTr="00B235CE">
        <w:trPr>
          <w:trHeight w:val="1600"/>
          <w:jc w:val="center"/>
        </w:trPr>
        <w:tc>
          <w:tcPr>
            <w:tcW w:w="1637" w:type="pct"/>
            <w:vAlign w:val="center"/>
            <w:hideMark/>
          </w:tcPr>
          <w:p w:rsidR="00231150" w:rsidRPr="00B235CE" w:rsidRDefault="00231150" w:rsidP="00B235CE">
            <w:pPr>
              <w:spacing w:after="120"/>
              <w:jc w:val="center"/>
              <w:rPr>
                <w:color w:val="010000"/>
              </w:rPr>
            </w:pPr>
            <w:r w:rsidRPr="00B235CE">
              <w:rPr>
                <w:color w:val="010000"/>
              </w:rPr>
              <w:t xml:space="preserve">Üye </w:t>
            </w:r>
          </w:p>
          <w:p w:rsidR="00231150" w:rsidRPr="00B235CE" w:rsidRDefault="00231150" w:rsidP="00B235CE">
            <w:pPr>
              <w:spacing w:after="120"/>
              <w:jc w:val="center"/>
              <w:rPr>
                <w:color w:val="010000"/>
              </w:rPr>
            </w:pPr>
            <w:r w:rsidRPr="00B235CE">
              <w:rPr>
                <w:bCs/>
                <w:color w:val="010000"/>
              </w:rPr>
              <w:t>Yusuf Şevki HAKYEMEZ</w:t>
            </w:r>
          </w:p>
        </w:tc>
        <w:tc>
          <w:tcPr>
            <w:tcW w:w="1674" w:type="pct"/>
            <w:gridSpan w:val="2"/>
            <w:vAlign w:val="center"/>
            <w:hideMark/>
          </w:tcPr>
          <w:p w:rsidR="00231150" w:rsidRPr="00B235CE" w:rsidRDefault="00231150" w:rsidP="00B235CE">
            <w:pPr>
              <w:spacing w:after="120"/>
              <w:jc w:val="center"/>
              <w:rPr>
                <w:color w:val="010000"/>
              </w:rPr>
            </w:pPr>
            <w:r w:rsidRPr="00B235CE">
              <w:rPr>
                <w:color w:val="010000"/>
              </w:rPr>
              <w:t>Üye</w:t>
            </w:r>
          </w:p>
          <w:p w:rsidR="00231150" w:rsidRPr="00B235CE" w:rsidRDefault="00231150" w:rsidP="00B235CE">
            <w:pPr>
              <w:spacing w:after="120"/>
              <w:jc w:val="center"/>
              <w:rPr>
                <w:color w:val="010000"/>
              </w:rPr>
            </w:pPr>
            <w:r w:rsidRPr="00B235CE">
              <w:rPr>
                <w:bCs/>
                <w:color w:val="010000"/>
              </w:rPr>
              <w:t>Yıldız SEFERİNOĞLU</w:t>
            </w:r>
          </w:p>
        </w:tc>
        <w:tc>
          <w:tcPr>
            <w:tcW w:w="1689" w:type="pct"/>
            <w:vAlign w:val="center"/>
            <w:hideMark/>
          </w:tcPr>
          <w:p w:rsidR="00231150" w:rsidRPr="00B235CE" w:rsidRDefault="00231150" w:rsidP="00B235CE">
            <w:pPr>
              <w:spacing w:after="120"/>
              <w:jc w:val="center"/>
              <w:rPr>
                <w:color w:val="010000"/>
              </w:rPr>
            </w:pPr>
            <w:r w:rsidRPr="00B235CE">
              <w:rPr>
                <w:color w:val="010000"/>
              </w:rPr>
              <w:t>Üye</w:t>
            </w:r>
          </w:p>
          <w:p w:rsidR="00231150" w:rsidRPr="00B235CE" w:rsidRDefault="00231150" w:rsidP="00B235CE">
            <w:pPr>
              <w:spacing w:after="120"/>
              <w:jc w:val="center"/>
              <w:rPr>
                <w:color w:val="010000"/>
              </w:rPr>
            </w:pPr>
            <w:r w:rsidRPr="00B235CE">
              <w:rPr>
                <w:color w:val="010000"/>
              </w:rPr>
              <w:t>Selahaddin MENTEŞ</w:t>
            </w:r>
          </w:p>
        </w:tc>
      </w:tr>
      <w:tr w:rsidR="00231150" w:rsidRPr="00B235CE" w:rsidTr="00B235CE">
        <w:trPr>
          <w:trHeight w:val="1600"/>
          <w:jc w:val="center"/>
        </w:trPr>
        <w:tc>
          <w:tcPr>
            <w:tcW w:w="1637" w:type="pct"/>
            <w:vAlign w:val="center"/>
            <w:hideMark/>
          </w:tcPr>
          <w:p w:rsidR="00231150" w:rsidRPr="00B235CE" w:rsidRDefault="00231150" w:rsidP="00B235CE">
            <w:pPr>
              <w:spacing w:after="120"/>
              <w:jc w:val="center"/>
              <w:rPr>
                <w:color w:val="010000"/>
              </w:rPr>
            </w:pPr>
            <w:r w:rsidRPr="00B235CE">
              <w:rPr>
                <w:color w:val="010000"/>
              </w:rPr>
              <w:t>Üye</w:t>
            </w:r>
          </w:p>
          <w:p w:rsidR="00231150" w:rsidRPr="00B235CE" w:rsidRDefault="00231150" w:rsidP="00B235CE">
            <w:pPr>
              <w:spacing w:after="120"/>
              <w:jc w:val="center"/>
              <w:rPr>
                <w:color w:val="010000"/>
              </w:rPr>
            </w:pPr>
            <w:r w:rsidRPr="00B235CE">
              <w:rPr>
                <w:bCs/>
                <w:color w:val="010000"/>
              </w:rPr>
              <w:t>İrfan FİDAN</w:t>
            </w:r>
          </w:p>
        </w:tc>
        <w:tc>
          <w:tcPr>
            <w:tcW w:w="1674" w:type="pct"/>
            <w:gridSpan w:val="2"/>
            <w:vAlign w:val="center"/>
            <w:hideMark/>
          </w:tcPr>
          <w:p w:rsidR="00231150" w:rsidRPr="00B235CE" w:rsidRDefault="00231150" w:rsidP="00B235CE">
            <w:pPr>
              <w:spacing w:after="120"/>
              <w:jc w:val="center"/>
              <w:rPr>
                <w:color w:val="010000"/>
              </w:rPr>
            </w:pPr>
            <w:r w:rsidRPr="00B235CE">
              <w:rPr>
                <w:color w:val="010000"/>
              </w:rPr>
              <w:t>Üye</w:t>
            </w:r>
          </w:p>
          <w:p w:rsidR="00231150" w:rsidRPr="00B235CE" w:rsidRDefault="00231150" w:rsidP="00B235CE">
            <w:pPr>
              <w:spacing w:after="120"/>
              <w:jc w:val="center"/>
              <w:rPr>
                <w:color w:val="010000"/>
              </w:rPr>
            </w:pPr>
            <w:r w:rsidRPr="00B235CE">
              <w:rPr>
                <w:color w:val="010000"/>
              </w:rPr>
              <w:t>Kenan YAŞAR</w:t>
            </w:r>
          </w:p>
        </w:tc>
        <w:tc>
          <w:tcPr>
            <w:tcW w:w="1689" w:type="pct"/>
            <w:vAlign w:val="center"/>
            <w:hideMark/>
          </w:tcPr>
          <w:p w:rsidR="00231150" w:rsidRPr="00B235CE" w:rsidRDefault="00231150" w:rsidP="00B235CE">
            <w:pPr>
              <w:spacing w:after="120"/>
              <w:jc w:val="center"/>
              <w:rPr>
                <w:color w:val="010000"/>
              </w:rPr>
            </w:pPr>
            <w:r w:rsidRPr="00B235CE">
              <w:rPr>
                <w:color w:val="010000"/>
              </w:rPr>
              <w:t>Üye</w:t>
            </w:r>
          </w:p>
          <w:p w:rsidR="00231150" w:rsidRPr="00B235CE" w:rsidRDefault="00231150" w:rsidP="00B235CE">
            <w:pPr>
              <w:spacing w:after="120"/>
              <w:jc w:val="center"/>
              <w:rPr>
                <w:color w:val="010000"/>
              </w:rPr>
            </w:pPr>
            <w:r w:rsidRPr="00B235CE">
              <w:rPr>
                <w:color w:val="010000"/>
              </w:rPr>
              <w:t>Muhterem İNCE</w:t>
            </w:r>
          </w:p>
        </w:tc>
      </w:tr>
      <w:tr w:rsidR="00B235CE" w:rsidRPr="00B235CE" w:rsidTr="00B235CE">
        <w:trPr>
          <w:trHeight w:val="1600"/>
          <w:jc w:val="center"/>
        </w:trPr>
        <w:tc>
          <w:tcPr>
            <w:tcW w:w="2537" w:type="pct"/>
            <w:gridSpan w:val="2"/>
            <w:vAlign w:val="center"/>
            <w:hideMark/>
          </w:tcPr>
          <w:p w:rsidR="00B235CE" w:rsidRPr="00B235CE" w:rsidRDefault="00B235CE" w:rsidP="00B235CE">
            <w:pPr>
              <w:spacing w:after="120"/>
              <w:jc w:val="center"/>
              <w:rPr>
                <w:color w:val="010000"/>
              </w:rPr>
            </w:pPr>
            <w:r w:rsidRPr="00B235CE">
              <w:rPr>
                <w:color w:val="010000"/>
              </w:rPr>
              <w:t>Üye</w:t>
            </w:r>
          </w:p>
          <w:p w:rsidR="00B235CE" w:rsidRPr="00B235CE" w:rsidRDefault="00B235CE" w:rsidP="00B235CE">
            <w:pPr>
              <w:spacing w:after="120"/>
              <w:jc w:val="center"/>
              <w:rPr>
                <w:color w:val="010000"/>
              </w:rPr>
            </w:pPr>
            <w:r w:rsidRPr="00B235CE">
              <w:rPr>
                <w:bCs/>
                <w:color w:val="010000"/>
              </w:rPr>
              <w:t>Yılmaz AKÇİL</w:t>
            </w:r>
          </w:p>
        </w:tc>
        <w:tc>
          <w:tcPr>
            <w:tcW w:w="2463" w:type="pct"/>
            <w:gridSpan w:val="2"/>
            <w:vAlign w:val="center"/>
            <w:hideMark/>
          </w:tcPr>
          <w:p w:rsidR="00B235CE" w:rsidRPr="00B235CE" w:rsidRDefault="00B235CE" w:rsidP="00B235CE">
            <w:pPr>
              <w:spacing w:after="120"/>
              <w:jc w:val="center"/>
              <w:rPr>
                <w:color w:val="010000"/>
              </w:rPr>
            </w:pPr>
            <w:r w:rsidRPr="00B235CE">
              <w:rPr>
                <w:color w:val="010000"/>
              </w:rPr>
              <w:t>Üye</w:t>
            </w:r>
          </w:p>
          <w:p w:rsidR="00B235CE" w:rsidRPr="00B235CE" w:rsidRDefault="00B235CE" w:rsidP="00B235CE">
            <w:pPr>
              <w:spacing w:after="120"/>
              <w:jc w:val="center"/>
              <w:rPr>
                <w:color w:val="010000"/>
              </w:rPr>
            </w:pPr>
            <w:r w:rsidRPr="00B235CE">
              <w:rPr>
                <w:bCs/>
                <w:color w:val="010000"/>
              </w:rPr>
              <w:t>Ömer ÇINAR</w:t>
            </w:r>
          </w:p>
        </w:tc>
      </w:tr>
    </w:tbl>
    <w:p w:rsidR="00231150" w:rsidRPr="00B235CE" w:rsidRDefault="00231150" w:rsidP="00B235CE">
      <w:pPr>
        <w:ind w:firstLine="851"/>
        <w:jc w:val="both"/>
        <w:rPr>
          <w:b/>
          <w:bCs/>
          <w:color w:val="010000"/>
          <w:szCs w:val="26"/>
        </w:rPr>
      </w:pPr>
    </w:p>
    <w:sectPr w:rsidR="00231150" w:rsidRPr="00B235CE" w:rsidSect="00B235C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2E4" w:rsidRDefault="00F002E4">
      <w:r>
        <w:separator/>
      </w:r>
    </w:p>
  </w:endnote>
  <w:endnote w:type="continuationSeparator" w:id="0">
    <w:p w:rsidR="00F002E4" w:rsidRDefault="00F0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488" w:rsidRDefault="00255488" w:rsidP="002554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5488" w:rsidRDefault="00255488" w:rsidP="0025548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488" w:rsidRPr="00B235CE" w:rsidRDefault="00255488" w:rsidP="00255488">
    <w:pPr>
      <w:pStyle w:val="AltBilgi"/>
      <w:framePr w:wrap="around" w:vAnchor="text" w:hAnchor="margin" w:xAlign="right" w:y="1"/>
      <w:rPr>
        <w:rStyle w:val="SayfaNumaras"/>
      </w:rPr>
    </w:pPr>
    <w:r w:rsidRPr="00B235CE">
      <w:rPr>
        <w:rStyle w:val="SayfaNumaras"/>
      </w:rPr>
      <w:fldChar w:fldCharType="begin"/>
    </w:r>
    <w:r w:rsidRPr="00B235CE">
      <w:rPr>
        <w:rStyle w:val="SayfaNumaras"/>
      </w:rPr>
      <w:instrText xml:space="preserve">PAGE  </w:instrText>
    </w:r>
    <w:r w:rsidRPr="00B235CE">
      <w:rPr>
        <w:rStyle w:val="SayfaNumaras"/>
      </w:rPr>
      <w:fldChar w:fldCharType="separate"/>
    </w:r>
    <w:r w:rsidR="00822A1E" w:rsidRPr="00B235CE">
      <w:rPr>
        <w:rStyle w:val="SayfaNumaras"/>
        <w:noProof/>
      </w:rPr>
      <w:t>2</w:t>
    </w:r>
    <w:r w:rsidRPr="00B235CE">
      <w:rPr>
        <w:rStyle w:val="SayfaNumaras"/>
      </w:rPr>
      <w:fldChar w:fldCharType="end"/>
    </w:r>
  </w:p>
  <w:p w:rsidR="00255488" w:rsidRPr="007D23CE" w:rsidRDefault="00255488" w:rsidP="0025548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2E4" w:rsidRDefault="00F002E4">
      <w:r>
        <w:separator/>
      </w:r>
    </w:p>
  </w:footnote>
  <w:footnote w:type="continuationSeparator" w:id="0">
    <w:p w:rsidR="00F002E4" w:rsidRDefault="00F00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5CE" w:rsidRPr="00B235CE" w:rsidRDefault="00B235CE" w:rsidP="00B235CE">
    <w:pPr>
      <w:pStyle w:val="stBilgi"/>
      <w:rPr>
        <w:b/>
      </w:rPr>
    </w:pPr>
    <w:r w:rsidRPr="00B235CE">
      <w:rPr>
        <w:b/>
      </w:rPr>
      <w:t xml:space="preserve">Esas </w:t>
    </w:r>
    <w:proofErr w:type="gramStart"/>
    <w:r w:rsidRPr="00B235CE">
      <w:rPr>
        <w:b/>
      </w:rPr>
      <w:t>Sayısı :</w:t>
    </w:r>
    <w:proofErr w:type="gramEnd"/>
    <w:r w:rsidRPr="00B235CE">
      <w:rPr>
        <w:b/>
      </w:rPr>
      <w:t xml:space="preserve"> 2024/141</w:t>
    </w:r>
  </w:p>
  <w:p w:rsidR="00B235CE" w:rsidRDefault="00B235CE" w:rsidP="00B235CE">
    <w:pPr>
      <w:pStyle w:val="stBilgi"/>
      <w:rPr>
        <w:b/>
      </w:rPr>
    </w:pPr>
    <w:r>
      <w:rPr>
        <w:b/>
      </w:rPr>
      <w:t xml:space="preserve">Karar </w:t>
    </w:r>
    <w:proofErr w:type="gramStart"/>
    <w:r>
      <w:rPr>
        <w:b/>
      </w:rPr>
      <w:t>Sayısı :</w:t>
    </w:r>
    <w:proofErr w:type="gramEnd"/>
    <w:r>
      <w:rPr>
        <w:b/>
      </w:rPr>
      <w:t xml:space="preserve"> 2024/132</w:t>
    </w:r>
  </w:p>
  <w:p w:rsidR="00255488" w:rsidRPr="00B235CE" w:rsidRDefault="00255488" w:rsidP="00B235CE">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231150"/>
    <w:rsid w:val="00255488"/>
    <w:rsid w:val="00285B63"/>
    <w:rsid w:val="002D7BD5"/>
    <w:rsid w:val="004F1180"/>
    <w:rsid w:val="00592CDB"/>
    <w:rsid w:val="00822A1E"/>
    <w:rsid w:val="008D7DF4"/>
    <w:rsid w:val="00952B5F"/>
    <w:rsid w:val="00A7748A"/>
    <w:rsid w:val="00B235CE"/>
    <w:rsid w:val="00F002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F7518B-7869-4FC1-B6EF-4F8E96B1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592CDB"/>
    <w:pPr>
      <w:tabs>
        <w:tab w:val="center" w:pos="4536"/>
        <w:tab w:val="right" w:pos="9072"/>
      </w:tabs>
    </w:pPr>
  </w:style>
  <w:style w:type="character" w:customStyle="1" w:styleId="stBilgiChar">
    <w:name w:val="Üst Bilgi Char"/>
    <w:link w:val="stBilgi"/>
    <w:rsid w:val="00592CDB"/>
    <w:rPr>
      <w:sz w:val="24"/>
      <w:szCs w:val="24"/>
    </w:rPr>
  </w:style>
  <w:style w:type="paragraph" w:styleId="AltBilgi">
    <w:name w:val="footer"/>
    <w:basedOn w:val="Normal"/>
    <w:link w:val="AltBilgiChar"/>
    <w:rsid w:val="00592CDB"/>
    <w:pPr>
      <w:tabs>
        <w:tab w:val="center" w:pos="4536"/>
        <w:tab w:val="right" w:pos="9072"/>
      </w:tabs>
    </w:pPr>
  </w:style>
  <w:style w:type="character" w:customStyle="1" w:styleId="AltBilgiChar">
    <w:name w:val="Alt Bilgi Char"/>
    <w:link w:val="AltBilgi"/>
    <w:rsid w:val="00592CDB"/>
    <w:rPr>
      <w:sz w:val="24"/>
      <w:szCs w:val="24"/>
    </w:rPr>
  </w:style>
  <w:style w:type="character" w:styleId="SayfaNumaras">
    <w:name w:val="page number"/>
    <w:uiPriority w:val="99"/>
    <w:unhideWhenUsed/>
    <w:rsid w:val="00592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5885</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2024-12-10T08:16:00Z</cp:lastPrinted>
  <dcterms:created xsi:type="dcterms:W3CDTF">2024-12-10T11:18:00Z</dcterms:created>
  <dcterms:modified xsi:type="dcterms:W3CDTF">2024-12-10T11:18:00Z</dcterms:modified>
</cp:coreProperties>
</file>