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378" w:rsidRDefault="00667378" w:rsidP="00AA1C3F">
      <w:pPr>
        <w:spacing w:after="200"/>
        <w:ind w:right="283"/>
        <w:jc w:val="center"/>
        <w:rPr>
          <w:b/>
          <w:bCs/>
          <w:caps/>
          <w:color w:val="010000"/>
        </w:rPr>
      </w:pPr>
      <w:r w:rsidRPr="00AA1C3F">
        <w:rPr>
          <w:b/>
          <w:bCs/>
          <w:caps/>
          <w:color w:val="010000"/>
        </w:rPr>
        <w:t>ANAYASA MAHKEMESİ KARARI</w:t>
      </w:r>
    </w:p>
    <w:p w:rsidR="00AA1C3F" w:rsidRPr="00AA1C3F" w:rsidRDefault="00AA1C3F" w:rsidP="00AA1C3F">
      <w:pPr>
        <w:spacing w:after="200"/>
        <w:ind w:right="283" w:firstLine="709"/>
        <w:jc w:val="center"/>
        <w:rPr>
          <w:b/>
          <w:bCs/>
          <w:caps/>
          <w:color w:val="010000"/>
        </w:rPr>
      </w:pPr>
    </w:p>
    <w:p w:rsidR="00AA1C3F" w:rsidRDefault="00AA1C3F" w:rsidP="00AA1C3F">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2022/133</w:t>
      </w:r>
    </w:p>
    <w:p w:rsidR="00AA1C3F" w:rsidRDefault="00AA1C3F" w:rsidP="00AA1C3F">
      <w:pPr>
        <w:rPr>
          <w:b/>
          <w:color w:val="010000"/>
        </w:rPr>
      </w:pPr>
      <w:r>
        <w:rPr>
          <w:b/>
          <w:color w:val="010000"/>
        </w:rPr>
        <w:t xml:space="preserve">Karar </w:t>
      </w:r>
      <w:proofErr w:type="gramStart"/>
      <w:r>
        <w:rPr>
          <w:b/>
          <w:color w:val="010000"/>
        </w:rPr>
        <w:t>Sayısı :</w:t>
      </w:r>
      <w:proofErr w:type="gramEnd"/>
      <w:r>
        <w:rPr>
          <w:b/>
          <w:color w:val="010000"/>
        </w:rPr>
        <w:t xml:space="preserve"> 2023/15</w:t>
      </w:r>
    </w:p>
    <w:p w:rsidR="00AA1C3F" w:rsidRDefault="00AA1C3F" w:rsidP="00AA1C3F">
      <w:pPr>
        <w:rPr>
          <w:b/>
          <w:color w:val="010000"/>
        </w:rPr>
      </w:pPr>
      <w:r>
        <w:rPr>
          <w:b/>
          <w:color w:val="010000"/>
        </w:rPr>
        <w:t xml:space="preserve">Karar </w:t>
      </w:r>
      <w:proofErr w:type="gramStart"/>
      <w:r>
        <w:rPr>
          <w:b/>
          <w:color w:val="010000"/>
        </w:rPr>
        <w:t>Tarihi :</w:t>
      </w:r>
      <w:proofErr w:type="gramEnd"/>
      <w:r>
        <w:rPr>
          <w:b/>
          <w:color w:val="010000"/>
        </w:rPr>
        <w:t xml:space="preserve"> 25/1/2023</w:t>
      </w:r>
    </w:p>
    <w:p w:rsidR="00AA1C3F" w:rsidRDefault="00AA1C3F" w:rsidP="00AA1C3F">
      <w:pPr>
        <w:rPr>
          <w:b/>
          <w:color w:val="010000"/>
        </w:rPr>
      </w:pPr>
      <w:proofErr w:type="spellStart"/>
      <w:r>
        <w:rPr>
          <w:b/>
          <w:color w:val="010000"/>
        </w:rPr>
        <w:t>R.</w:t>
      </w:r>
      <w:proofErr w:type="gramStart"/>
      <w:r>
        <w:rPr>
          <w:b/>
          <w:color w:val="010000"/>
        </w:rPr>
        <w:t>G.Tarih</w:t>
      </w:r>
      <w:proofErr w:type="spellEnd"/>
      <w:proofErr w:type="gramEnd"/>
      <w:r>
        <w:rPr>
          <w:b/>
          <w:color w:val="010000"/>
        </w:rPr>
        <w:t>-Sayı : 6/4/2023-32155</w:t>
      </w:r>
    </w:p>
    <w:p w:rsidR="006B5A8D" w:rsidRPr="00AA1C3F" w:rsidRDefault="006B5A8D" w:rsidP="00AA1C3F">
      <w:pPr>
        <w:rPr>
          <w:b/>
          <w:color w:val="010000"/>
        </w:rPr>
      </w:pPr>
    </w:p>
    <w:p w:rsidR="0024731C" w:rsidRPr="00AA1C3F" w:rsidRDefault="0024731C" w:rsidP="00AA1C3F">
      <w:pPr>
        <w:spacing w:after="200"/>
        <w:ind w:right="283" w:firstLine="709"/>
        <w:jc w:val="both"/>
        <w:rPr>
          <w:color w:val="010000"/>
        </w:rPr>
      </w:pPr>
      <w:bookmarkStart w:id="0" w:name="_Hlk115955955"/>
      <w:r w:rsidRPr="00AA1C3F">
        <w:rPr>
          <w:b/>
          <w:bCs/>
          <w:color w:val="010000"/>
        </w:rPr>
        <w:t xml:space="preserve">İTİRAZ YOLUNA BAŞVURAN: </w:t>
      </w:r>
      <w:r w:rsidRPr="00AA1C3F">
        <w:rPr>
          <w:color w:val="010000"/>
        </w:rPr>
        <w:t>Çorum İnfaz Hâkimliği</w:t>
      </w:r>
    </w:p>
    <w:p w:rsidR="0024731C" w:rsidRPr="00AA1C3F" w:rsidRDefault="0024731C" w:rsidP="00AA1C3F">
      <w:pPr>
        <w:spacing w:after="200"/>
        <w:ind w:right="283" w:firstLine="709"/>
        <w:jc w:val="both"/>
        <w:rPr>
          <w:b/>
          <w:bCs/>
          <w:color w:val="010000"/>
        </w:rPr>
      </w:pPr>
      <w:r w:rsidRPr="00AA1C3F">
        <w:rPr>
          <w:b/>
          <w:bCs/>
          <w:color w:val="010000"/>
        </w:rPr>
        <w:t xml:space="preserve">İTİRAZIN KONUSU: </w:t>
      </w:r>
      <w:r w:rsidRPr="00AA1C3F">
        <w:rPr>
          <w:bCs/>
          <w:color w:val="010000"/>
        </w:rPr>
        <w:t>13/12/2004 tarihli ve 5275 sayılı Ceza ve Güvenlik Tedbirlerinin İnfazı Hakkında Kanun’un 37. maddesinin (1) numaralı fıkrasının birinci cümlesinin Anayasa’nın 2. ve 10. maddelerine aykırılığı ileri sürülerek iptaline karar verilmesi talebidir</w:t>
      </w:r>
      <w:r w:rsidRPr="00AA1C3F">
        <w:rPr>
          <w:b/>
          <w:bCs/>
          <w:color w:val="010000"/>
        </w:rPr>
        <w:t>.</w:t>
      </w:r>
    </w:p>
    <w:p w:rsidR="0024731C" w:rsidRPr="00AA1C3F" w:rsidRDefault="0024731C" w:rsidP="00AA1C3F">
      <w:pPr>
        <w:spacing w:after="200"/>
        <w:ind w:right="283" w:firstLine="709"/>
        <w:jc w:val="both"/>
        <w:rPr>
          <w:color w:val="010000"/>
          <w:lang w:eastAsia="zh-CN"/>
        </w:rPr>
      </w:pPr>
      <w:r w:rsidRPr="00AA1C3F">
        <w:rPr>
          <w:b/>
          <w:bCs/>
          <w:color w:val="010000"/>
        </w:rPr>
        <w:t>OLAY:</w:t>
      </w:r>
      <w:bookmarkStart w:id="1" w:name="_Hlk38220035"/>
      <w:r w:rsidRPr="00AA1C3F">
        <w:rPr>
          <w:bCs/>
          <w:color w:val="010000"/>
        </w:rPr>
        <w:t xml:space="preserve"> </w:t>
      </w:r>
      <w:r w:rsidRPr="00AA1C3F">
        <w:rPr>
          <w:color w:val="010000"/>
          <w:lang w:eastAsia="zh-CN"/>
        </w:rPr>
        <w:t>Hükümlü hakkında verilen ziyaretçi kabulünden yoksun bırakma disiplin cezasına karşı başvurulan şikâyet yolunda itiraz konusu kuralın Anayasa’ya aykırı olduğu kanısına varan Mahkeme, iptali için başvurmuştur</w:t>
      </w:r>
      <w:bookmarkEnd w:id="1"/>
      <w:r w:rsidRPr="00AA1C3F">
        <w:rPr>
          <w:color w:val="010000"/>
          <w:lang w:eastAsia="zh-CN"/>
        </w:rPr>
        <w:t>.</w:t>
      </w:r>
    </w:p>
    <w:p w:rsidR="0024731C" w:rsidRPr="00AA1C3F" w:rsidRDefault="0024731C" w:rsidP="00AA1C3F">
      <w:pPr>
        <w:overflowPunct w:val="0"/>
        <w:autoSpaceDE w:val="0"/>
        <w:autoSpaceDN w:val="0"/>
        <w:adjustRightInd w:val="0"/>
        <w:spacing w:after="200"/>
        <w:ind w:right="283" w:firstLine="709"/>
        <w:jc w:val="both"/>
        <w:rPr>
          <w:b/>
          <w:bCs/>
          <w:color w:val="010000"/>
          <w:lang w:eastAsia="zh-CN"/>
        </w:rPr>
      </w:pPr>
      <w:r w:rsidRPr="00AA1C3F">
        <w:rPr>
          <w:b/>
          <w:color w:val="010000"/>
          <w:lang w:eastAsia="zh-CN"/>
        </w:rPr>
        <w:t>I.</w:t>
      </w:r>
      <w:r w:rsidRPr="00AA1C3F">
        <w:rPr>
          <w:color w:val="010000"/>
          <w:lang w:eastAsia="zh-CN"/>
        </w:rPr>
        <w:t xml:space="preserve"> </w:t>
      </w:r>
      <w:r w:rsidRPr="00AA1C3F">
        <w:rPr>
          <w:b/>
          <w:bCs/>
          <w:color w:val="010000"/>
          <w:lang w:eastAsia="zh-CN"/>
        </w:rPr>
        <w:t>İPTALİ İSTENEN KANUN HÜKMÜ</w:t>
      </w:r>
    </w:p>
    <w:p w:rsidR="0024731C" w:rsidRPr="00AA1C3F" w:rsidRDefault="0024731C" w:rsidP="00AA1C3F">
      <w:pPr>
        <w:overflowPunct w:val="0"/>
        <w:autoSpaceDE w:val="0"/>
        <w:autoSpaceDN w:val="0"/>
        <w:adjustRightInd w:val="0"/>
        <w:spacing w:after="200"/>
        <w:ind w:right="283" w:firstLine="709"/>
        <w:jc w:val="both"/>
        <w:rPr>
          <w:rFonts w:eastAsia="Calibri"/>
          <w:color w:val="010000"/>
          <w:lang w:eastAsia="en-US"/>
        </w:rPr>
      </w:pPr>
      <w:bookmarkStart w:id="2" w:name="_Hlk119487106"/>
      <w:r w:rsidRPr="00AA1C3F">
        <w:rPr>
          <w:color w:val="010000"/>
        </w:rPr>
        <w:t>Kanun</w:t>
      </w:r>
      <w:bookmarkEnd w:id="2"/>
      <w:r w:rsidRPr="00AA1C3F">
        <w:rPr>
          <w:color w:val="010000"/>
        </w:rPr>
        <w:t>’un 37. maddesinin (1) numaralı fıkrasının itiraz konusu birinci cümlesi şöyledir:</w:t>
      </w:r>
    </w:p>
    <w:p w:rsidR="0024731C" w:rsidRPr="00AA1C3F" w:rsidRDefault="00AA1C3F" w:rsidP="00AA1C3F">
      <w:pPr>
        <w:spacing w:after="200"/>
        <w:ind w:right="283" w:firstLine="709"/>
        <w:jc w:val="both"/>
        <w:rPr>
          <w:i/>
          <w:color w:val="010000"/>
          <w:szCs w:val="20"/>
        </w:rPr>
      </w:pPr>
      <w:bookmarkStart w:id="3" w:name="_Hlk118713995"/>
      <w:r w:rsidRPr="00AA1C3F">
        <w:rPr>
          <w:color w:val="010000"/>
          <w:szCs w:val="20"/>
        </w:rPr>
        <w:t xml:space="preserve"> </w:t>
      </w:r>
      <w:r w:rsidR="0024731C" w:rsidRPr="00AA1C3F">
        <w:rPr>
          <w:color w:val="010000"/>
          <w:szCs w:val="20"/>
        </w:rPr>
        <w:t>“</w:t>
      </w:r>
      <w:r w:rsidR="0024731C" w:rsidRPr="00AA1C3F">
        <w:rPr>
          <w:b/>
          <w:i/>
          <w:color w:val="010000"/>
        </w:rPr>
        <w:t>Hükümlü hakkında kurumda, düzenli bir yaşamın sürdürülmesi, güvenliğin ve disiplinin sağlanması bakımından kanun, yönetmelikler ile idarenin uyulmasını emrettiği veya gerekli kıldığı davranış ve tutumları, kusurlu olarak ihlâl ettiğinde, eyleminin niteliği ile ağırlık derecesine göre Kanunda belirtilen disiplin cezaları uygulanır.</w:t>
      </w:r>
      <w:r w:rsidR="0024731C" w:rsidRPr="00AA1C3F">
        <w:rPr>
          <w:color w:val="010000"/>
          <w:szCs w:val="20"/>
        </w:rPr>
        <w:t>”</w:t>
      </w:r>
    </w:p>
    <w:bookmarkEnd w:id="3"/>
    <w:p w:rsidR="0024731C" w:rsidRPr="00AA1C3F" w:rsidRDefault="0024731C" w:rsidP="00AA1C3F">
      <w:pPr>
        <w:spacing w:after="200"/>
        <w:ind w:right="283" w:firstLine="709"/>
        <w:jc w:val="both"/>
        <w:rPr>
          <w:b/>
          <w:bCs/>
          <w:color w:val="010000"/>
          <w:lang w:eastAsia="zh-CN"/>
        </w:rPr>
      </w:pPr>
      <w:r w:rsidRPr="00AA1C3F">
        <w:rPr>
          <w:b/>
          <w:bCs/>
          <w:color w:val="010000"/>
          <w:lang w:eastAsia="zh-CN"/>
        </w:rPr>
        <w:t>II. İLK İNCELEME</w:t>
      </w:r>
    </w:p>
    <w:p w:rsidR="0024731C" w:rsidRPr="00AA1C3F" w:rsidRDefault="0024731C" w:rsidP="00AA1C3F">
      <w:pPr>
        <w:spacing w:after="200"/>
        <w:ind w:right="283" w:firstLine="709"/>
        <w:jc w:val="both"/>
        <w:rPr>
          <w:rFonts w:eastAsia="ヒラギノ明朝 Pro W3"/>
          <w:color w:val="010000"/>
          <w:lang w:eastAsia="en-US"/>
        </w:rPr>
      </w:pPr>
      <w:bookmarkStart w:id="4" w:name="_Hlk38221433"/>
      <w:r w:rsidRPr="00AA1C3F">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w:t>
      </w:r>
      <w:r w:rsidRPr="00AA1C3F">
        <w:rPr>
          <w:bCs/>
          <w:color w:val="010000"/>
        </w:rPr>
        <w:t>İrfan FİDAN</w:t>
      </w:r>
      <w:r w:rsidRPr="00AA1C3F">
        <w:rPr>
          <w:color w:val="010000"/>
        </w:rPr>
        <w:t xml:space="preserve">, Kenan YAŞAR ve Muhterem </w:t>
      </w:r>
      <w:proofErr w:type="spellStart"/>
      <w:r w:rsidRPr="00AA1C3F">
        <w:rPr>
          <w:color w:val="010000"/>
        </w:rPr>
        <w:t>İNCE’nin</w:t>
      </w:r>
      <w:proofErr w:type="spellEnd"/>
      <w:r w:rsidRPr="00AA1C3F">
        <w:rPr>
          <w:color w:val="010000"/>
        </w:rPr>
        <w:t xml:space="preserve"> katılımlarıyla 9/11/2022 tarihinde yapılan </w:t>
      </w:r>
      <w:r w:rsidRPr="00AA1C3F">
        <w:rPr>
          <w:bCs/>
          <w:iCs/>
          <w:color w:val="010000"/>
        </w:rPr>
        <w:t xml:space="preserve">ilk inceleme toplantısında </w:t>
      </w:r>
      <w:r w:rsidRPr="00AA1C3F">
        <w:rPr>
          <w:rFonts w:eastAsia="ヒラギノ明朝 Pro W3"/>
          <w:color w:val="010000"/>
        </w:rPr>
        <w:t>dosyada eksiklik bulunmadığından işin esasının incelenmesine OYBİRLİĞİYLE karar verilmiştir.</w:t>
      </w:r>
    </w:p>
    <w:bookmarkEnd w:id="4"/>
    <w:p w:rsidR="0024731C" w:rsidRPr="00AA1C3F" w:rsidRDefault="0024731C" w:rsidP="00AA1C3F">
      <w:pPr>
        <w:spacing w:after="200"/>
        <w:ind w:right="283" w:firstLine="709"/>
        <w:jc w:val="both"/>
        <w:rPr>
          <w:b/>
          <w:color w:val="010000"/>
          <w:shd w:val="clear" w:color="auto" w:fill="FFFFFF"/>
          <w:lang w:eastAsia="zh-CN"/>
        </w:rPr>
      </w:pPr>
      <w:r w:rsidRPr="00AA1C3F">
        <w:rPr>
          <w:b/>
          <w:color w:val="010000"/>
          <w:lang w:eastAsia="zh-CN"/>
        </w:rPr>
        <w:t>III.</w:t>
      </w:r>
      <w:r w:rsidRPr="00AA1C3F">
        <w:rPr>
          <w:b/>
          <w:bCs/>
          <w:color w:val="010000"/>
          <w:lang w:eastAsia="zh-CN"/>
        </w:rPr>
        <w:t xml:space="preserve"> </w:t>
      </w:r>
      <w:r w:rsidRPr="00AA1C3F">
        <w:rPr>
          <w:b/>
          <w:color w:val="010000"/>
          <w:shd w:val="clear" w:color="auto" w:fill="FFFFFF"/>
          <w:lang w:eastAsia="zh-CN"/>
        </w:rPr>
        <w:t>ESASIN İNCELENMESİ</w:t>
      </w:r>
    </w:p>
    <w:p w:rsidR="0024731C" w:rsidRPr="00AA1C3F" w:rsidRDefault="0024731C" w:rsidP="00AA1C3F">
      <w:pPr>
        <w:spacing w:after="200"/>
        <w:ind w:right="283" w:firstLine="709"/>
        <w:jc w:val="both"/>
        <w:rPr>
          <w:b/>
          <w:i/>
          <w:color w:val="010000"/>
          <w:lang w:eastAsia="zh-CN"/>
        </w:rPr>
      </w:pPr>
      <w:r w:rsidRPr="00AA1C3F">
        <w:rPr>
          <w:color w:val="010000"/>
        </w:rPr>
        <w:t xml:space="preserve">2. Başvuru kararı ve ekleri, Raportör </w:t>
      </w:r>
      <w:r w:rsidRPr="00AA1C3F">
        <w:rPr>
          <w:color w:val="010000"/>
          <w:shd w:val="clear" w:color="auto" w:fill="FFFFFF"/>
          <w:lang w:eastAsia="zh-CN"/>
        </w:rPr>
        <w:t>Ömer GEDİK</w:t>
      </w:r>
      <w:r w:rsidRPr="00AA1C3F">
        <w:rPr>
          <w:color w:val="010000"/>
        </w:rPr>
        <w:t xml:space="preserve"> tarafından hazırlanan işin esasına ilişkin rapor, itiraz konusu kanun hükmü, dayanılan Anayasa kuralları ve bunların gerekçeleri ile diğer yasama belgeleri okunup incelendikten sonra gereği görüşülüp düşünüldü:</w:t>
      </w:r>
      <w:r w:rsidRPr="00AA1C3F">
        <w:rPr>
          <w:b/>
          <w:i/>
          <w:color w:val="010000"/>
          <w:lang w:eastAsia="zh-CN"/>
        </w:rPr>
        <w:t xml:space="preserve"> </w:t>
      </w:r>
    </w:p>
    <w:p w:rsidR="0024731C" w:rsidRPr="00AA1C3F" w:rsidRDefault="0024731C" w:rsidP="00AA1C3F">
      <w:pPr>
        <w:spacing w:after="200"/>
        <w:ind w:right="283" w:firstLine="709"/>
        <w:jc w:val="both"/>
        <w:rPr>
          <w:b/>
          <w:color w:val="010000"/>
          <w:lang w:eastAsia="zh-CN"/>
        </w:rPr>
      </w:pPr>
      <w:r w:rsidRPr="00AA1C3F">
        <w:rPr>
          <w:b/>
          <w:color w:val="010000"/>
        </w:rPr>
        <w:t xml:space="preserve">A. </w:t>
      </w:r>
      <w:r w:rsidRPr="00AA1C3F">
        <w:rPr>
          <w:b/>
          <w:color w:val="010000"/>
          <w:lang w:eastAsia="zh-CN"/>
        </w:rPr>
        <w:t>Anlam ve Kapsam</w:t>
      </w:r>
    </w:p>
    <w:p w:rsidR="0024731C" w:rsidRPr="00AA1C3F" w:rsidRDefault="0024731C" w:rsidP="00AA1C3F">
      <w:pPr>
        <w:spacing w:after="200"/>
        <w:ind w:right="283" w:firstLine="709"/>
        <w:jc w:val="both"/>
        <w:rPr>
          <w:color w:val="010000"/>
          <w:szCs w:val="20"/>
        </w:rPr>
      </w:pPr>
      <w:r w:rsidRPr="00AA1C3F">
        <w:rPr>
          <w:color w:val="010000"/>
          <w:shd w:val="clear" w:color="auto" w:fill="FFFFFF"/>
        </w:rPr>
        <w:t xml:space="preserve">3. </w:t>
      </w:r>
      <w:r w:rsidRPr="00AA1C3F">
        <w:rPr>
          <w:color w:val="010000"/>
        </w:rPr>
        <w:t>Kanun’un “</w:t>
      </w:r>
      <w:r w:rsidRPr="00AA1C3F">
        <w:rPr>
          <w:i/>
          <w:color w:val="010000"/>
        </w:rPr>
        <w:t>Disiplin cezalarının niteliği ve uygulama koşulları</w:t>
      </w:r>
      <w:r w:rsidRPr="00AA1C3F">
        <w:rPr>
          <w:color w:val="010000"/>
        </w:rPr>
        <w:t>” başlıklı 37. maddesinin (1) numaralı fıkrasının itiraz konusu birinci cümlesinde</w:t>
      </w:r>
      <w:r w:rsidRPr="00AA1C3F">
        <w:rPr>
          <w:color w:val="010000"/>
          <w:shd w:val="clear" w:color="auto" w:fill="FFFFFF"/>
        </w:rPr>
        <w:t xml:space="preserve"> </w:t>
      </w:r>
      <w:r w:rsidRPr="00AA1C3F">
        <w:rPr>
          <w:color w:val="010000"/>
          <w:szCs w:val="20"/>
        </w:rPr>
        <w:t>hükümlü hakkında ceza infaz kurumunda, düzenli bir yaşamın sürdürülmesi, güvenliğin ve disiplinin sağlanması bakımından kanun, yönetmelikler ile idarenin uyulmasını emrettiği veya gerekli kıldığı davranış ve tutumları kusurlu olarak ihlal ettiğinde eyleminin niteliği ile ağırlık derecesine göre Kanun’da belirtilen disiplin cezalarının uygulanacağı öngörülmüştür.</w:t>
      </w:r>
    </w:p>
    <w:p w:rsidR="0024731C" w:rsidRPr="00AA1C3F" w:rsidRDefault="0024731C" w:rsidP="00AA1C3F">
      <w:pPr>
        <w:spacing w:after="200"/>
        <w:ind w:right="283" w:firstLine="709"/>
        <w:jc w:val="both"/>
        <w:rPr>
          <w:color w:val="010000"/>
        </w:rPr>
      </w:pPr>
      <w:r w:rsidRPr="00AA1C3F">
        <w:rPr>
          <w:color w:val="010000"/>
          <w:shd w:val="clear" w:color="auto" w:fill="FFFFFF"/>
        </w:rPr>
        <w:t xml:space="preserve">4. </w:t>
      </w:r>
      <w:r w:rsidRPr="00AA1C3F">
        <w:rPr>
          <w:color w:val="010000"/>
          <w:lang w:eastAsia="zh-CN"/>
        </w:rPr>
        <w:t>Kanun’un 38. maddesinin (1) numaralı fıkrasında ç</w:t>
      </w:r>
      <w:r w:rsidRPr="00AA1C3F">
        <w:rPr>
          <w:color w:val="010000"/>
        </w:rPr>
        <w:t xml:space="preserve">ocuklar haricindeki hükümlüler hakkında uygulanabilecek disiplin cezaları gösterilmiş ve bu cezaların ağırlık derecesine göre; </w:t>
      </w:r>
      <w:r w:rsidRPr="00AA1C3F">
        <w:rPr>
          <w:color w:val="010000"/>
        </w:rPr>
        <w:lastRenderedPageBreak/>
        <w:t xml:space="preserve">kınama, bazı etkinliklere katılmaktan alıkoyma, ücret karşılığı çalışılan işten yoksun bırakma, haberleşme veya iletişim araçlarından yoksun bırakma veya kısıtlama, ziyaretçi kabulünden yoksun bırakma ve hücreye koyma olduğu belirtilmiştir. </w:t>
      </w:r>
    </w:p>
    <w:p w:rsidR="0024731C" w:rsidRPr="00AA1C3F" w:rsidRDefault="0024731C" w:rsidP="00AA1C3F">
      <w:pPr>
        <w:spacing w:after="200"/>
        <w:ind w:right="283" w:firstLine="709"/>
        <w:jc w:val="both"/>
        <w:rPr>
          <w:color w:val="010000"/>
        </w:rPr>
      </w:pPr>
      <w:r w:rsidRPr="00AA1C3F">
        <w:rPr>
          <w:color w:val="010000"/>
        </w:rPr>
        <w:t>5. Kanun’un 39. ila 44. maddelerinde de söz konusu disiplin cezalarının her biri ayrı ayrı düzenlenmiş olup bu kapsamda her bir disiplin cezasının neyi ifade ettiği ile hangi eylemlerin o cezayı gerektirdiği, ayrıca -kınama cezası dışındaki cezalar bakımından- cezanın alt ve üst sınırlarının ne olduğu ilgili maddesinde gösterilmiştir.</w:t>
      </w:r>
      <w:r w:rsidR="00AA1C3F" w:rsidRPr="00AA1C3F">
        <w:rPr>
          <w:color w:val="010000"/>
        </w:rPr>
        <w:t xml:space="preserve"> </w:t>
      </w:r>
    </w:p>
    <w:p w:rsidR="0024731C" w:rsidRPr="00AA1C3F" w:rsidRDefault="0024731C" w:rsidP="00AA1C3F">
      <w:pPr>
        <w:spacing w:after="200"/>
        <w:ind w:right="283" w:firstLine="709"/>
        <w:jc w:val="both"/>
        <w:rPr>
          <w:color w:val="010000"/>
          <w:spacing w:val="-2"/>
        </w:rPr>
      </w:pPr>
      <w:r w:rsidRPr="00AA1C3F">
        <w:rPr>
          <w:rFonts w:eastAsia="Calibri"/>
          <w:color w:val="010000"/>
          <w:lang w:eastAsia="en-US"/>
        </w:rPr>
        <w:t>6. Diğer yandan ç</w:t>
      </w:r>
      <w:r w:rsidRPr="00AA1C3F">
        <w:rPr>
          <w:bCs/>
          <w:color w:val="010000"/>
        </w:rPr>
        <w:t>ocuk hükümlüler hakkında uygulanabilecek disiplin cezaları ile bu cezaları gerektiren eylemler de Kanun’un 46. maddesinde gösterilmiştir. Anılan maddeye göre söz konusu cezalar uyarma, kınama, o</w:t>
      </w:r>
      <w:r w:rsidRPr="00AA1C3F">
        <w:rPr>
          <w:color w:val="010000"/>
        </w:rPr>
        <w:t>narma, tazmin etme ve eski hâle getirme, harcamalarına sınır koyma, bazı etkinliklere katılmaktan alıkoyma, teşvik esaslı ayrıcalıkları geri alma, iznin ertelenmesi veya ziyaretlerin kapalı şekilde yaptırılması, kapalı ceza infaz kurumuna iade ve o</w:t>
      </w:r>
      <w:r w:rsidRPr="00AA1C3F">
        <w:rPr>
          <w:color w:val="010000"/>
          <w:spacing w:val="-2"/>
        </w:rPr>
        <w:t>daya kapatmadır.</w:t>
      </w:r>
    </w:p>
    <w:p w:rsidR="0024731C" w:rsidRPr="00AA1C3F" w:rsidRDefault="0024731C" w:rsidP="00AA1C3F">
      <w:pPr>
        <w:spacing w:after="200"/>
        <w:ind w:right="283" w:firstLine="709"/>
        <w:jc w:val="both"/>
        <w:rPr>
          <w:rFonts w:eastAsia="Calibri"/>
          <w:color w:val="010000"/>
          <w:lang w:eastAsia="en-US"/>
        </w:rPr>
      </w:pPr>
      <w:r w:rsidRPr="00AA1C3F">
        <w:rPr>
          <w:color w:val="010000"/>
          <w:shd w:val="clear" w:color="auto" w:fill="FFFFFF"/>
        </w:rPr>
        <w:t>7. Kural, hükümlünün disiplin yönünden cezalandırılmasındaki temel prensipleri belirlemekte, başka bir ifadeyle Kanun kapsamında hükümlülere uygulanabilecek tüm disiplin cezaları bakımından genel bir hüküm niteliği taşımaktadır.</w:t>
      </w:r>
      <w:r w:rsidR="00AA1C3F" w:rsidRPr="00AA1C3F">
        <w:rPr>
          <w:color w:val="010000"/>
          <w:shd w:val="clear" w:color="auto" w:fill="FFFFFF"/>
        </w:rPr>
        <w:t xml:space="preserve"> </w:t>
      </w:r>
      <w:r w:rsidRPr="00AA1C3F">
        <w:rPr>
          <w:color w:val="010000"/>
          <w:shd w:val="clear" w:color="auto" w:fill="FFFFFF"/>
        </w:rPr>
        <w:t>Buna göre k</w:t>
      </w:r>
      <w:r w:rsidRPr="00AA1C3F">
        <w:rPr>
          <w:rFonts w:eastAsia="Calibri"/>
          <w:color w:val="010000"/>
          <w:lang w:eastAsia="en-US"/>
        </w:rPr>
        <w:t xml:space="preserve">ural uyarınca </w:t>
      </w:r>
      <w:r w:rsidRPr="00AA1C3F">
        <w:rPr>
          <w:color w:val="010000"/>
        </w:rPr>
        <w:t xml:space="preserve">disiplin suçu teşkil eden fiilleri kusurlu olarak işleyen hükümlü </w:t>
      </w:r>
      <w:r w:rsidRPr="00AA1C3F">
        <w:rPr>
          <w:rFonts w:eastAsia="Calibri"/>
          <w:color w:val="010000"/>
          <w:lang w:eastAsia="en-US"/>
        </w:rPr>
        <w:t>eyleminin niteliği ile ağırlık derecesine göre Kanun’da yer alan disiplin cezaları ile cezalandırılacaktır.</w:t>
      </w:r>
    </w:p>
    <w:p w:rsidR="0024731C" w:rsidRPr="00AA1C3F" w:rsidRDefault="0024731C" w:rsidP="00AA1C3F">
      <w:pPr>
        <w:spacing w:after="200"/>
        <w:ind w:right="283" w:firstLine="709"/>
        <w:jc w:val="both"/>
        <w:rPr>
          <w:b/>
          <w:color w:val="010000"/>
          <w:lang w:eastAsia="zh-CN"/>
        </w:rPr>
      </w:pPr>
      <w:r w:rsidRPr="00AA1C3F">
        <w:rPr>
          <w:b/>
          <w:color w:val="010000"/>
          <w:lang w:eastAsia="zh-CN"/>
        </w:rPr>
        <w:t>B. İtirazın Gerekçesi</w:t>
      </w:r>
    </w:p>
    <w:p w:rsidR="0024731C" w:rsidRPr="00AA1C3F" w:rsidRDefault="0024731C" w:rsidP="00AA1C3F">
      <w:pPr>
        <w:spacing w:after="200"/>
        <w:ind w:right="283" w:firstLine="709"/>
        <w:jc w:val="both"/>
        <w:rPr>
          <w:color w:val="010000"/>
          <w:szCs w:val="28"/>
          <w:lang w:eastAsia="zh-CN"/>
        </w:rPr>
      </w:pPr>
      <w:r w:rsidRPr="00AA1C3F">
        <w:rPr>
          <w:color w:val="010000"/>
          <w:szCs w:val="28"/>
          <w:lang w:eastAsia="zh-CN"/>
        </w:rPr>
        <w:t>8. Başvuru kararında özetle; itiraz konusu kuralda disiplin cezası verilebilmesi için hükümlünün kusurlu olması şartının arandığı, buna karşılık kusuru ortadan kaldırmamakla birlikte azaltan sebeplerin gerçekleşmesi durumu ile ilgili herhangi bir düzenlemeye yer verilmediğinden hükümlünün haksız tahrik altında disiplin suçu işlemesi hâlinde daha az disiplin cezası uygulanmasının</w:t>
      </w:r>
      <w:r w:rsidR="00AA1C3F" w:rsidRPr="00AA1C3F">
        <w:rPr>
          <w:color w:val="010000"/>
          <w:szCs w:val="28"/>
          <w:lang w:eastAsia="zh-CN"/>
        </w:rPr>
        <w:t xml:space="preserve"> </w:t>
      </w:r>
      <w:r w:rsidRPr="00AA1C3F">
        <w:rPr>
          <w:color w:val="010000"/>
          <w:szCs w:val="28"/>
          <w:lang w:eastAsia="zh-CN"/>
        </w:rPr>
        <w:t xml:space="preserve">mümkün olamayacağı, bunun da farklı kusur oranına sahip hükümlülere aynı disiplin cezasının verilmesi sonucuna yol açacağı belirtilerek kuralın Anayasa’nın </w:t>
      </w:r>
      <w:r w:rsidRPr="00AA1C3F">
        <w:rPr>
          <w:color w:val="010000"/>
        </w:rPr>
        <w:t xml:space="preserve">2. ve 10. </w:t>
      </w:r>
      <w:r w:rsidRPr="00AA1C3F">
        <w:rPr>
          <w:color w:val="010000"/>
          <w:szCs w:val="28"/>
          <w:lang w:eastAsia="zh-CN"/>
        </w:rPr>
        <w:t xml:space="preserve">maddelerine </w:t>
      </w:r>
      <w:r w:rsidRPr="00AA1C3F">
        <w:rPr>
          <w:color w:val="010000"/>
        </w:rPr>
        <w:t>aykırı olduğu ileri sürülmüştür.</w:t>
      </w:r>
    </w:p>
    <w:p w:rsidR="0024731C" w:rsidRPr="00AA1C3F" w:rsidRDefault="0024731C" w:rsidP="00AA1C3F">
      <w:pPr>
        <w:spacing w:after="200"/>
        <w:ind w:right="283" w:firstLine="709"/>
        <w:jc w:val="both"/>
        <w:rPr>
          <w:b/>
          <w:color w:val="010000"/>
          <w:szCs w:val="28"/>
          <w:lang w:eastAsia="zh-CN"/>
        </w:rPr>
      </w:pPr>
      <w:r w:rsidRPr="00AA1C3F">
        <w:rPr>
          <w:b/>
          <w:color w:val="010000"/>
          <w:lang w:eastAsia="zh-CN"/>
        </w:rPr>
        <w:t>C. Anayasa’ya Aykırılık Sorunu</w:t>
      </w:r>
    </w:p>
    <w:p w:rsidR="0024731C" w:rsidRPr="00AA1C3F" w:rsidRDefault="0024731C" w:rsidP="00AA1C3F">
      <w:pPr>
        <w:spacing w:after="200"/>
        <w:ind w:right="283" w:firstLine="709"/>
        <w:jc w:val="both"/>
        <w:rPr>
          <w:color w:val="010000"/>
        </w:rPr>
      </w:pPr>
      <w:r w:rsidRPr="00AA1C3F">
        <w:rPr>
          <w:color w:val="010000"/>
        </w:rPr>
        <w:t>9. Anayasa’nın 2. maddesinde belirtilen</w:t>
      </w:r>
      <w:r w:rsidR="00AA1C3F" w:rsidRPr="00AA1C3F">
        <w:rPr>
          <w:color w:val="010000"/>
        </w:rPr>
        <w:t xml:space="preserve"> </w:t>
      </w:r>
      <w:r w:rsidRPr="00AA1C3F">
        <w:rPr>
          <w:color w:val="010000"/>
        </w:rPr>
        <w:t>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24731C" w:rsidRPr="00AA1C3F" w:rsidRDefault="0024731C" w:rsidP="00AA1C3F">
      <w:pPr>
        <w:spacing w:after="200"/>
        <w:ind w:right="283" w:firstLine="709"/>
        <w:jc w:val="both"/>
        <w:rPr>
          <w:color w:val="010000"/>
        </w:rPr>
      </w:pPr>
      <w:r w:rsidRPr="00AA1C3F">
        <w:rPr>
          <w:color w:val="010000"/>
          <w:shd w:val="clear" w:color="auto" w:fill="FFFFFF"/>
        </w:rPr>
        <w:t xml:space="preserve">10. Hukuk devletinin temel unsurlarından biri de </w:t>
      </w:r>
      <w:r w:rsidRPr="00AA1C3F">
        <w:rPr>
          <w:i/>
          <w:iCs/>
          <w:color w:val="010000"/>
        </w:rPr>
        <w:t>belirlilik</w:t>
      </w:r>
      <w:r w:rsidRPr="00AA1C3F">
        <w:rPr>
          <w:color w:val="010000"/>
          <w:shd w:val="clear" w:color="auto" w:fill="FFFFFF"/>
        </w:rPr>
        <w:t xml:space="preserve"> ilkesidir. Bu ilkeye göre yasal düzenlemelerin hem kişiler hem de idare yönünden herhangi bir duraksamaya ve kuşkuya yer vermeyecek şekilde açık, net, anlaşılır, uygulanabilir ve nesnel olması, ayrıca kamu otoritelerinin keyfî uygulamalarına karşı koruyucu önlem içermesi gerekir. Belirlilik ilkesi, hukuksal güvenlikle bağlantılı olup kişinin kanundan belirli bir kesinlik içinde hangi somut eylem ve olguya hangi hukuksal yaptırımın veya sonucun bağlandığını, bunların idareye hangi müdahale yetkisini verdiğini bilmesini zorunlu kılmaktadır. Kişi ancak bu durumda kendisine düşen yükümlülükleri öngörebilir ve davranışlarını ayarlayabilir. Hukuki güvenlik ilkesi bireylerin tüm eylem ve işlemlerinde devlete güven duyabilmesini, devletin de yasal düzenlemelerinde bu güven duygusunu zedeleyici yöntemlerden kaçınmasını gerekli kılar (AYM, E.2020/80, K.2021/34, 29/4/2021, § 25).</w:t>
      </w:r>
    </w:p>
    <w:p w:rsidR="0024731C" w:rsidRPr="00AA1C3F" w:rsidRDefault="0024731C" w:rsidP="00AA1C3F">
      <w:pPr>
        <w:spacing w:after="200"/>
        <w:ind w:right="283" w:firstLine="709"/>
        <w:jc w:val="both"/>
        <w:rPr>
          <w:color w:val="010000"/>
          <w:shd w:val="clear" w:color="auto" w:fill="FFFFFF"/>
        </w:rPr>
      </w:pPr>
      <w:r w:rsidRPr="00AA1C3F">
        <w:rPr>
          <w:color w:val="010000"/>
        </w:rPr>
        <w:t>11. Kural, hükümlülerin Kanun’da belirlenmiş disiplin suçu oluşturacak eylemleri kusurlu olarak gerçekleştirmeleri hâlinde eyleminin niteliğine ve ağırlığına göre yine aynı Kanun’da yer alan cezalarla cezalandırılmalarını öngörmektedir.</w:t>
      </w:r>
      <w:r w:rsidRPr="00AA1C3F">
        <w:rPr>
          <w:color w:val="010000"/>
          <w:shd w:val="clear" w:color="auto" w:fill="FFFFFF"/>
        </w:rPr>
        <w:t xml:space="preserve"> Bu itibarla kural uyarınca </w:t>
      </w:r>
      <w:r w:rsidRPr="00AA1C3F">
        <w:rPr>
          <w:color w:val="010000"/>
        </w:rPr>
        <w:t xml:space="preserve">eyleminin nitelik ve </w:t>
      </w:r>
      <w:r w:rsidRPr="00AA1C3F">
        <w:rPr>
          <w:color w:val="010000"/>
        </w:rPr>
        <w:lastRenderedPageBreak/>
        <w:t>ağırlığına göre cezalandırılması öngörülen</w:t>
      </w:r>
      <w:r w:rsidRPr="00AA1C3F">
        <w:rPr>
          <w:color w:val="010000"/>
          <w:shd w:val="clear" w:color="auto" w:fill="FFFFFF"/>
        </w:rPr>
        <w:t xml:space="preserve"> kişi kusurlu olarak gerçekleştirdiği hangi somut fiile hangi sonucun bağlandığını bilebilecek durumda olduğundan kural bu yönüyle bir belirsizlik içermemektedir. </w:t>
      </w:r>
    </w:p>
    <w:p w:rsidR="0024731C" w:rsidRPr="00AA1C3F" w:rsidRDefault="0024731C" w:rsidP="00AA1C3F">
      <w:pPr>
        <w:spacing w:after="200"/>
        <w:ind w:right="283" w:firstLine="709"/>
        <w:jc w:val="both"/>
        <w:rPr>
          <w:rFonts w:eastAsia="Calibri"/>
          <w:color w:val="010000"/>
          <w:shd w:val="clear" w:color="auto" w:fill="FFFFFF"/>
          <w:lang w:eastAsia="en-US"/>
        </w:rPr>
      </w:pPr>
      <w:r w:rsidRPr="00AA1C3F">
        <w:rPr>
          <w:color w:val="010000"/>
          <w:lang w:eastAsia="zh-CN"/>
        </w:rPr>
        <w:t>12. Diğer yandan h</w:t>
      </w:r>
      <w:r w:rsidRPr="00AA1C3F">
        <w:rPr>
          <w:color w:val="010000"/>
        </w:rPr>
        <w:t xml:space="preserve">ukuk devletinde ceza hukukuna ilişkin düzenlemelerde olduğu gibi idari yaptırımlar ve bu kapsamda disiplin cezaları açısından da cezalandırmaya ilişkin temel prensiplerin belirlenmesi </w:t>
      </w:r>
      <w:r w:rsidRPr="00AA1C3F">
        <w:rPr>
          <w:rFonts w:eastAsia="Calibri"/>
          <w:color w:val="010000"/>
          <w:shd w:val="clear" w:color="auto" w:fill="FFFFFF"/>
          <w:lang w:eastAsia="en-US"/>
        </w:rPr>
        <w:t>anayasal ilke ve sınırlar içinde kanun koyucunun takdirindedir.</w:t>
      </w:r>
    </w:p>
    <w:p w:rsidR="0024731C" w:rsidRPr="00AA1C3F" w:rsidRDefault="0024731C" w:rsidP="00AA1C3F">
      <w:pPr>
        <w:spacing w:after="200"/>
        <w:ind w:right="283" w:firstLine="709"/>
        <w:jc w:val="both"/>
        <w:rPr>
          <w:color w:val="010000"/>
        </w:rPr>
      </w:pPr>
      <w:r w:rsidRPr="00AA1C3F">
        <w:rPr>
          <w:color w:val="010000"/>
          <w:shd w:val="clear" w:color="auto" w:fill="FFFFFF"/>
        </w:rPr>
        <w:t>13. Ancak k</w:t>
      </w:r>
      <w:r w:rsidRPr="00AA1C3F">
        <w:rPr>
          <w:color w:val="010000"/>
          <w:spacing w:val="-1"/>
        </w:rPr>
        <w:t xml:space="preserve">anun koyucu, </w:t>
      </w:r>
      <w:r w:rsidRPr="00AA1C3F">
        <w:rPr>
          <w:color w:val="010000"/>
          <w:shd w:val="clear" w:color="auto" w:fill="FFFFFF"/>
        </w:rPr>
        <w:t>takdir yetkisi kapsamındaki bu tür düzenlemeleri yaparken</w:t>
      </w:r>
      <w:r w:rsidR="00AA1C3F" w:rsidRPr="00AA1C3F">
        <w:rPr>
          <w:color w:val="010000"/>
          <w:shd w:val="clear" w:color="auto" w:fill="FFFFFF"/>
        </w:rPr>
        <w:t xml:space="preserve"> </w:t>
      </w:r>
      <w:r w:rsidRPr="00AA1C3F">
        <w:rPr>
          <w:color w:val="010000"/>
          <w:spacing w:val="-1"/>
        </w:rPr>
        <w:t xml:space="preserve">hukuk devleti ilkesinin bir gereği olan ölçülülük ilkesiyle bağlıdır. Bu ilke ise </w:t>
      </w:r>
      <w:r w:rsidRPr="00AA1C3F">
        <w:rPr>
          <w:i/>
          <w:iCs/>
          <w:color w:val="010000"/>
          <w:spacing w:val="-1"/>
        </w:rPr>
        <w:t>elverişlilik</w:t>
      </w:r>
      <w:r w:rsidRPr="00AA1C3F">
        <w:rPr>
          <w:color w:val="010000"/>
          <w:spacing w:val="-1"/>
        </w:rPr>
        <w:t xml:space="preserve">, </w:t>
      </w:r>
      <w:r w:rsidRPr="00AA1C3F">
        <w:rPr>
          <w:i/>
          <w:iCs/>
          <w:color w:val="010000"/>
          <w:spacing w:val="-1"/>
        </w:rPr>
        <w:t>gereklilik</w:t>
      </w:r>
      <w:r w:rsidRPr="00AA1C3F">
        <w:rPr>
          <w:color w:val="010000"/>
          <w:spacing w:val="-1"/>
        </w:rPr>
        <w:t xml:space="preserve"> ve </w:t>
      </w:r>
      <w:r w:rsidRPr="00AA1C3F">
        <w:rPr>
          <w:i/>
          <w:iCs/>
          <w:color w:val="010000"/>
          <w:spacing w:val="-1"/>
        </w:rPr>
        <w:t>orantılılık</w:t>
      </w:r>
      <w:r w:rsidRPr="00AA1C3F">
        <w:rPr>
          <w:color w:val="010000"/>
          <w:spacing w:val="-1"/>
        </w:rPr>
        <w:t xml:space="preserve"> olmak üzere üç alt ilkeden oluşmaktadır. </w:t>
      </w:r>
      <w:r w:rsidRPr="00AA1C3F">
        <w:rPr>
          <w:i/>
          <w:iCs/>
          <w:color w:val="010000"/>
          <w:spacing w:val="-1"/>
        </w:rPr>
        <w:t>Elverişlilik</w:t>
      </w:r>
      <w:r w:rsidRPr="00AA1C3F">
        <w:rPr>
          <w:color w:val="010000"/>
          <w:spacing w:val="-1"/>
        </w:rPr>
        <w:t xml:space="preserve"> getirilen kuralın ulaşılmak istenen amacı gerçekleştirmek için elverişli olmasını, </w:t>
      </w:r>
      <w:r w:rsidRPr="00AA1C3F">
        <w:rPr>
          <w:i/>
          <w:iCs/>
          <w:color w:val="010000"/>
          <w:spacing w:val="-1"/>
        </w:rPr>
        <w:t>gereklilik</w:t>
      </w:r>
      <w:r w:rsidRPr="00AA1C3F">
        <w:rPr>
          <w:color w:val="010000"/>
          <w:spacing w:val="-1"/>
        </w:rPr>
        <w:t xml:space="preserve"> söz konusu </w:t>
      </w:r>
      <w:r w:rsidRPr="00AA1C3F">
        <w:rPr>
          <w:color w:val="010000"/>
          <w:shd w:val="clear" w:color="auto" w:fill="FFFFFF"/>
        </w:rPr>
        <w:t>amaca daha hafif bir düzenleme ile ulaşılmasının mümkün olmamasını,</w:t>
      </w:r>
      <w:r w:rsidRPr="00AA1C3F">
        <w:rPr>
          <w:color w:val="010000"/>
          <w:spacing w:val="-1"/>
        </w:rPr>
        <w:t xml:space="preserve"> </w:t>
      </w:r>
      <w:r w:rsidRPr="00AA1C3F">
        <w:rPr>
          <w:i/>
          <w:iCs/>
          <w:color w:val="010000"/>
          <w:spacing w:val="-1"/>
        </w:rPr>
        <w:t>orantılılık</w:t>
      </w:r>
      <w:r w:rsidRPr="00AA1C3F">
        <w:rPr>
          <w:color w:val="010000"/>
          <w:spacing w:val="-1"/>
        </w:rPr>
        <w:t xml:space="preserve"> ise getirilen kural ile ulaşılmak istenen amaç arasında olması gereken ölçüyü ifade etmektedir. Buna göre bir kuralda öngörülen düzenleme ile ulaşılmak istenen amaç arasında ölçülülük ilkesi gereğince makul bir dengenin bulunması zorunludur </w:t>
      </w:r>
      <w:r w:rsidRPr="00AA1C3F">
        <w:rPr>
          <w:color w:val="010000"/>
          <w:shd w:val="clear" w:color="auto" w:fill="FFFFFF"/>
        </w:rPr>
        <w:t>(benzer yöndeki değerlendirme için bkz. AYM, E.2020/95, K.2022/3, 26/1/2022, § 17).</w:t>
      </w:r>
    </w:p>
    <w:p w:rsidR="0024731C" w:rsidRPr="00AA1C3F" w:rsidRDefault="0024731C" w:rsidP="00AA1C3F">
      <w:pPr>
        <w:spacing w:after="200"/>
        <w:ind w:right="283" w:firstLine="709"/>
        <w:jc w:val="both"/>
        <w:textAlignment w:val="baseline"/>
        <w:rPr>
          <w:color w:val="010000"/>
          <w:shd w:val="clear" w:color="auto" w:fill="FFFFFF"/>
        </w:rPr>
      </w:pPr>
      <w:r w:rsidRPr="00AA1C3F">
        <w:rPr>
          <w:color w:val="010000"/>
        </w:rPr>
        <w:t xml:space="preserve">14. Ceza infaz kurumlarının belli suçlardan mahkûm olan kişilerin hapis cezalarının infaz edildiği ve bu kapsamda çok sayıda hükümlünün bir arada yaşadığı yerler olduğu gözetildiğinde </w:t>
      </w:r>
      <w:r w:rsidRPr="00AA1C3F">
        <w:rPr>
          <w:color w:val="010000"/>
          <w:shd w:val="clear" w:color="auto" w:fill="FFFFFF"/>
        </w:rPr>
        <w:t xml:space="preserve">ceza infaz kurumlarında disiplinin sağlanmasının hem idare hem de mahkûmların güvenliği için önemi yadsınamaz. Dolayısıyla hükümlülerin </w:t>
      </w:r>
      <w:r w:rsidRPr="00AA1C3F">
        <w:rPr>
          <w:color w:val="010000"/>
        </w:rPr>
        <w:t xml:space="preserve">disiplinsizlik teşkil eden bazı tutum ve davranışlarının cezalandırılmasını öngören kuralla ceza infaz kurumlarında düzenli bir yaşamın sürdürülmesi ile güvenliğin ve disiplin sağlanmasının, böylece kurumun görev alanındaki kamu hizmetinin sağlıklı bir biçimde yürütülmesinin amaçlandığı anlaşılmaktadır. </w:t>
      </w:r>
      <w:r w:rsidRPr="00AA1C3F">
        <w:rPr>
          <w:color w:val="010000"/>
          <w:shd w:val="clear" w:color="auto" w:fill="FFFFFF"/>
        </w:rPr>
        <w:t xml:space="preserve">Bu itibarla kuralın kamu düzeninin korunması ve sağlanması şeklindeki meşru bir amaca yönelik olduğu görülmektedir. </w:t>
      </w:r>
    </w:p>
    <w:p w:rsidR="0024731C" w:rsidRPr="00AA1C3F" w:rsidRDefault="0024731C" w:rsidP="00AA1C3F">
      <w:pPr>
        <w:spacing w:after="200"/>
        <w:ind w:right="283" w:firstLine="709"/>
        <w:jc w:val="both"/>
        <w:textAlignment w:val="baseline"/>
        <w:rPr>
          <w:color w:val="010000"/>
          <w:shd w:val="clear" w:color="auto" w:fill="FFFFFF"/>
        </w:rPr>
      </w:pPr>
      <w:r w:rsidRPr="00AA1C3F">
        <w:rPr>
          <w:color w:val="010000"/>
        </w:rPr>
        <w:t xml:space="preserve">15. Kusurlu davranış veya tutumlarıyla ceza infaz kurumlarının kurumsal düzeninin bozulmasına yol açabilecek disiplinsizlik hâllerinde bulunan hükümlülerin eylemin niteliği ve ağırlık derecesine göre Kanun’da belirtilen kınama, bazı etkinliklere katılmaktan alıkoyma, ücret karşılığı çalışılan işten yoksun bırakma, haberleşme veya iletişim araçlarından yoksun bırakma veya kısıtlama, ziyaretçi kabulünden yoksun bırakma ve hücreye koyma disiplin cezalarından biri ile cezalandırılmasının öngörülmesi söz konusu cezaların etki ve sonuçları gözetildiğinde bu tür </w:t>
      </w:r>
      <w:r w:rsidRPr="00AA1C3F">
        <w:rPr>
          <w:color w:val="010000"/>
          <w:shd w:val="clear" w:color="auto" w:fill="FFFFFF"/>
        </w:rPr>
        <w:t>fiillerde bulunulmasını engelleyici ve caydırıcı nitelikte olduğundan dava konusu kuralın, bu kuralla ulaşılmak istenen amaç yönünden elverişli ve gerekli olduğu anlaşılmaktadır.</w:t>
      </w:r>
    </w:p>
    <w:p w:rsidR="0024731C" w:rsidRPr="00AA1C3F" w:rsidRDefault="0024731C" w:rsidP="00AA1C3F">
      <w:pPr>
        <w:spacing w:after="200"/>
        <w:ind w:right="283" w:firstLine="709"/>
        <w:jc w:val="both"/>
        <w:textAlignment w:val="baseline"/>
        <w:rPr>
          <w:color w:val="010000"/>
        </w:rPr>
      </w:pPr>
      <w:r w:rsidRPr="00AA1C3F">
        <w:rPr>
          <w:color w:val="010000"/>
        </w:rPr>
        <w:t>16. Kuralda uygulanması öngörülen Kanun’da belirtilen disiplin cezaları bakımından alt ve üst sınırların belirlenmiş olduğu görülmekte olup bu itibarla olayın oluş şekli ve hükümlünün kusurunun ağırlığına göre cezanın bireyselleştirilmesinin mümkün olduğu anlaşılmaktadır. Diğer yandan kural, uygulayıcının somut olayın özelliğini ve hükümlünün kusurunun derecesini gözeterek eylemi nitelendirmesine ve bu nitelendirmeye göre bir ceza takdir etmesine engel bir düzenleme de içermemektedir. Bu itibarla farklı kusur oranlarının kademeli olarak ağırlıklarına göre cezalandırılmasına imkân tanıyan kuralın korunmak istenen kamusal yarar karşısında bireye makul olmayan, orantısız bir külfet yüklediği söylenemez.</w:t>
      </w:r>
    </w:p>
    <w:p w:rsidR="0024731C" w:rsidRPr="00AA1C3F" w:rsidRDefault="0024731C" w:rsidP="00AA1C3F">
      <w:pPr>
        <w:spacing w:after="200"/>
        <w:ind w:right="283" w:firstLine="709"/>
        <w:jc w:val="both"/>
        <w:rPr>
          <w:color w:val="010000"/>
        </w:rPr>
      </w:pPr>
      <w:r w:rsidRPr="00AA1C3F">
        <w:rPr>
          <w:color w:val="010000"/>
          <w:shd w:val="clear" w:color="auto" w:fill="FFFFFF"/>
        </w:rPr>
        <w:t>17. Ayrıca kural kapsamında uygulanması öngörülen disiplin cezalarına</w:t>
      </w:r>
      <w:r w:rsidRPr="00AA1C3F">
        <w:rPr>
          <w:color w:val="010000"/>
        </w:rPr>
        <w:t xml:space="preserve"> karşı yargısal denetimin mümkün olduğu, dolayısıyla fiil ile ceza arasında bulunması gereken makul dengenin gözetilip gözetilmediğinin yargı mercilerince denetlenebileceği de dikkate alındığında, </w:t>
      </w:r>
      <w:r w:rsidRPr="00AA1C3F">
        <w:rPr>
          <w:color w:val="010000"/>
          <w:shd w:val="clear" w:color="auto" w:fill="FFFFFF"/>
        </w:rPr>
        <w:t xml:space="preserve">kuralın ölçülülük ilkesine aykırı </w:t>
      </w:r>
      <w:r w:rsidRPr="00AA1C3F">
        <w:rPr>
          <w:color w:val="010000"/>
        </w:rPr>
        <w:t xml:space="preserve">olmadığı sonucuna varılmıştır. </w:t>
      </w:r>
    </w:p>
    <w:p w:rsidR="0024731C" w:rsidRPr="00AA1C3F" w:rsidRDefault="0024731C" w:rsidP="00AA1C3F">
      <w:pPr>
        <w:spacing w:after="200"/>
        <w:ind w:right="283" w:firstLine="709"/>
        <w:jc w:val="both"/>
        <w:rPr>
          <w:rFonts w:eastAsia="Calibri"/>
          <w:color w:val="010000"/>
          <w:lang w:eastAsia="en-US"/>
        </w:rPr>
      </w:pPr>
      <w:r w:rsidRPr="00AA1C3F">
        <w:rPr>
          <w:color w:val="010000"/>
        </w:rPr>
        <w:t>18. Açıklanan nedenlerle kural, Anayasa’nın 2. maddesine aykırı değildir. İtirazın reddi gerekir.</w:t>
      </w:r>
    </w:p>
    <w:p w:rsidR="0024731C" w:rsidRPr="00AA1C3F" w:rsidRDefault="0024731C" w:rsidP="00AA1C3F">
      <w:pPr>
        <w:spacing w:after="200"/>
        <w:ind w:right="283" w:firstLine="709"/>
        <w:jc w:val="both"/>
        <w:rPr>
          <w:color w:val="010000"/>
        </w:rPr>
      </w:pPr>
      <w:r w:rsidRPr="00AA1C3F">
        <w:rPr>
          <w:color w:val="010000"/>
          <w:shd w:val="clear" w:color="auto" w:fill="FFFFFF"/>
        </w:rPr>
        <w:lastRenderedPageBreak/>
        <w:t>Kuralın Anayasa’nın 10. maddesiyle ilgisi görülmemiştir.</w:t>
      </w:r>
      <w:r w:rsidR="00AA1C3F" w:rsidRPr="00AA1C3F">
        <w:rPr>
          <w:color w:val="010000"/>
          <w:shd w:val="clear" w:color="auto" w:fill="FFFFFF"/>
        </w:rPr>
        <w:t xml:space="preserve"> </w:t>
      </w:r>
    </w:p>
    <w:p w:rsidR="0024731C" w:rsidRPr="00AA1C3F" w:rsidRDefault="0024731C" w:rsidP="00AA1C3F">
      <w:pPr>
        <w:spacing w:after="200"/>
        <w:ind w:right="283" w:firstLine="709"/>
        <w:jc w:val="both"/>
        <w:rPr>
          <w:b/>
          <w:bCs/>
          <w:color w:val="010000"/>
        </w:rPr>
      </w:pPr>
      <w:r w:rsidRPr="00AA1C3F">
        <w:rPr>
          <w:b/>
          <w:color w:val="010000"/>
        </w:rPr>
        <w:t>I</w:t>
      </w:r>
      <w:r w:rsidRPr="00AA1C3F">
        <w:rPr>
          <w:b/>
          <w:bCs/>
          <w:color w:val="010000"/>
        </w:rPr>
        <w:t>V. HÜKÜM</w:t>
      </w:r>
    </w:p>
    <w:p w:rsidR="0024731C" w:rsidRPr="00AA1C3F" w:rsidRDefault="0024731C" w:rsidP="00AA1C3F">
      <w:pPr>
        <w:spacing w:after="200"/>
        <w:ind w:right="283" w:firstLine="709"/>
        <w:jc w:val="both"/>
        <w:rPr>
          <w:color w:val="010000"/>
        </w:rPr>
      </w:pPr>
      <w:r w:rsidRPr="00AA1C3F">
        <w:rPr>
          <w:color w:val="010000"/>
        </w:rPr>
        <w:t>13/12/2004 tarihli ve 5275 sayılı Ceza ve Güvenlik Tedbirlerinin İnfazı Hakkında Kanun’un 37. maddesinin (1) numaralı fıkrasının birinci cümlesinin</w:t>
      </w:r>
      <w:r w:rsidR="00AA1C3F" w:rsidRPr="00AA1C3F">
        <w:rPr>
          <w:color w:val="010000"/>
        </w:rPr>
        <w:t xml:space="preserve"> </w:t>
      </w:r>
      <w:r w:rsidRPr="00AA1C3F">
        <w:rPr>
          <w:color w:val="010000"/>
        </w:rPr>
        <w:t>Anayasa’ya aykırı olmadığına</w:t>
      </w:r>
      <w:r w:rsidRPr="00AA1C3F">
        <w:rPr>
          <w:bCs/>
          <w:iCs/>
          <w:color w:val="010000"/>
        </w:rPr>
        <w:t xml:space="preserve"> ve itirazın REDDİNE 2</w:t>
      </w:r>
      <w:r w:rsidRPr="00AA1C3F">
        <w:rPr>
          <w:color w:val="010000"/>
        </w:rPr>
        <w:t xml:space="preserve">5/1/2023 tarihinde OYBİRLİĞİYLE karar verildi. </w:t>
      </w:r>
    </w:p>
    <w:p w:rsidR="00AA1C3F" w:rsidRDefault="00AA1C3F">
      <w:bookmarkStart w:id="5" w:name="_GoBack"/>
      <w:bookmarkEnd w:id="5"/>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24731C" w:rsidRPr="00AA1C3F" w:rsidTr="00AA1C3F">
        <w:trPr>
          <w:trHeight w:val="1600"/>
          <w:jc w:val="center"/>
        </w:trPr>
        <w:tc>
          <w:tcPr>
            <w:tcW w:w="1691" w:type="pct"/>
            <w:vAlign w:val="center"/>
            <w:hideMark/>
          </w:tcPr>
          <w:p w:rsidR="0024731C" w:rsidRPr="00AA1C3F" w:rsidRDefault="0024731C" w:rsidP="00AA1C3F">
            <w:pPr>
              <w:spacing w:after="120"/>
              <w:jc w:val="center"/>
              <w:rPr>
                <w:color w:val="010000"/>
              </w:rPr>
            </w:pPr>
            <w:r w:rsidRPr="00AA1C3F">
              <w:rPr>
                <w:color w:val="010000"/>
              </w:rPr>
              <w:t>Başkan</w:t>
            </w:r>
          </w:p>
          <w:p w:rsidR="0024731C" w:rsidRPr="00AA1C3F" w:rsidRDefault="0024731C" w:rsidP="00AA1C3F">
            <w:pPr>
              <w:spacing w:after="120"/>
              <w:jc w:val="center"/>
              <w:rPr>
                <w:color w:val="010000"/>
              </w:rPr>
            </w:pPr>
            <w:r w:rsidRPr="00AA1C3F">
              <w:rPr>
                <w:color w:val="010000"/>
              </w:rPr>
              <w:t>Zühtü ARSLAN</w:t>
            </w:r>
          </w:p>
        </w:tc>
        <w:tc>
          <w:tcPr>
            <w:tcW w:w="1692" w:type="pct"/>
            <w:vAlign w:val="center"/>
            <w:hideMark/>
          </w:tcPr>
          <w:p w:rsidR="0024731C" w:rsidRPr="00AA1C3F" w:rsidRDefault="0024731C" w:rsidP="00AA1C3F">
            <w:pPr>
              <w:spacing w:after="120"/>
              <w:jc w:val="center"/>
              <w:rPr>
                <w:color w:val="010000"/>
              </w:rPr>
            </w:pPr>
            <w:r w:rsidRPr="00AA1C3F">
              <w:rPr>
                <w:color w:val="010000"/>
              </w:rPr>
              <w:t>Başkanvekili</w:t>
            </w:r>
          </w:p>
          <w:p w:rsidR="0024731C" w:rsidRPr="00AA1C3F" w:rsidRDefault="0024731C" w:rsidP="00AA1C3F">
            <w:pPr>
              <w:spacing w:after="120"/>
              <w:jc w:val="center"/>
              <w:rPr>
                <w:color w:val="010000"/>
              </w:rPr>
            </w:pPr>
            <w:r w:rsidRPr="00AA1C3F">
              <w:rPr>
                <w:color w:val="010000"/>
              </w:rPr>
              <w:t>Hasan Tahsin GÖKCAN</w:t>
            </w:r>
          </w:p>
        </w:tc>
        <w:tc>
          <w:tcPr>
            <w:tcW w:w="1617" w:type="pct"/>
            <w:vAlign w:val="center"/>
            <w:hideMark/>
          </w:tcPr>
          <w:p w:rsidR="0024731C" w:rsidRPr="00AA1C3F" w:rsidRDefault="0024731C" w:rsidP="00AA1C3F">
            <w:pPr>
              <w:spacing w:after="120"/>
              <w:jc w:val="center"/>
              <w:rPr>
                <w:color w:val="010000"/>
              </w:rPr>
            </w:pPr>
            <w:r w:rsidRPr="00AA1C3F">
              <w:rPr>
                <w:color w:val="010000"/>
              </w:rPr>
              <w:t>Başkanvekili</w:t>
            </w:r>
          </w:p>
          <w:p w:rsidR="0024731C" w:rsidRPr="00AA1C3F" w:rsidRDefault="0024731C" w:rsidP="00AA1C3F">
            <w:pPr>
              <w:spacing w:after="120"/>
              <w:jc w:val="center"/>
              <w:rPr>
                <w:color w:val="010000"/>
              </w:rPr>
            </w:pPr>
            <w:r w:rsidRPr="00AA1C3F">
              <w:rPr>
                <w:color w:val="010000"/>
              </w:rPr>
              <w:t>Kadir ÖZKAYA</w:t>
            </w:r>
          </w:p>
        </w:tc>
      </w:tr>
      <w:tr w:rsidR="0024731C" w:rsidRPr="00AA1C3F" w:rsidTr="00AA1C3F">
        <w:trPr>
          <w:trHeight w:val="1600"/>
          <w:jc w:val="center"/>
        </w:trPr>
        <w:tc>
          <w:tcPr>
            <w:tcW w:w="1691"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color w:val="010000"/>
              </w:rPr>
              <w:t>Engin YILDIRIM</w:t>
            </w:r>
          </w:p>
        </w:tc>
        <w:tc>
          <w:tcPr>
            <w:tcW w:w="1692"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color w:val="010000"/>
              </w:rPr>
              <w:t>Muammer TOPAL</w:t>
            </w:r>
          </w:p>
        </w:tc>
        <w:tc>
          <w:tcPr>
            <w:tcW w:w="1617" w:type="pct"/>
            <w:vAlign w:val="center"/>
            <w:hideMark/>
          </w:tcPr>
          <w:p w:rsidR="0024731C" w:rsidRPr="00AA1C3F" w:rsidRDefault="00AA1C3F" w:rsidP="00AA1C3F">
            <w:pPr>
              <w:spacing w:after="120"/>
              <w:jc w:val="center"/>
              <w:rPr>
                <w:color w:val="010000"/>
              </w:rPr>
            </w:pPr>
            <w:r w:rsidRPr="00AA1C3F">
              <w:rPr>
                <w:color w:val="010000"/>
              </w:rPr>
              <w:t xml:space="preserve"> </w:t>
            </w:r>
            <w:r w:rsidR="0024731C" w:rsidRPr="00AA1C3F">
              <w:rPr>
                <w:color w:val="010000"/>
              </w:rPr>
              <w:t>Üye</w:t>
            </w:r>
          </w:p>
          <w:p w:rsidR="0024731C" w:rsidRPr="00AA1C3F" w:rsidRDefault="0024731C" w:rsidP="00AA1C3F">
            <w:pPr>
              <w:spacing w:after="120"/>
              <w:jc w:val="center"/>
              <w:rPr>
                <w:color w:val="010000"/>
              </w:rPr>
            </w:pPr>
            <w:r w:rsidRPr="00AA1C3F">
              <w:rPr>
                <w:color w:val="010000"/>
              </w:rPr>
              <w:t>M. Emin KUZ</w:t>
            </w:r>
          </w:p>
        </w:tc>
      </w:tr>
      <w:tr w:rsidR="0024731C" w:rsidRPr="00AA1C3F" w:rsidTr="00AA1C3F">
        <w:trPr>
          <w:trHeight w:val="1600"/>
          <w:jc w:val="center"/>
        </w:trPr>
        <w:tc>
          <w:tcPr>
            <w:tcW w:w="1691"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color w:val="010000"/>
              </w:rPr>
              <w:t>Rıdvan GÜLEÇ</w:t>
            </w:r>
          </w:p>
        </w:tc>
        <w:tc>
          <w:tcPr>
            <w:tcW w:w="1692"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bCs/>
                <w:color w:val="010000"/>
              </w:rPr>
              <w:t>Recai AKYEL</w:t>
            </w:r>
          </w:p>
        </w:tc>
        <w:tc>
          <w:tcPr>
            <w:tcW w:w="1617"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bCs/>
                <w:color w:val="010000"/>
              </w:rPr>
              <w:t>Yusuf Şevki HAKYEMEZ</w:t>
            </w:r>
          </w:p>
        </w:tc>
      </w:tr>
      <w:tr w:rsidR="0024731C" w:rsidRPr="00AA1C3F" w:rsidTr="00AA1C3F">
        <w:trPr>
          <w:trHeight w:val="1600"/>
          <w:jc w:val="center"/>
        </w:trPr>
        <w:tc>
          <w:tcPr>
            <w:tcW w:w="1691"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bCs/>
                <w:color w:val="010000"/>
              </w:rPr>
              <w:t>Yıldız SEFERİNOĞLU</w:t>
            </w:r>
          </w:p>
        </w:tc>
        <w:tc>
          <w:tcPr>
            <w:tcW w:w="1692"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color w:val="010000"/>
              </w:rPr>
              <w:t>Selahaddin MENTEŞ</w:t>
            </w:r>
          </w:p>
        </w:tc>
        <w:tc>
          <w:tcPr>
            <w:tcW w:w="1617"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color w:val="010000"/>
              </w:rPr>
              <w:t>Basri BAĞCI</w:t>
            </w:r>
          </w:p>
        </w:tc>
      </w:tr>
      <w:tr w:rsidR="0024731C" w:rsidRPr="00AA1C3F" w:rsidTr="00AA1C3F">
        <w:trPr>
          <w:trHeight w:val="1600"/>
          <w:jc w:val="center"/>
        </w:trPr>
        <w:tc>
          <w:tcPr>
            <w:tcW w:w="1691"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bCs/>
                <w:color w:val="010000"/>
              </w:rPr>
              <w:t>İrfan FİDAN</w:t>
            </w:r>
          </w:p>
        </w:tc>
        <w:tc>
          <w:tcPr>
            <w:tcW w:w="1692"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color w:val="010000"/>
              </w:rPr>
              <w:t>Kenan YAŞAR</w:t>
            </w:r>
          </w:p>
        </w:tc>
        <w:tc>
          <w:tcPr>
            <w:tcW w:w="1617" w:type="pct"/>
            <w:vAlign w:val="center"/>
            <w:hideMark/>
          </w:tcPr>
          <w:p w:rsidR="0024731C" w:rsidRPr="00AA1C3F" w:rsidRDefault="0024731C" w:rsidP="00AA1C3F">
            <w:pPr>
              <w:spacing w:after="120"/>
              <w:jc w:val="center"/>
              <w:rPr>
                <w:color w:val="010000"/>
              </w:rPr>
            </w:pPr>
            <w:r w:rsidRPr="00AA1C3F">
              <w:rPr>
                <w:color w:val="010000"/>
              </w:rPr>
              <w:t>Üye</w:t>
            </w:r>
          </w:p>
          <w:p w:rsidR="0024731C" w:rsidRPr="00AA1C3F" w:rsidRDefault="0024731C" w:rsidP="00AA1C3F">
            <w:pPr>
              <w:spacing w:after="120"/>
              <w:jc w:val="center"/>
              <w:rPr>
                <w:color w:val="010000"/>
              </w:rPr>
            </w:pPr>
            <w:r w:rsidRPr="00AA1C3F">
              <w:rPr>
                <w:color w:val="010000"/>
              </w:rPr>
              <w:t>Muhterem İNCE</w:t>
            </w:r>
          </w:p>
        </w:tc>
      </w:tr>
      <w:bookmarkEnd w:id="0"/>
    </w:tbl>
    <w:p w:rsidR="0024731C" w:rsidRPr="00AA1C3F" w:rsidRDefault="0024731C" w:rsidP="00AA1C3F">
      <w:pPr>
        <w:spacing w:after="200"/>
        <w:ind w:right="283" w:firstLine="709"/>
        <w:jc w:val="both"/>
        <w:rPr>
          <w:color w:val="010000"/>
        </w:rPr>
      </w:pPr>
    </w:p>
    <w:sectPr w:rsidR="0024731C" w:rsidRPr="00AA1C3F" w:rsidSect="00AA1C3F">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1C46" w:rsidRDefault="00131C46" w:rsidP="00667378">
      <w:r>
        <w:separator/>
      </w:r>
    </w:p>
  </w:endnote>
  <w:endnote w:type="continuationSeparator" w:id="0">
    <w:p w:rsidR="00131C46" w:rsidRDefault="00131C46" w:rsidP="0066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3F" w:rsidRDefault="00AA1C3F" w:rsidP="007733CD">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A1C3F" w:rsidRDefault="00AA1C3F" w:rsidP="00AA1C3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3F" w:rsidRPr="00AA1C3F" w:rsidRDefault="00AA1C3F" w:rsidP="007733CD">
    <w:pPr>
      <w:pStyle w:val="AltBilgi"/>
      <w:framePr w:wrap="around" w:vAnchor="text" w:hAnchor="margin" w:xAlign="right" w:y="1"/>
      <w:rPr>
        <w:rStyle w:val="SayfaNumaras"/>
      </w:rPr>
    </w:pPr>
    <w:r w:rsidRPr="00AA1C3F">
      <w:rPr>
        <w:rStyle w:val="SayfaNumaras"/>
      </w:rPr>
      <w:fldChar w:fldCharType="begin"/>
    </w:r>
    <w:r w:rsidRPr="00AA1C3F">
      <w:rPr>
        <w:rStyle w:val="SayfaNumaras"/>
      </w:rPr>
      <w:instrText xml:space="preserve"> PAGE </w:instrText>
    </w:r>
    <w:r w:rsidRPr="00AA1C3F">
      <w:rPr>
        <w:rStyle w:val="SayfaNumaras"/>
      </w:rPr>
      <w:fldChar w:fldCharType="separate"/>
    </w:r>
    <w:r w:rsidRPr="00AA1C3F">
      <w:rPr>
        <w:rStyle w:val="SayfaNumaras"/>
        <w:noProof/>
      </w:rPr>
      <w:t>5</w:t>
    </w:r>
    <w:r w:rsidRPr="00AA1C3F">
      <w:rPr>
        <w:rStyle w:val="SayfaNumaras"/>
      </w:rPr>
      <w:fldChar w:fldCharType="end"/>
    </w:r>
  </w:p>
  <w:p w:rsidR="00667378" w:rsidRDefault="00667378" w:rsidP="00AA1C3F">
    <w:pPr>
      <w:pStyle w:val="AltBilgi"/>
      <w:ind w:right="360"/>
      <w:jc w:val="right"/>
    </w:pPr>
  </w:p>
  <w:p w:rsidR="00667378" w:rsidRDefault="00667378">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1C46" w:rsidRDefault="00131C46" w:rsidP="00667378">
      <w:r>
        <w:separator/>
      </w:r>
    </w:p>
  </w:footnote>
  <w:footnote w:type="continuationSeparator" w:id="0">
    <w:p w:rsidR="00131C46" w:rsidRDefault="00131C46" w:rsidP="006673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3F" w:rsidRPr="00AA1C3F" w:rsidRDefault="00AA1C3F" w:rsidP="00AA1C3F">
    <w:pPr>
      <w:pStyle w:val="stBilgi"/>
      <w:rPr>
        <w:b/>
      </w:rPr>
    </w:pPr>
    <w:r w:rsidRPr="00AA1C3F">
      <w:rPr>
        <w:b/>
      </w:rPr>
      <w:t xml:space="preserve">Esas </w:t>
    </w:r>
    <w:proofErr w:type="gramStart"/>
    <w:r w:rsidRPr="00AA1C3F">
      <w:rPr>
        <w:b/>
      </w:rPr>
      <w:t>Sayısı :</w:t>
    </w:r>
    <w:proofErr w:type="gramEnd"/>
    <w:r w:rsidRPr="00AA1C3F">
      <w:rPr>
        <w:b/>
      </w:rPr>
      <w:t xml:space="preserve"> 2022/133</w:t>
    </w:r>
  </w:p>
  <w:p w:rsidR="00AA1C3F" w:rsidRDefault="00AA1C3F" w:rsidP="00AA1C3F">
    <w:pPr>
      <w:pStyle w:val="stBilgi"/>
      <w:rPr>
        <w:b/>
      </w:rPr>
    </w:pPr>
    <w:r>
      <w:rPr>
        <w:b/>
      </w:rPr>
      <w:t xml:space="preserve">Karar </w:t>
    </w:r>
    <w:proofErr w:type="gramStart"/>
    <w:r>
      <w:rPr>
        <w:b/>
      </w:rPr>
      <w:t>Sayısı :</w:t>
    </w:r>
    <w:proofErr w:type="gramEnd"/>
    <w:r>
      <w:rPr>
        <w:b/>
      </w:rPr>
      <w:t xml:space="preserve"> 2023/15</w:t>
    </w:r>
  </w:p>
  <w:p w:rsidR="00667378" w:rsidRPr="00AA1C3F" w:rsidRDefault="00667378" w:rsidP="00AA1C3F">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146D7E"/>
    <w:multiLevelType w:val="multilevel"/>
    <w:tmpl w:val="6E38E7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C2300"/>
    <w:rsid w:val="0012320B"/>
    <w:rsid w:val="00131C46"/>
    <w:rsid w:val="001D4AF6"/>
    <w:rsid w:val="001F4F9A"/>
    <w:rsid w:val="0024731C"/>
    <w:rsid w:val="00266BC7"/>
    <w:rsid w:val="00344D4E"/>
    <w:rsid w:val="00667378"/>
    <w:rsid w:val="00692879"/>
    <w:rsid w:val="006B5A8D"/>
    <w:rsid w:val="00952B5F"/>
    <w:rsid w:val="00AA1C3F"/>
    <w:rsid w:val="00C352DC"/>
    <w:rsid w:val="00DD4384"/>
    <w:rsid w:val="00EF19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201D04-FA82-4F3E-BEBA-9DBF84F4E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667378"/>
    <w:pPr>
      <w:tabs>
        <w:tab w:val="center" w:pos="4536"/>
        <w:tab w:val="right" w:pos="9072"/>
      </w:tabs>
    </w:pPr>
  </w:style>
  <w:style w:type="character" w:customStyle="1" w:styleId="stBilgiChar">
    <w:name w:val="Üst Bilgi Char"/>
    <w:link w:val="stBilgi"/>
    <w:rsid w:val="00667378"/>
    <w:rPr>
      <w:sz w:val="24"/>
      <w:szCs w:val="24"/>
    </w:rPr>
  </w:style>
  <w:style w:type="paragraph" w:styleId="AltBilgi">
    <w:name w:val="footer"/>
    <w:basedOn w:val="Normal"/>
    <w:link w:val="AltBilgiChar"/>
    <w:uiPriority w:val="99"/>
    <w:rsid w:val="00667378"/>
    <w:pPr>
      <w:tabs>
        <w:tab w:val="center" w:pos="4536"/>
        <w:tab w:val="right" w:pos="9072"/>
      </w:tabs>
    </w:pPr>
  </w:style>
  <w:style w:type="character" w:customStyle="1" w:styleId="AltBilgiChar">
    <w:name w:val="Alt Bilgi Char"/>
    <w:link w:val="AltBilgi"/>
    <w:uiPriority w:val="99"/>
    <w:rsid w:val="00667378"/>
    <w:rPr>
      <w:sz w:val="24"/>
      <w:szCs w:val="24"/>
    </w:rPr>
  </w:style>
  <w:style w:type="character" w:styleId="AklamaBavurusu">
    <w:name w:val="annotation reference"/>
    <w:unhideWhenUsed/>
    <w:rsid w:val="0012320B"/>
    <w:rPr>
      <w:sz w:val="16"/>
      <w:szCs w:val="16"/>
    </w:rPr>
  </w:style>
  <w:style w:type="character" w:styleId="SayfaNumaras">
    <w:name w:val="page number"/>
    <w:basedOn w:val="VarsaylanParagrafYazTipi"/>
    <w:rsid w:val="00AA1C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6943">
      <w:bodyDiv w:val="1"/>
      <w:marLeft w:val="0"/>
      <w:marRight w:val="0"/>
      <w:marTop w:val="0"/>
      <w:marBottom w:val="0"/>
      <w:divBdr>
        <w:top w:val="none" w:sz="0" w:space="0" w:color="auto"/>
        <w:left w:val="none" w:sz="0" w:space="0" w:color="auto"/>
        <w:bottom w:val="none" w:sz="0" w:space="0" w:color="auto"/>
        <w:right w:val="none" w:sz="0" w:space="0" w:color="auto"/>
      </w:divBdr>
    </w:div>
    <w:div w:id="235626352">
      <w:bodyDiv w:val="1"/>
      <w:marLeft w:val="0"/>
      <w:marRight w:val="0"/>
      <w:marTop w:val="0"/>
      <w:marBottom w:val="0"/>
      <w:divBdr>
        <w:top w:val="none" w:sz="0" w:space="0" w:color="auto"/>
        <w:left w:val="none" w:sz="0" w:space="0" w:color="auto"/>
        <w:bottom w:val="none" w:sz="0" w:space="0" w:color="auto"/>
        <w:right w:val="none" w:sz="0" w:space="0" w:color="auto"/>
      </w:divBdr>
    </w:div>
    <w:div w:id="475880703">
      <w:bodyDiv w:val="1"/>
      <w:marLeft w:val="0"/>
      <w:marRight w:val="0"/>
      <w:marTop w:val="0"/>
      <w:marBottom w:val="0"/>
      <w:divBdr>
        <w:top w:val="none" w:sz="0" w:space="0" w:color="auto"/>
        <w:left w:val="none" w:sz="0" w:space="0" w:color="auto"/>
        <w:bottom w:val="none" w:sz="0" w:space="0" w:color="auto"/>
        <w:right w:val="none" w:sz="0" w:space="0" w:color="auto"/>
      </w:divBdr>
    </w:div>
    <w:div w:id="671184952">
      <w:bodyDiv w:val="1"/>
      <w:marLeft w:val="0"/>
      <w:marRight w:val="0"/>
      <w:marTop w:val="0"/>
      <w:marBottom w:val="0"/>
      <w:divBdr>
        <w:top w:val="none" w:sz="0" w:space="0" w:color="auto"/>
        <w:left w:val="none" w:sz="0" w:space="0" w:color="auto"/>
        <w:bottom w:val="none" w:sz="0" w:space="0" w:color="auto"/>
        <w:right w:val="none" w:sz="0" w:space="0" w:color="auto"/>
      </w:divBdr>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725840099">
      <w:bodyDiv w:val="1"/>
      <w:marLeft w:val="0"/>
      <w:marRight w:val="0"/>
      <w:marTop w:val="0"/>
      <w:marBottom w:val="0"/>
      <w:divBdr>
        <w:top w:val="none" w:sz="0" w:space="0" w:color="auto"/>
        <w:left w:val="none" w:sz="0" w:space="0" w:color="auto"/>
        <w:bottom w:val="none" w:sz="0" w:space="0" w:color="auto"/>
        <w:right w:val="none" w:sz="0" w:space="0" w:color="auto"/>
      </w:divBdr>
    </w:div>
    <w:div w:id="841823407">
      <w:bodyDiv w:val="1"/>
      <w:marLeft w:val="0"/>
      <w:marRight w:val="0"/>
      <w:marTop w:val="0"/>
      <w:marBottom w:val="0"/>
      <w:divBdr>
        <w:top w:val="none" w:sz="0" w:space="0" w:color="auto"/>
        <w:left w:val="none" w:sz="0" w:space="0" w:color="auto"/>
        <w:bottom w:val="none" w:sz="0" w:space="0" w:color="auto"/>
        <w:right w:val="none" w:sz="0" w:space="0" w:color="auto"/>
      </w:divBdr>
    </w:div>
    <w:div w:id="101580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1610</Words>
  <Characters>9183</Characters>
  <Application>Microsoft Office Word</Application>
  <DocSecurity>0</DocSecurity>
  <Lines>76</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2023-04-05T08:18:00Z</cp:lastPrinted>
  <dcterms:created xsi:type="dcterms:W3CDTF">2023-04-06T05:45:00Z</dcterms:created>
  <dcterms:modified xsi:type="dcterms:W3CDTF">2023-04-06T05:45:00Z</dcterms:modified>
</cp:coreProperties>
</file>