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23C09" w:rsidP="00695F1D">
      <w:pPr>
        <w:spacing w:after="200"/>
        <w:ind w:left="283" w:right="283"/>
        <w:jc w:val="center"/>
        <w:divId w:val="1187014963"/>
        <w:rPr>
          <w:b/>
          <w:bCs/>
          <w:caps/>
          <w:color w:val="010000"/>
        </w:rPr>
      </w:pPr>
      <w:r w:rsidRPr="00695F1D">
        <w:rPr>
          <w:b/>
          <w:bCs/>
          <w:caps/>
          <w:color w:val="010000"/>
        </w:rPr>
        <w:t>ANAYASA MAHKEMESİ KARARI</w:t>
      </w:r>
    </w:p>
    <w:p w:rsidR="00695F1D" w:rsidRPr="00695F1D" w:rsidRDefault="00695F1D" w:rsidP="00695F1D">
      <w:pPr>
        <w:spacing w:after="200"/>
        <w:ind w:left="283" w:right="283" w:firstLine="709"/>
        <w:jc w:val="center"/>
        <w:divId w:val="1187014963"/>
        <w:rPr>
          <w:b/>
          <w:caps/>
          <w:color w:val="010000"/>
        </w:rPr>
      </w:pPr>
    </w:p>
    <w:p w:rsidR="00695F1D" w:rsidRDefault="00695F1D" w:rsidP="00695F1D">
      <w:pPr>
        <w:divId w:val="1187014963"/>
        <w:rPr>
          <w:b/>
          <w:bCs/>
          <w:color w:val="010000"/>
        </w:rPr>
      </w:pPr>
      <w:r>
        <w:rPr>
          <w:b/>
          <w:bCs/>
          <w:color w:val="010000"/>
        </w:rPr>
        <w:t>Esas Sayısı:2018/159</w:t>
      </w:r>
    </w:p>
    <w:p w:rsidR="00695F1D" w:rsidRDefault="00695F1D" w:rsidP="00695F1D">
      <w:pPr>
        <w:divId w:val="1187014963"/>
        <w:rPr>
          <w:b/>
          <w:color w:val="010000"/>
        </w:rPr>
      </w:pPr>
      <w:r>
        <w:rPr>
          <w:b/>
          <w:color w:val="010000"/>
        </w:rPr>
        <w:t>Karar Sayısı:2019/93</w:t>
      </w:r>
    </w:p>
    <w:p w:rsidR="00695F1D" w:rsidRDefault="00695F1D" w:rsidP="00695F1D">
      <w:pPr>
        <w:divId w:val="1187014963"/>
        <w:rPr>
          <w:b/>
          <w:color w:val="010000"/>
        </w:rPr>
      </w:pPr>
      <w:r>
        <w:rPr>
          <w:b/>
          <w:color w:val="010000"/>
        </w:rPr>
        <w:t>Karar Tarihi:24/12/2019</w:t>
      </w:r>
    </w:p>
    <w:p w:rsidR="00695F1D" w:rsidRDefault="00695F1D" w:rsidP="00695F1D">
      <w:pPr>
        <w:divId w:val="1187014963"/>
        <w:rPr>
          <w:b/>
          <w:color w:val="010000"/>
        </w:rPr>
      </w:pPr>
      <w:r>
        <w:rPr>
          <w:b/>
          <w:color w:val="010000"/>
        </w:rPr>
        <w:t>R.G. Tarih-Sayısı:24/3/2020-31078</w:t>
      </w:r>
    </w:p>
    <w:p w:rsidR="00000000" w:rsidRPr="00695F1D" w:rsidRDefault="00F23C09" w:rsidP="00695F1D">
      <w:pPr>
        <w:divId w:val="1187014963"/>
        <w:rPr>
          <w:b/>
          <w:color w:val="010000"/>
        </w:rPr>
      </w:pPr>
    </w:p>
    <w:p w:rsidR="00000000" w:rsidRPr="00695F1D" w:rsidRDefault="00F23C09" w:rsidP="00695F1D">
      <w:pPr>
        <w:spacing w:after="200"/>
        <w:ind w:left="283" w:right="283" w:firstLine="709"/>
        <w:jc w:val="both"/>
        <w:divId w:val="1187014963"/>
        <w:rPr>
          <w:color w:val="010000"/>
        </w:rPr>
      </w:pPr>
      <w:r w:rsidRPr="00695F1D">
        <w:rPr>
          <w:b/>
          <w:bCs/>
          <w:color w:val="010000"/>
        </w:rPr>
        <w:t>İTİRAZ YOLUNA BAŞVURANLAR:</w:t>
      </w:r>
      <w:r w:rsidRPr="00695F1D">
        <w:rPr>
          <w:color w:val="010000"/>
        </w:rPr>
        <w:t xml:space="preserve"> </w:t>
      </w:r>
    </w:p>
    <w:p w:rsidR="00000000" w:rsidRPr="00695F1D" w:rsidRDefault="00F23C09" w:rsidP="00695F1D">
      <w:pPr>
        <w:spacing w:after="200"/>
        <w:ind w:left="283" w:right="283" w:firstLine="709"/>
        <w:jc w:val="both"/>
        <w:divId w:val="1187014963"/>
        <w:rPr>
          <w:color w:val="010000"/>
        </w:rPr>
      </w:pPr>
      <w:r w:rsidRPr="00695F1D">
        <w:rPr>
          <w:b/>
          <w:bCs/>
          <w:color w:val="010000"/>
        </w:rPr>
        <w:t>1.</w:t>
      </w:r>
      <w:r w:rsidRPr="00695F1D">
        <w:rPr>
          <w:color w:val="010000"/>
        </w:rPr>
        <w:t xml:space="preserve"> Manisa 1. İdare Mahkemesi</w:t>
      </w:r>
      <w:r w:rsidR="00695F1D" w:rsidRPr="00695F1D">
        <w:rPr>
          <w:color w:val="010000"/>
        </w:rPr>
        <w:t xml:space="preserve"> </w:t>
      </w:r>
      <w:r w:rsidRPr="00695F1D">
        <w:rPr>
          <w:color w:val="010000"/>
        </w:rPr>
        <w:t>(E.2018/159</w:t>
      </w:r>
      <w:r w:rsidRPr="00695F1D">
        <w:rPr>
          <w:color w:val="010000"/>
        </w:rPr>
        <w:t>)</w:t>
      </w:r>
    </w:p>
    <w:p w:rsidR="00000000" w:rsidRPr="00695F1D" w:rsidRDefault="00F23C09" w:rsidP="00695F1D">
      <w:pPr>
        <w:spacing w:after="200"/>
        <w:ind w:left="283" w:right="283" w:firstLine="709"/>
        <w:jc w:val="both"/>
        <w:divId w:val="1187014963"/>
        <w:rPr>
          <w:color w:val="010000"/>
        </w:rPr>
      </w:pPr>
      <w:r w:rsidRPr="00695F1D">
        <w:rPr>
          <w:b/>
          <w:bCs/>
          <w:color w:val="010000"/>
        </w:rPr>
        <w:t>2.</w:t>
      </w:r>
      <w:r w:rsidRPr="00695F1D">
        <w:rPr>
          <w:color w:val="010000"/>
        </w:rPr>
        <w:t xml:space="preserve"> Ankara 11. İdare Mahkemesi</w:t>
      </w:r>
      <w:r w:rsidR="00695F1D" w:rsidRPr="00695F1D">
        <w:rPr>
          <w:color w:val="010000"/>
        </w:rPr>
        <w:t xml:space="preserve"> </w:t>
      </w:r>
      <w:r w:rsidRPr="00695F1D">
        <w:rPr>
          <w:color w:val="010000"/>
        </w:rPr>
        <w:t>(E.2019/75)</w:t>
      </w:r>
    </w:p>
    <w:p w:rsidR="00000000" w:rsidRPr="00695F1D" w:rsidRDefault="00F23C09" w:rsidP="00695F1D">
      <w:pPr>
        <w:spacing w:after="200"/>
        <w:ind w:left="283" w:right="283" w:firstLine="709"/>
        <w:jc w:val="both"/>
        <w:divId w:val="1187014963"/>
        <w:rPr>
          <w:color w:val="010000"/>
        </w:rPr>
      </w:pPr>
      <w:r w:rsidRPr="00695F1D">
        <w:rPr>
          <w:b/>
          <w:bCs/>
          <w:color w:val="010000"/>
        </w:rPr>
        <w:t xml:space="preserve">İTİRAZLARIN KONUSU: </w:t>
      </w:r>
      <w:r w:rsidRPr="00695F1D">
        <w:rPr>
          <w:color w:val="010000"/>
        </w:rPr>
        <w:t>1/2/2018 tarihli ve 7075 sayılı Olağanüstü Hal İşlemleri İnceleme Komisyonu Kurulması Hakkında Kanun Hükmünde Kararna</w:t>
      </w:r>
      <w:r w:rsidRPr="00695F1D">
        <w:rPr>
          <w:color w:val="010000"/>
        </w:rPr>
        <w:t>menin Değiştirilerek Kabul Edilmesine Dair Kanun’un 10. maddesinin 25/7/2018 tarihli ve 7145 sayılı Kanun’un 22. maddesiyle değiştirilen (1) numaralı fıkrasının üçüncü cümlesinin Anayasa’nın 2., 5., 10. ve 49. maddelerine aykırılığı ileri sürülerek iptalin</w:t>
      </w:r>
      <w:r w:rsidRPr="00695F1D">
        <w:rPr>
          <w:color w:val="010000"/>
        </w:rPr>
        <w:t>e karar verilmesi talepleridir.</w:t>
      </w:r>
      <w:r w:rsidR="00695F1D" w:rsidRPr="00695F1D">
        <w:rPr>
          <w:color w:val="010000"/>
        </w:rPr>
        <w:t xml:space="preserve"> </w:t>
      </w:r>
    </w:p>
    <w:p w:rsidR="00000000" w:rsidRPr="00695F1D" w:rsidRDefault="00F23C09" w:rsidP="00695F1D">
      <w:pPr>
        <w:spacing w:after="200"/>
        <w:ind w:left="283" w:right="283" w:firstLine="709"/>
        <w:jc w:val="both"/>
        <w:divId w:val="1187014963"/>
        <w:rPr>
          <w:color w:val="010000"/>
        </w:rPr>
      </w:pPr>
      <w:r w:rsidRPr="00695F1D">
        <w:rPr>
          <w:b/>
          <w:bCs/>
          <w:color w:val="010000"/>
        </w:rPr>
        <w:t xml:space="preserve">OLAY: </w:t>
      </w:r>
      <w:r w:rsidRPr="00695F1D">
        <w:rPr>
          <w:color w:val="010000"/>
        </w:rPr>
        <w:t>Kamu kurumlarında yönetici pozisyonunda görev yapmakta iken 31/10/2016 tarihli ve 677 sayılı Olağanüstü Hal Kapsamında Bazı Tedbirler Alınması Hakkında Kanun Hükmünde Kararname’yle kamu görevinden çıkarılan davacıl</w:t>
      </w:r>
      <w:r w:rsidRPr="00695F1D">
        <w:rPr>
          <w:color w:val="010000"/>
        </w:rPr>
        <w:t>arın, Olağanüstü Hal İşlemleri İnceleme Komisyonu kararıyla kamu görevine iade edilmeleri üzerine, kamu görevinden çıkarılmadan önceki pozisyonlarına atanmamalarına ilişkin işlemlerin iptali talebiyle açtıkları davalarda itiraz konusu kuralın Anayasa'ya ay</w:t>
      </w:r>
      <w:r w:rsidRPr="00695F1D">
        <w:rPr>
          <w:color w:val="010000"/>
        </w:rPr>
        <w:t>kırı olduğu kanısına varan Mahkemeler, iptali için başvurmuştur.</w:t>
      </w:r>
      <w:r w:rsidR="00695F1D" w:rsidRPr="00695F1D">
        <w:rPr>
          <w:color w:val="010000"/>
        </w:rPr>
        <w:t xml:space="preserve"> </w:t>
      </w:r>
    </w:p>
    <w:p w:rsidR="00000000" w:rsidRPr="00695F1D" w:rsidRDefault="00F23C09" w:rsidP="00695F1D">
      <w:pPr>
        <w:spacing w:after="200"/>
        <w:ind w:left="283" w:right="283" w:firstLine="709"/>
        <w:jc w:val="both"/>
        <w:divId w:val="1187014963"/>
        <w:rPr>
          <w:color w:val="010000"/>
        </w:rPr>
      </w:pPr>
      <w:r w:rsidRPr="00695F1D">
        <w:rPr>
          <w:b/>
          <w:bCs/>
          <w:color w:val="010000"/>
        </w:rPr>
        <w:t xml:space="preserve">I. </w:t>
      </w:r>
      <w:r w:rsidRPr="00695F1D">
        <w:rPr>
          <w:b/>
          <w:bCs/>
          <w:color w:val="010000"/>
        </w:rPr>
        <w:t xml:space="preserve">İPTALİ İSTENEN KANUN HÜKMÜ </w:t>
      </w:r>
    </w:p>
    <w:p w:rsidR="00000000" w:rsidRPr="00695F1D" w:rsidRDefault="00F23C09" w:rsidP="00695F1D">
      <w:pPr>
        <w:spacing w:after="200"/>
        <w:ind w:left="283" w:right="283" w:firstLine="709"/>
        <w:jc w:val="both"/>
        <w:divId w:val="1187014963"/>
        <w:rPr>
          <w:color w:val="010000"/>
        </w:rPr>
      </w:pPr>
      <w:r w:rsidRPr="00695F1D">
        <w:rPr>
          <w:color w:val="010000"/>
        </w:rPr>
        <w:t>Kanun’un 10. maddesinin itiraz konusu kuralın da yer aldığı 7145 sayılı Kanun’un 22. maddesiyle değiştirilen (1) numaralı fıkrası şöyledir:</w:t>
      </w:r>
    </w:p>
    <w:p w:rsidR="00000000" w:rsidRPr="00695F1D" w:rsidRDefault="00695F1D" w:rsidP="00695F1D">
      <w:pPr>
        <w:spacing w:after="200"/>
        <w:ind w:left="283" w:right="283" w:firstLine="709"/>
        <w:jc w:val="both"/>
        <w:divId w:val="1187014963"/>
        <w:rPr>
          <w:color w:val="010000"/>
        </w:rPr>
      </w:pPr>
      <w:r w:rsidRPr="00695F1D">
        <w:rPr>
          <w:i/>
          <w:iCs/>
          <w:color w:val="010000"/>
          <w:szCs w:val="22"/>
        </w:rPr>
        <w:t xml:space="preserve"> </w:t>
      </w:r>
      <w:r w:rsidR="00F23C09" w:rsidRPr="00695F1D">
        <w:rPr>
          <w:i/>
          <w:iCs/>
          <w:color w:val="010000"/>
          <w:szCs w:val="22"/>
        </w:rPr>
        <w:t xml:space="preserve">“Kararların uygulanması </w:t>
      </w:r>
    </w:p>
    <w:p w:rsidR="00000000" w:rsidRPr="00695F1D" w:rsidRDefault="00F23C09" w:rsidP="00695F1D">
      <w:pPr>
        <w:spacing w:after="200"/>
        <w:ind w:left="283" w:right="283" w:firstLine="709"/>
        <w:jc w:val="both"/>
        <w:divId w:val="1187014963"/>
        <w:rPr>
          <w:color w:val="010000"/>
        </w:rPr>
      </w:pPr>
      <w:r w:rsidRPr="00695F1D">
        <w:rPr>
          <w:i/>
          <w:iCs/>
          <w:color w:val="010000"/>
          <w:szCs w:val="22"/>
        </w:rPr>
        <w:t xml:space="preserve">MADDE 10- (1) (Değişik: 25/7/2018-7145/22 </w:t>
      </w:r>
      <w:proofErr w:type="spellStart"/>
      <w:r w:rsidRPr="00695F1D">
        <w:rPr>
          <w:i/>
          <w:iCs/>
          <w:color w:val="010000"/>
          <w:szCs w:val="22"/>
        </w:rPr>
        <w:t>md.</w:t>
      </w:r>
      <w:proofErr w:type="spellEnd"/>
      <w:r w:rsidRPr="00695F1D">
        <w:rPr>
          <w:i/>
          <w:iCs/>
          <w:color w:val="010000"/>
          <w:szCs w:val="22"/>
        </w:rPr>
        <w:t>) Kamu görevinden, meslekten veya görev yapılan teşkilattan çıkarılan ya da ilişiği kesilenlere ilişkin başvurunun kabulü hâlinde karar, kadro veya pozisyonunun bulunduğu kuruma, yükse</w:t>
      </w:r>
      <w:r w:rsidRPr="00695F1D">
        <w:rPr>
          <w:i/>
          <w:iCs/>
          <w:color w:val="010000"/>
          <w:szCs w:val="22"/>
        </w:rPr>
        <w:t xml:space="preserve">köğretim kurumlarında kamu görevinden çıkarılan öğretim elemanları için Yükseköğretim Kurulu Başkanlığına bildirilir. Kamu görevine iade edilmesine karar verilenlerin eski kadro veya pozisyonuna atanması esastır. </w:t>
      </w:r>
      <w:r w:rsidRPr="00695F1D">
        <w:rPr>
          <w:b/>
          <w:bCs/>
          <w:i/>
          <w:iCs/>
          <w:color w:val="010000"/>
          <w:szCs w:val="22"/>
        </w:rPr>
        <w:t>Ancak müdür yardımcısı veya daha üstü ile b</w:t>
      </w:r>
      <w:r w:rsidRPr="00695F1D">
        <w:rPr>
          <w:b/>
          <w:bCs/>
          <w:i/>
          <w:iCs/>
          <w:color w:val="010000"/>
          <w:szCs w:val="22"/>
        </w:rPr>
        <w:t>unlara eşdeğer yöneticilik görevinde bulunmakta iken kamu görevinden çıkarılmış olanların atamalarında, söz konusu yöneticilik görevlerinden önce bulundukları kadro ve pozisyon unvanları dikkate alınır</w:t>
      </w:r>
      <w:r w:rsidRPr="00695F1D">
        <w:rPr>
          <w:i/>
          <w:iCs/>
          <w:color w:val="010000"/>
          <w:szCs w:val="22"/>
        </w:rPr>
        <w:t>. Yükseköğretim Kurulu Başkanlığına bildirilenlerin ata</w:t>
      </w:r>
      <w:r w:rsidRPr="00695F1D">
        <w:rPr>
          <w:i/>
          <w:iCs/>
          <w:color w:val="010000"/>
          <w:szCs w:val="22"/>
        </w:rPr>
        <w:t xml:space="preserve">ma teklifleri; Ankara, İstanbul, İzmir illeri dışında ve 2006 yılından sonra kurulan yükseköğretim kurumlarına öncelik verilmek kaydıyla, Yükseköğretim Kurulu Başkanlığı tarafından kamu görevinden çıkarıldığı yükseköğretim kurumu haricinde tespit edilecek </w:t>
      </w:r>
      <w:r w:rsidRPr="00695F1D">
        <w:rPr>
          <w:i/>
          <w:iCs/>
          <w:color w:val="010000"/>
          <w:szCs w:val="22"/>
        </w:rPr>
        <w:t>yükseköğretim kurumlarından birine önceki kadro unvanlarına uygun olarak on beş gün içinde yapılır. Kurumlar, bildirim veya atama teklif tarihini takip eden otuz gün içerisinde atama işlemlerini tamamlar. Bu kapsamda yer alan personele ilişkin kadro ve poz</w:t>
      </w:r>
      <w:r w:rsidRPr="00695F1D">
        <w:rPr>
          <w:i/>
          <w:iCs/>
          <w:color w:val="010000"/>
          <w:szCs w:val="22"/>
        </w:rPr>
        <w:t>isyonlar, ilgililere ilişkin atama onaylarının alındığı tarih itibarıyla diğer kanunlardaki hükümlere bakılmaksızın ve başka bir işleme gerek kalmaksızın ilgili mevzuatı uyarınca ihdas, tahsis ve vize edilmiş sayılır. Söz konusu kadro ve pozisyonlar, herha</w:t>
      </w:r>
      <w:r w:rsidRPr="00695F1D">
        <w:rPr>
          <w:i/>
          <w:iCs/>
          <w:color w:val="010000"/>
          <w:szCs w:val="22"/>
        </w:rPr>
        <w:t xml:space="preserve">ngi bir şekilde boşalmaları </w:t>
      </w:r>
      <w:r w:rsidRPr="00695F1D">
        <w:rPr>
          <w:i/>
          <w:iCs/>
          <w:color w:val="010000"/>
          <w:szCs w:val="22"/>
        </w:rPr>
        <w:lastRenderedPageBreak/>
        <w:t>hâlinde başka bir işleme gerek kalmaksızın iptal edilmiş sayılır. Atama emri, ilgili kamu kurum ve kuruluşu tarafından 11/2/1959 tarihli ve 7201 sayılı Tebligat Kanunu hükümlerine göre ilgililere tebliğ edilir. Tebliğ tarihini t</w:t>
      </w:r>
      <w:r w:rsidRPr="00695F1D">
        <w:rPr>
          <w:i/>
          <w:iCs/>
          <w:color w:val="010000"/>
          <w:szCs w:val="22"/>
        </w:rPr>
        <w:t xml:space="preserve">akip eden on gün içerisinde göreve başlamayanların </w:t>
      </w:r>
      <w:proofErr w:type="gramStart"/>
      <w:r w:rsidRPr="00695F1D">
        <w:rPr>
          <w:i/>
          <w:iCs/>
          <w:color w:val="010000"/>
          <w:szCs w:val="22"/>
        </w:rPr>
        <w:t>bu</w:t>
      </w:r>
      <w:proofErr w:type="gramEnd"/>
      <w:r w:rsidRPr="00695F1D">
        <w:rPr>
          <w:i/>
          <w:iCs/>
          <w:color w:val="010000"/>
          <w:szCs w:val="22"/>
        </w:rPr>
        <w:t xml:space="preserve"> maddeden doğan atanma hakkı ile mali hakları düşer. Kamu kurum ve kuruluşları atama ve göreve başlatma işlemlerinin sonucunu, işlemlerin tamamlanmasını takip eden on beş gün içinde Devlet Personel Başka</w:t>
      </w:r>
      <w:r w:rsidRPr="00695F1D">
        <w:rPr>
          <w:i/>
          <w:iCs/>
          <w:color w:val="010000"/>
          <w:szCs w:val="22"/>
        </w:rPr>
        <w:t>nlığına bildirirler. İlgililerin kamu görevinden çıkarılmasına ilişkin kanun hükmünde kararname hükümleri, bu fıkrada belirtilen kişiler bakımından tüm hüküm ve sonuçlarıyla birlikte ortadan kalkmış sayılır. Bu kapsamda göreve başlayanlara, kamu görevinden</w:t>
      </w:r>
      <w:r w:rsidRPr="00695F1D">
        <w:rPr>
          <w:i/>
          <w:iCs/>
          <w:color w:val="010000"/>
          <w:szCs w:val="22"/>
        </w:rPr>
        <w:t xml:space="preserve"> çıkarılma tarihlerini takip eden aybaşından göreve başladıkları tarihe kadar geçen süreye tekabül eden mali ve sosyal hakları ödenir. Bu kişiler, kamu görevinden çıkarılmalarından dolayı herhangi bir tazminat talebinde bulunamaz.”</w:t>
      </w:r>
    </w:p>
    <w:p w:rsidR="00000000" w:rsidRPr="00695F1D" w:rsidRDefault="00F23C09" w:rsidP="00695F1D">
      <w:pPr>
        <w:spacing w:after="200"/>
        <w:ind w:left="283" w:right="283" w:firstLine="709"/>
        <w:jc w:val="both"/>
        <w:divId w:val="1187014963"/>
        <w:rPr>
          <w:color w:val="010000"/>
        </w:rPr>
      </w:pPr>
      <w:r w:rsidRPr="00695F1D">
        <w:rPr>
          <w:b/>
          <w:bCs/>
          <w:color w:val="010000"/>
        </w:rPr>
        <w:t>II. İLK İNCELEME</w:t>
      </w:r>
    </w:p>
    <w:p w:rsidR="00000000" w:rsidRPr="00695F1D" w:rsidRDefault="00F23C09" w:rsidP="00695F1D">
      <w:pPr>
        <w:spacing w:after="200"/>
        <w:ind w:left="283" w:right="283" w:firstLine="709"/>
        <w:jc w:val="both"/>
        <w:divId w:val="1187014963"/>
        <w:rPr>
          <w:color w:val="010000"/>
        </w:rPr>
      </w:pPr>
      <w:r w:rsidRPr="00695F1D">
        <w:rPr>
          <w:b/>
          <w:bCs/>
          <w:color w:val="010000"/>
        </w:rPr>
        <w:t>A. E.2018/159 Sayılı Başvuru Yönünden</w:t>
      </w:r>
    </w:p>
    <w:p w:rsidR="00000000" w:rsidRPr="00695F1D" w:rsidRDefault="00F23C09" w:rsidP="00695F1D">
      <w:pPr>
        <w:spacing w:after="200"/>
        <w:ind w:left="283" w:right="283" w:firstLine="709"/>
        <w:jc w:val="both"/>
        <w:divId w:val="1187014963"/>
        <w:rPr>
          <w:color w:val="010000"/>
        </w:rPr>
      </w:pPr>
      <w:r w:rsidRPr="00695F1D">
        <w:rPr>
          <w:color w:val="010000"/>
        </w:rPr>
        <w:t xml:space="preserve">1. Anayasa Mahkemesi İçtüzüğü hükümleri uyarınca Zühtü ARSLAN, Burhan ÜSTÜN, Engin YILDIRIM, Serdar ÖZGÜLDÜR, </w:t>
      </w:r>
      <w:proofErr w:type="spellStart"/>
      <w:r w:rsidRPr="00695F1D">
        <w:rPr>
          <w:color w:val="010000"/>
        </w:rPr>
        <w:t>Serruh</w:t>
      </w:r>
      <w:proofErr w:type="spellEnd"/>
      <w:r w:rsidRPr="00695F1D">
        <w:rPr>
          <w:color w:val="010000"/>
        </w:rPr>
        <w:t xml:space="preserve"> KALELİ, Recep KÖMÜRCÜ, </w:t>
      </w:r>
      <w:proofErr w:type="spellStart"/>
      <w:r w:rsidRPr="00695F1D">
        <w:rPr>
          <w:color w:val="010000"/>
        </w:rPr>
        <w:t>Hicabi</w:t>
      </w:r>
      <w:proofErr w:type="spellEnd"/>
      <w:r w:rsidRPr="00695F1D">
        <w:rPr>
          <w:color w:val="010000"/>
        </w:rPr>
        <w:t xml:space="preserve"> DURSUN, Celal Mümtaz AKINCI, Muammer TOPAL, M. Emin KUZ, Hasan Tahsin</w:t>
      </w:r>
      <w:r w:rsidRPr="00695F1D">
        <w:rPr>
          <w:color w:val="010000"/>
        </w:rPr>
        <w:t xml:space="preserve"> GÖKCAN, Kadir ÖZKAYA, Rıdvan GÜLEÇ, Recai AKYEL ve Yusuf Şevki </w:t>
      </w:r>
      <w:proofErr w:type="spellStart"/>
      <w:r w:rsidRPr="00695F1D">
        <w:rPr>
          <w:color w:val="010000"/>
        </w:rPr>
        <w:t>HAKYEMEZ’in</w:t>
      </w:r>
      <w:proofErr w:type="spellEnd"/>
      <w:r w:rsidRPr="00695F1D">
        <w:rPr>
          <w:color w:val="010000"/>
        </w:rPr>
        <w:t xml:space="preserve"> katılımlarıyla 27/12/2018 tarihinde yapılan ilk inceleme toplantısında dosyada eksiklik bulunmadığından işin esasının incelenmesine OYBİRLİĞİYLE karar verilmiştir.</w:t>
      </w:r>
    </w:p>
    <w:p w:rsidR="00000000" w:rsidRPr="00695F1D" w:rsidRDefault="00F23C09" w:rsidP="00695F1D">
      <w:pPr>
        <w:spacing w:after="200"/>
        <w:ind w:left="283" w:right="283" w:firstLine="709"/>
        <w:jc w:val="both"/>
        <w:divId w:val="1187014963"/>
        <w:rPr>
          <w:color w:val="010000"/>
        </w:rPr>
      </w:pPr>
      <w:r w:rsidRPr="00695F1D">
        <w:rPr>
          <w:b/>
          <w:bCs/>
          <w:color w:val="010000"/>
        </w:rPr>
        <w:t>B. E.2019/75 S</w:t>
      </w:r>
      <w:r w:rsidRPr="00695F1D">
        <w:rPr>
          <w:b/>
          <w:bCs/>
          <w:color w:val="010000"/>
        </w:rPr>
        <w:t>ayılı Başvuru Yönünden</w:t>
      </w:r>
    </w:p>
    <w:p w:rsidR="00000000" w:rsidRPr="00695F1D" w:rsidRDefault="00F23C09" w:rsidP="00695F1D">
      <w:pPr>
        <w:spacing w:after="200"/>
        <w:ind w:left="283" w:right="283" w:firstLine="709"/>
        <w:jc w:val="both"/>
        <w:divId w:val="1187014963"/>
        <w:rPr>
          <w:color w:val="010000"/>
        </w:rPr>
      </w:pPr>
      <w:r w:rsidRPr="00695F1D">
        <w:rPr>
          <w:color w:val="010000"/>
        </w:rPr>
        <w:t xml:space="preserve">2. Anayasa Mahkemesi İçtüzüğü hükümleri uyarınca Zühtü ARSLAN, Engin YILDIRIM, Hasan Tahsin GÖKCAN, Serdar ÖZGÜLDÜR, Recep KÖMÜRCÜ, Burhan ÜSTÜN, </w:t>
      </w:r>
      <w:proofErr w:type="spellStart"/>
      <w:r w:rsidRPr="00695F1D">
        <w:rPr>
          <w:color w:val="010000"/>
        </w:rPr>
        <w:t>Hicabi</w:t>
      </w:r>
      <w:proofErr w:type="spellEnd"/>
      <w:r w:rsidRPr="00695F1D">
        <w:rPr>
          <w:color w:val="010000"/>
        </w:rPr>
        <w:t xml:space="preserve"> DURSUN, Celal Mümtaz AKINCI, Muammer TOPAL, M. Emin KUZ, Kadir ÖZKAYA, Recai A</w:t>
      </w:r>
      <w:r w:rsidRPr="00695F1D">
        <w:rPr>
          <w:color w:val="010000"/>
        </w:rPr>
        <w:t xml:space="preserve">KYEL, Yusuf Şevki HAKYEMEZ ve Yıldız </w:t>
      </w:r>
      <w:proofErr w:type="spellStart"/>
      <w:r w:rsidRPr="00695F1D">
        <w:rPr>
          <w:color w:val="010000"/>
        </w:rPr>
        <w:t>SEFERİNOĞLU’nun</w:t>
      </w:r>
      <w:proofErr w:type="spellEnd"/>
      <w:r w:rsidRPr="00695F1D">
        <w:rPr>
          <w:color w:val="010000"/>
        </w:rPr>
        <w:t xml:space="preserve"> katılımlarıyla 11/7/2019 tarihinde yapılan ilk inceleme toplantısında dosyada eksiklik bulunmadığından işin esasının incelenmesine OYBİRLİĞİYLE karar verilmiştir.</w:t>
      </w:r>
    </w:p>
    <w:p w:rsidR="00000000" w:rsidRPr="00695F1D" w:rsidRDefault="00F23C09" w:rsidP="00695F1D">
      <w:pPr>
        <w:spacing w:after="200"/>
        <w:ind w:left="283" w:right="283" w:firstLine="709"/>
        <w:jc w:val="both"/>
        <w:divId w:val="1187014963"/>
        <w:rPr>
          <w:color w:val="010000"/>
        </w:rPr>
      </w:pPr>
      <w:r w:rsidRPr="00695F1D">
        <w:rPr>
          <w:b/>
          <w:bCs/>
          <w:color w:val="010000"/>
        </w:rPr>
        <w:t xml:space="preserve">III. BİRLEŞTİRME KARARI </w:t>
      </w:r>
    </w:p>
    <w:p w:rsidR="00000000" w:rsidRPr="00695F1D" w:rsidRDefault="00F23C09" w:rsidP="00695F1D">
      <w:pPr>
        <w:spacing w:after="200"/>
        <w:ind w:left="283" w:right="283" w:firstLine="709"/>
        <w:jc w:val="both"/>
        <w:divId w:val="1187014963"/>
        <w:rPr>
          <w:color w:val="010000"/>
        </w:rPr>
      </w:pPr>
      <w:r w:rsidRPr="00695F1D">
        <w:rPr>
          <w:color w:val="010000"/>
        </w:rPr>
        <w:t>3. 1/2/2018</w:t>
      </w:r>
      <w:r w:rsidRPr="00695F1D">
        <w:rPr>
          <w:color w:val="010000"/>
        </w:rPr>
        <w:t xml:space="preserve"> tarihli ve 7075 sayılı Olağanüstü Hal İşlemleri İnceleme Komisyonu Kurulması Hakkında Kanun Hükmünde Kararnamenin Değiştirilerek Kabul Edilmesine Dair Kanun’un 10. maddesinin 25/7/2018 tarihli ve 7145 sayılı Kanun’un 22. maddesiyle değiştirilen (1) numara</w:t>
      </w:r>
      <w:r w:rsidRPr="00695F1D">
        <w:rPr>
          <w:color w:val="010000"/>
        </w:rPr>
        <w:t>lı fıkrasının üçüncü cümlesinin iptaline karar verilmesi talebiyle yapılan itiraz başvurusuna ilişkin E.2019/75 sayılı davanın aralarındaki hukuki irtibat nedeniyle E.2018/159 sayılı dava ile BİRLEŞTİRİLMESİNE, esasının kapatılmasına, esas incelemenin E.20</w:t>
      </w:r>
      <w:r w:rsidRPr="00695F1D">
        <w:rPr>
          <w:color w:val="010000"/>
        </w:rPr>
        <w:t xml:space="preserve">18/159 sayılı dosya üzerinden yürütülmesine 11/7/2019 tarihinde OYBİRLİĞİYLE karar verilmiştir. </w:t>
      </w:r>
    </w:p>
    <w:p w:rsidR="00000000" w:rsidRPr="00695F1D" w:rsidRDefault="00F23C09" w:rsidP="00695F1D">
      <w:pPr>
        <w:spacing w:after="200"/>
        <w:ind w:left="283" w:right="283" w:firstLine="709"/>
        <w:jc w:val="both"/>
        <w:divId w:val="1187014963"/>
        <w:rPr>
          <w:color w:val="010000"/>
        </w:rPr>
      </w:pPr>
      <w:r w:rsidRPr="00695F1D">
        <w:rPr>
          <w:b/>
          <w:bCs/>
          <w:color w:val="010000"/>
          <w:shd w:val="clear" w:color="auto" w:fill="FFFFFF"/>
        </w:rPr>
        <w:t>IV.</w:t>
      </w:r>
      <w:r w:rsidR="00695F1D" w:rsidRPr="00695F1D">
        <w:rPr>
          <w:b/>
          <w:bCs/>
          <w:color w:val="010000"/>
          <w:shd w:val="clear" w:color="auto" w:fill="FFFFFF"/>
        </w:rPr>
        <w:t xml:space="preserve"> </w:t>
      </w:r>
      <w:r w:rsidRPr="00695F1D">
        <w:rPr>
          <w:b/>
          <w:bCs/>
          <w:color w:val="010000"/>
          <w:shd w:val="clear" w:color="auto" w:fill="FFFFFF"/>
        </w:rPr>
        <w:t>ESASIN İNCELENMESİ</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4. Başvuru kararı ve ekleri, Raportör Fatih ŞAHİN tarafından hazırlanan işin esasına ilişkin rapor, itiraz konusu kanun hükmü, daya</w:t>
      </w:r>
      <w:r w:rsidRPr="00695F1D">
        <w:rPr>
          <w:color w:val="010000"/>
          <w:shd w:val="clear" w:color="auto" w:fill="FFFFFF"/>
        </w:rPr>
        <w:t>nılan ve ilgili görülen Anayasa kuralları ve bunların gerekçeleri ile diğer yasama belgeleri okunup incelendikten sonra gereği görüşülüp düşünüldü:</w:t>
      </w:r>
    </w:p>
    <w:p w:rsidR="00000000" w:rsidRPr="00695F1D" w:rsidRDefault="00F23C09" w:rsidP="00695F1D">
      <w:pPr>
        <w:spacing w:after="200"/>
        <w:ind w:left="283" w:right="283" w:firstLine="709"/>
        <w:jc w:val="both"/>
        <w:divId w:val="1187014963"/>
        <w:rPr>
          <w:color w:val="010000"/>
        </w:rPr>
      </w:pPr>
      <w:r w:rsidRPr="00695F1D">
        <w:rPr>
          <w:b/>
          <w:bCs/>
          <w:color w:val="010000"/>
          <w:shd w:val="clear" w:color="auto" w:fill="FFFFFF"/>
        </w:rPr>
        <w:t xml:space="preserve">A. Anlam ve Kapsam </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 xml:space="preserve">5. 15 Temmuz darbe girişiminden sonra olağanüstü hâlin </w:t>
      </w:r>
      <w:r w:rsidRPr="00695F1D">
        <w:rPr>
          <w:color w:val="010000"/>
          <w:shd w:val="clear" w:color="auto" w:fill="FFFFFF"/>
        </w:rPr>
        <w:t xml:space="preserve">ilan edilmesi ve bu kararın Türkiye Büyük Millet Meclisi (TBMM) tarafından onaylanmasını takip eden süreçte </w:t>
      </w:r>
      <w:r w:rsidRPr="00695F1D">
        <w:rPr>
          <w:color w:val="010000"/>
          <w:shd w:val="clear" w:color="auto" w:fill="FFFFFF"/>
        </w:rPr>
        <w:lastRenderedPageBreak/>
        <w:t>Cumhurbaşkanı’nın başkanlığında toplanan Bakanlar Kurulu tarafından Anayasa’nın o tarihte yürürlükte bulunan 121. maddesine dayanılarak olağanüstü h</w:t>
      </w:r>
      <w:r w:rsidRPr="00695F1D">
        <w:rPr>
          <w:color w:val="010000"/>
          <w:shd w:val="clear" w:color="auto" w:fill="FFFFFF"/>
        </w:rPr>
        <w:t>âl kanun hükmünde kararnameleri (OHAL KHK’ları) çıkarılmıştır</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6. Adı geçen KHK’lar ile olağanüstü hâlin ilanına sebep olan olay ve olguların bertaraf edilmesi amacıyla kişi ve kuruluşlara yönelik birtakım tedbirler öngörülmüştür. Bu kapsamda, terör örgüt</w:t>
      </w:r>
      <w:r w:rsidRPr="00695F1D">
        <w:rPr>
          <w:color w:val="010000"/>
          <w:shd w:val="clear" w:color="auto" w:fill="FFFFFF"/>
        </w:rPr>
        <w:t>leriyle bağlantılı olduğu gerekçesiyle çok sayıda kamu görevlisi kamu görevinden çıkarılmıştır.</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7. Söz konusu kamu görevinden çıkarmalar bir idari işlem olmaksızın, doğrudan KHK hükümleri ile gerçekleştirilmiştir. Doğrudan olağanüstü hâl KHK’ları ile uyg</w:t>
      </w:r>
      <w:r w:rsidRPr="00695F1D">
        <w:rPr>
          <w:color w:val="010000"/>
          <w:shd w:val="clear" w:color="auto" w:fill="FFFFFF"/>
        </w:rPr>
        <w:t xml:space="preserve">ulanan tedbirler herhangi bir idari işleme dayanmadığından bu tedbirlere karşı idari yargı mercilerinde dava açma imkânı bulunmamaktadır. </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8. 2/1/2017 tarihli ve 685 sayılı Olağanüstü Hal İşlemleri İnceleme Komisyonu Kurulması Hakkında KHK ile OHAL kapsa</w:t>
      </w:r>
      <w:r w:rsidRPr="00695F1D">
        <w:rPr>
          <w:color w:val="010000"/>
          <w:shd w:val="clear" w:color="auto" w:fill="FFFFFF"/>
        </w:rPr>
        <w:t>mında başka bir işlem tesis edilmeksizin, doğrudan KHK ile tesis edilen işlemlere ilişkin başvuruları değerlendirmek ve karara bağlamak üzere Olağanüstü Hal İşlemleri İnceleme Komisyonu (Komisyon) kurulmuştur. Adı geçen KHK 7075 sayılı Kanun’la TBMM tarafı</w:t>
      </w:r>
      <w:r w:rsidRPr="00695F1D">
        <w:rPr>
          <w:color w:val="010000"/>
          <w:shd w:val="clear" w:color="auto" w:fill="FFFFFF"/>
        </w:rPr>
        <w:t>ndan kabul edilerek yasalaşmıştır.</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9. Kanun’un 2. maddesinde Komisyonun görevleri düzenlenmiştir. Maddenin (1) numaralı fıkrasının (a) bendinde “</w:t>
      </w:r>
      <w:r w:rsidRPr="00695F1D">
        <w:rPr>
          <w:i/>
          <w:iCs/>
          <w:color w:val="010000"/>
          <w:shd w:val="clear" w:color="auto" w:fill="FFFFFF"/>
        </w:rPr>
        <w:t>olağanüstü hâl kapsamında doğrudan kanun hükmünde kararnameler ile tesis edilen kamu görevinden, meslekten ve</w:t>
      </w:r>
      <w:r w:rsidRPr="00695F1D">
        <w:rPr>
          <w:i/>
          <w:iCs/>
          <w:color w:val="010000"/>
          <w:shd w:val="clear" w:color="auto" w:fill="FFFFFF"/>
        </w:rPr>
        <w:t>ya görev yapılan teşkilattan çıkarma ya da ilişiğin kesilmesine ilişkin işlemler hakkındaki başvuruları değerlendirip karar vermek”</w:t>
      </w:r>
      <w:r w:rsidRPr="00695F1D">
        <w:rPr>
          <w:color w:val="010000"/>
          <w:shd w:val="clear" w:color="auto" w:fill="FFFFFF"/>
        </w:rPr>
        <w:t xml:space="preserve"> Komisyonun görevleri arasında sayılmıştır. Kanun’un 9. maddesinin (1) numaralı fıkrasında Komisyonun incelemelerini dosya üz</w:t>
      </w:r>
      <w:r w:rsidRPr="00695F1D">
        <w:rPr>
          <w:color w:val="010000"/>
          <w:shd w:val="clear" w:color="auto" w:fill="FFFFFF"/>
        </w:rPr>
        <w:t>erinden yapacağı ve inceleme sonucunda başvurunun reddine veya kabulüne karar verebileceği hüküm altına alınmıştır.</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10. Kanun’un 10. maddesinde ise Komisyon kararlarının uygulanmasına ilişkin usul ve esaslar düzenlenmiştir. Maddenin (1) numaralı fıkrasın</w:t>
      </w:r>
      <w:r w:rsidRPr="00695F1D">
        <w:rPr>
          <w:color w:val="010000"/>
          <w:shd w:val="clear" w:color="auto" w:fill="FFFFFF"/>
        </w:rPr>
        <w:t>ın birinci cümlesinde kamu görevinden, meslekten veya görev yapılan teşkilattan çıkarılan ya da teşkilatla ilişiği kesilenlere ilişkin başvurunun kabulü hâlinde kararın kadro veya pozisyonunun bulunduğu kuruma, yükseköğretim kurumlarında kamu görevinden çı</w:t>
      </w:r>
      <w:r w:rsidRPr="00695F1D">
        <w:rPr>
          <w:color w:val="010000"/>
          <w:shd w:val="clear" w:color="auto" w:fill="FFFFFF"/>
        </w:rPr>
        <w:t>karılan öğretim elemanları için Yükseköğretim Kurulu Başkanlığına bildirileceği belirtilmiş; ikinci cümlesinde kamu görevine iade edilmesine karar verilenlerin eski kadro veya pozisyonuna atanmasının esas olduğu ifade edilmiştir. Fıkranın itiraz konusu üçü</w:t>
      </w:r>
      <w:r w:rsidRPr="00695F1D">
        <w:rPr>
          <w:color w:val="010000"/>
          <w:shd w:val="clear" w:color="auto" w:fill="FFFFFF"/>
        </w:rPr>
        <w:t>ncü cümlesinde ise müdür yardımcısı veya daha üstü ile bunlara eşdeğer yöneticilik görevinde bulunmakta iken kamu görevinden çıkarılmış olanların atamalarında, söz konusu yöneticilik görevlerinden önce bulundukları kadro ve pozisyon unvanlarının dikkate al</w:t>
      </w:r>
      <w:r w:rsidRPr="00695F1D">
        <w:rPr>
          <w:color w:val="010000"/>
          <w:shd w:val="clear" w:color="auto" w:fill="FFFFFF"/>
        </w:rPr>
        <w:t xml:space="preserve">ınacağı hüküm altına alınmıştır. </w:t>
      </w:r>
    </w:p>
    <w:p w:rsidR="00000000" w:rsidRPr="00695F1D" w:rsidRDefault="00F23C09" w:rsidP="00695F1D">
      <w:pPr>
        <w:spacing w:after="200"/>
        <w:ind w:left="283" w:right="283" w:firstLine="709"/>
        <w:jc w:val="both"/>
        <w:divId w:val="1187014963"/>
        <w:rPr>
          <w:color w:val="010000"/>
        </w:rPr>
      </w:pPr>
      <w:r w:rsidRPr="00695F1D">
        <w:rPr>
          <w:color w:val="010000"/>
          <w:shd w:val="clear" w:color="auto" w:fill="FFFFFF"/>
        </w:rPr>
        <w:t>11. Buna göre kamu kurum veya kuruluşlarında müdür yardımcısı veya daha üstü ile bunlara eşdeğer yöneticilik görevinde iken kamu görevinden çıkarılmış olan kişilerin Komisyon kararı sonrasında yeniden kamu görevine atanm</w:t>
      </w:r>
      <w:r w:rsidRPr="00695F1D">
        <w:rPr>
          <w:color w:val="010000"/>
          <w:shd w:val="clear" w:color="auto" w:fill="FFFFFF"/>
        </w:rPr>
        <w:t>alarında, itiraz konusu kural uyarınca yöneticilik görevlerinden önce bulundukları kadro ve pozisyon unvanları dikkate alınacaktır.</w:t>
      </w:r>
    </w:p>
    <w:p w:rsidR="00000000" w:rsidRPr="00695F1D" w:rsidRDefault="00F23C09" w:rsidP="00695F1D">
      <w:pPr>
        <w:spacing w:after="200"/>
        <w:ind w:left="283" w:right="283" w:firstLine="709"/>
        <w:jc w:val="both"/>
        <w:divId w:val="1187014963"/>
        <w:rPr>
          <w:color w:val="010000"/>
        </w:rPr>
      </w:pPr>
      <w:r w:rsidRPr="00695F1D">
        <w:rPr>
          <w:b/>
          <w:bCs/>
          <w:color w:val="010000"/>
        </w:rPr>
        <w:t>B. İtirazların Gerekçesi</w:t>
      </w:r>
    </w:p>
    <w:p w:rsidR="00000000" w:rsidRPr="00695F1D" w:rsidRDefault="00F23C09" w:rsidP="00695F1D">
      <w:pPr>
        <w:spacing w:after="200"/>
        <w:ind w:left="283" w:right="283" w:firstLine="709"/>
        <w:jc w:val="both"/>
        <w:divId w:val="1187014963"/>
        <w:rPr>
          <w:color w:val="010000"/>
        </w:rPr>
      </w:pPr>
      <w:r w:rsidRPr="00695F1D">
        <w:rPr>
          <w:color w:val="010000"/>
        </w:rPr>
        <w:t>12. Başvuru kararlarında özetle; itiraz konusu kuralın, kamu kurum ve kuruluşlarında müdür yard</w:t>
      </w:r>
      <w:r w:rsidRPr="00695F1D">
        <w:rPr>
          <w:color w:val="010000"/>
        </w:rPr>
        <w:t>ımcısı veya daha üstü ile bunlara eşdeğer yönetici olarak görev yapmakta iken OHAL KHK’larıyla kamu görevinden çıkarılan ancak Komisyon kararıyla tekrar kamu görevine iade edilen kamu görevlilerinin görevden çıkarılmadan önceki görevlerine dönme hakkını ne</w:t>
      </w:r>
      <w:r w:rsidRPr="00695F1D">
        <w:rPr>
          <w:color w:val="010000"/>
        </w:rPr>
        <w:t xml:space="preserve">snel ve somut bir sebep bulunmaksızın ortadan kaldırdığı, kişilerin ehliyet ve liyakat ilkeleri kapsamında </w:t>
      </w:r>
      <w:r w:rsidRPr="00695F1D">
        <w:rPr>
          <w:color w:val="010000"/>
        </w:rPr>
        <w:lastRenderedPageBreak/>
        <w:t>hukuka uygun bir şekilde elde ettikleri görevlerde çalışmasına engel olduğu, bu durumun hukuk devletinin temel ilkeleri olan kazanılmış hakların koru</w:t>
      </w:r>
      <w:r w:rsidRPr="00695F1D">
        <w:rPr>
          <w:color w:val="010000"/>
        </w:rPr>
        <w:t>nması ve hukuk güvenliği ilkelerini ihlal ettiği, aynı ortamda çalışanlar arasındaki malî ve sosyal dengeyi bozarak çalışma barışını olumsuz etkilediği belirtilerek Anayasa’nın 2., 5., 10. ve 49. maddelerine aykırı olduğu ileri sürülmüştür.</w:t>
      </w:r>
    </w:p>
    <w:p w:rsidR="00000000" w:rsidRPr="00695F1D" w:rsidRDefault="00F23C09" w:rsidP="00695F1D">
      <w:pPr>
        <w:spacing w:after="200"/>
        <w:ind w:left="283" w:right="283" w:firstLine="709"/>
        <w:jc w:val="both"/>
        <w:divId w:val="1187014963"/>
        <w:rPr>
          <w:color w:val="010000"/>
        </w:rPr>
      </w:pPr>
      <w:r w:rsidRPr="00695F1D">
        <w:rPr>
          <w:b/>
          <w:bCs/>
          <w:color w:val="010000"/>
        </w:rPr>
        <w:t>C. Anayasa’ya</w:t>
      </w:r>
      <w:r w:rsidRPr="00695F1D">
        <w:rPr>
          <w:b/>
          <w:bCs/>
          <w:color w:val="010000"/>
        </w:rPr>
        <w:t xml:space="preserve"> Aykırılık Sorunu </w:t>
      </w:r>
    </w:p>
    <w:p w:rsidR="00000000" w:rsidRPr="00695F1D" w:rsidRDefault="00F23C09" w:rsidP="00695F1D">
      <w:pPr>
        <w:spacing w:after="200"/>
        <w:ind w:left="283" w:right="283" w:firstLine="709"/>
        <w:jc w:val="both"/>
        <w:divId w:val="1187014963"/>
        <w:rPr>
          <w:color w:val="010000"/>
        </w:rPr>
      </w:pPr>
      <w:r w:rsidRPr="00695F1D">
        <w:rPr>
          <w:color w:val="010000"/>
        </w:rPr>
        <w:t xml:space="preserve">13. 30/3/2011 tarihli ve 6216 sayılı Anayasa Mahkemesinin Kuruluşu ve Yargılama Usulleri Hakkında Kanun’un 43. maddesi uyarınca kural, ilgisi nedeniyle Anayasa’nın 13. ve 20. maddeleri yönünden incelenmiştir. </w:t>
      </w:r>
    </w:p>
    <w:p w:rsidR="00000000" w:rsidRPr="00695F1D" w:rsidRDefault="00F23C09" w:rsidP="00695F1D">
      <w:pPr>
        <w:spacing w:after="200"/>
        <w:ind w:left="283" w:right="283" w:firstLine="709"/>
        <w:jc w:val="both"/>
        <w:divId w:val="1187014963"/>
        <w:rPr>
          <w:color w:val="010000"/>
        </w:rPr>
      </w:pPr>
      <w:r w:rsidRPr="00695F1D">
        <w:rPr>
          <w:color w:val="010000"/>
        </w:rPr>
        <w:t>14. Anayasa’nın “</w:t>
      </w:r>
      <w:r w:rsidRPr="00695F1D">
        <w:rPr>
          <w:i/>
          <w:iCs/>
          <w:color w:val="010000"/>
        </w:rPr>
        <w:t>Özel h</w:t>
      </w:r>
      <w:r w:rsidRPr="00695F1D">
        <w:rPr>
          <w:i/>
          <w:iCs/>
          <w:color w:val="010000"/>
        </w:rPr>
        <w:t>ayatın gizliliği</w:t>
      </w:r>
      <w:r w:rsidRPr="00695F1D">
        <w:rPr>
          <w:color w:val="010000"/>
        </w:rPr>
        <w:t>” başlıklı 20. maddesinin birinci fıkrasında “</w:t>
      </w:r>
      <w:r w:rsidRPr="00695F1D">
        <w:rPr>
          <w:i/>
          <w:iCs/>
          <w:color w:val="010000"/>
        </w:rPr>
        <w:t>Herkes, özel hayatına ve aile hayatına saygı gösterilmesini isteme hakkına sahiptir. Özel hayatın ve aile hayatının gizliliğine dokunulamaz.</w:t>
      </w:r>
      <w:r w:rsidRPr="00695F1D">
        <w:rPr>
          <w:color w:val="010000"/>
        </w:rPr>
        <w:t>” hükmü yer almaktadır.</w:t>
      </w:r>
    </w:p>
    <w:p w:rsidR="00000000" w:rsidRPr="00695F1D" w:rsidRDefault="00F23C09" w:rsidP="00695F1D">
      <w:pPr>
        <w:spacing w:after="200"/>
        <w:ind w:left="283" w:right="283" w:firstLine="709"/>
        <w:jc w:val="both"/>
        <w:divId w:val="1187014963"/>
        <w:rPr>
          <w:color w:val="010000"/>
        </w:rPr>
      </w:pPr>
      <w:r w:rsidRPr="00695F1D">
        <w:rPr>
          <w:color w:val="010000"/>
        </w:rPr>
        <w:t>15. Anılan maddenin gerekçes</w:t>
      </w:r>
      <w:r w:rsidRPr="00695F1D">
        <w:rPr>
          <w:color w:val="010000"/>
        </w:rPr>
        <w:t>inde de belirtildiği üzere özel hayata saygı gösterilmesini isteme hakkı; bir yönüyle özel hayatın gizliliğinin korunmasını, başkalarının gözleri önüne serilmemesini, bir başka ifadeyle kişinin özel hayatında yaşananların yalnız kendisi veya kendisinin bil</w:t>
      </w:r>
      <w:r w:rsidRPr="00695F1D">
        <w:rPr>
          <w:color w:val="010000"/>
        </w:rPr>
        <w:t>mesini istediği kimseler tarafından bilinmesini isteme hakkını korurken diğer yönüyle resmî makamların özel hayata müdahale edememesi, yani kişinin ferdî ve aile hayatını kendi anladığı gibi düzenleyip yaşayabilmesi hakkını güvence altına almaktadır.</w:t>
      </w:r>
    </w:p>
    <w:p w:rsidR="00000000" w:rsidRPr="00695F1D" w:rsidRDefault="00F23C09" w:rsidP="00695F1D">
      <w:pPr>
        <w:spacing w:after="200"/>
        <w:ind w:left="283" w:right="283" w:firstLine="709"/>
        <w:jc w:val="both"/>
        <w:divId w:val="1187014963"/>
        <w:rPr>
          <w:color w:val="010000"/>
        </w:rPr>
      </w:pPr>
      <w:r w:rsidRPr="00695F1D">
        <w:rPr>
          <w:color w:val="010000"/>
        </w:rPr>
        <w:t>16. Meslek hayatını etkileyen bir düzenlemenin sebep unsurunu özel hayata ilişkin davranışlar oluşturmamakla birlikte söz konusu düzenleme, sonuçları itibarıyla kişilerin özel hayatını önemli ölçüde etkileyebilir. Kamu görevlilerinin yönetici kadro veya po</w:t>
      </w:r>
      <w:r w:rsidRPr="00695F1D">
        <w:rPr>
          <w:color w:val="010000"/>
        </w:rPr>
        <w:t>zisyonlarına veya bu görevlerden alınarak başka bir kadroya atanmasına yönelik düzenlemeler kişilerin kariyerlerini etkileyeceği gibi meslek hayatında üçüncü kişilerle kuracağı ilişkiler ve bu kişiler nezdindeki itibarı üzerinde de etkili olabilir. Dolayıs</w:t>
      </w:r>
      <w:r w:rsidRPr="00695F1D">
        <w:rPr>
          <w:color w:val="010000"/>
        </w:rPr>
        <w:t>ıyla kişilerin kariyerlerini önemli ölçüde etkileyen düzenlemelerin özel hayata saygı gösterilmesi hakkına sınırlama oluşturacağı açıktır. Bu çerçevede kişilerin meslek hayatlarında yönetici pozisyonuna atanamamasını düzenleyen kural özel hayata saygı göst</w:t>
      </w:r>
      <w:r w:rsidRPr="00695F1D">
        <w:rPr>
          <w:color w:val="010000"/>
        </w:rPr>
        <w:t>erilmesini isteme hakkına sınırlama getirmektedir.</w:t>
      </w:r>
    </w:p>
    <w:p w:rsidR="00000000" w:rsidRPr="00695F1D" w:rsidRDefault="00F23C09" w:rsidP="00695F1D">
      <w:pPr>
        <w:spacing w:after="200"/>
        <w:ind w:left="283" w:right="283" w:firstLine="709"/>
        <w:jc w:val="both"/>
        <w:divId w:val="1187014963"/>
        <w:rPr>
          <w:color w:val="010000"/>
        </w:rPr>
      </w:pPr>
      <w:r w:rsidRPr="00695F1D">
        <w:rPr>
          <w:color w:val="010000"/>
        </w:rPr>
        <w:t>17. Anayasa’nın 13. maddesinde</w:t>
      </w:r>
      <w:r w:rsidRPr="00695F1D">
        <w:rPr>
          <w:i/>
          <w:iCs/>
          <w:color w:val="010000"/>
        </w:rPr>
        <w:t xml:space="preserve"> “Temel hak ve hürriyetler, özlerine dokunulmaksızın yalnızca Anayasanın ilgili maddelerinde belirtilen sebeplere bağlı olarak ve ancak kanunla sınırlanabilir. Bu sınırlamal</w:t>
      </w:r>
      <w:r w:rsidRPr="00695F1D">
        <w:rPr>
          <w:i/>
          <w:iCs/>
          <w:color w:val="010000"/>
        </w:rPr>
        <w:t xml:space="preserve">ar, Anayasanın sözüne ve ruhuna, demokratik toplum düzeninin ve lâik Cumhuriyetin gereklerine ve ölçülülük ilkesine aykırı olamaz.” </w:t>
      </w:r>
      <w:r w:rsidRPr="00695F1D">
        <w:rPr>
          <w:color w:val="010000"/>
        </w:rPr>
        <w:t>denilmektedir. Anayasa’nın anılan maddesi uyarınca temel hak ve özgürlükler, yalnızca Anayasa’nın ilgili maddelerinde belirt</w:t>
      </w:r>
      <w:r w:rsidRPr="00695F1D">
        <w:rPr>
          <w:color w:val="010000"/>
        </w:rPr>
        <w:t>ilen sebeplere bağlı olarak sınırlanabilir. Ayrıca getirilen bu sınırlamalar demokratik toplum düzeninin gereklerine ve ölçülülük ilkesine aykırı olamaz.</w:t>
      </w:r>
    </w:p>
    <w:p w:rsidR="00000000" w:rsidRPr="00695F1D" w:rsidRDefault="00F23C09" w:rsidP="00695F1D">
      <w:pPr>
        <w:spacing w:after="200"/>
        <w:ind w:left="283" w:right="283" w:firstLine="709"/>
        <w:jc w:val="both"/>
        <w:divId w:val="1187014963"/>
        <w:rPr>
          <w:color w:val="010000"/>
        </w:rPr>
      </w:pPr>
      <w:r w:rsidRPr="00695F1D">
        <w:rPr>
          <w:color w:val="010000"/>
        </w:rPr>
        <w:t>18. Anayasa’nın 20. maddesinde özel hayata saygı gösterilmesini isteme hakkı için sınırlama nedeni ö</w:t>
      </w:r>
      <w:r w:rsidRPr="00695F1D">
        <w:rPr>
          <w:color w:val="010000"/>
        </w:rPr>
        <w:t>ngörülmemiş olmakla birlikte bunun hiçbir şekilde sınırlandırılması mümkün olmayan mutlak bir hak olduğu düşünülemez. Anayasa Mahkemesi kararlarında, Anayasa'nın başka maddelerinde yer alan hak ve özgürlükler ile devlete ve kişilere yüklenen ödevlerin özel</w:t>
      </w:r>
      <w:r w:rsidRPr="00695F1D">
        <w:rPr>
          <w:color w:val="010000"/>
        </w:rPr>
        <w:t xml:space="preserve"> sınırlama sebebi gösterilmemiş hak ve özgürlüklere sınır teşkil edebileceği kabul edilmektedir.</w:t>
      </w:r>
    </w:p>
    <w:p w:rsidR="00000000" w:rsidRPr="00695F1D" w:rsidRDefault="00F23C09" w:rsidP="00695F1D">
      <w:pPr>
        <w:spacing w:after="200"/>
        <w:ind w:left="283" w:right="283" w:firstLine="709"/>
        <w:jc w:val="both"/>
        <w:divId w:val="1187014963"/>
        <w:rPr>
          <w:color w:val="010000"/>
        </w:rPr>
      </w:pPr>
      <w:r w:rsidRPr="00695F1D">
        <w:rPr>
          <w:color w:val="010000"/>
        </w:rPr>
        <w:t>19. Anayasa'nın 129. maddesinin birinci fıkrasında memurlar ve kamu görevlilerinin Anayasa ve kanunlara sadık kalarak faaliyette bulunma yükümlülükleri düzen</w:t>
      </w:r>
      <w:r w:rsidRPr="00695F1D">
        <w:rPr>
          <w:color w:val="010000"/>
        </w:rPr>
        <w:t>lenmiştir. Belirtilen hususlar gözetilerek kamu görevlilerinin yönetici kadro veya pozisyonlarına ya da bu görevlerden alınarak başka bir kadroya atanmasına yönelik düzenlemeler getirilmesi doğaldır. Bu çerçevede yönetici pozisyonunda görev yapmakta iken t</w:t>
      </w:r>
      <w:r w:rsidRPr="00695F1D">
        <w:rPr>
          <w:color w:val="010000"/>
        </w:rPr>
        <w:t xml:space="preserve">erör örgütlerine veya devletin millî </w:t>
      </w:r>
      <w:r w:rsidRPr="00695F1D">
        <w:rPr>
          <w:color w:val="010000"/>
        </w:rPr>
        <w:lastRenderedPageBreak/>
        <w:t xml:space="preserve">güvenliğine karşı faaliyette bulunduğuna Millî Güvenlik Kurulunca karar verilen yapı, oluşum veya gruplara üyeliği, mensubiyeti, aidiyeti, </w:t>
      </w:r>
      <w:proofErr w:type="spellStart"/>
      <w:r w:rsidRPr="00695F1D">
        <w:rPr>
          <w:color w:val="010000"/>
        </w:rPr>
        <w:t>iltisakı</w:t>
      </w:r>
      <w:proofErr w:type="spellEnd"/>
      <w:r w:rsidRPr="00695F1D">
        <w:rPr>
          <w:color w:val="010000"/>
        </w:rPr>
        <w:t xml:space="preserve"> veya bunlarla irtibatı olduğu gerekçesiyle kamu görevinden çıkarılan</w:t>
      </w:r>
      <w:r w:rsidRPr="00695F1D">
        <w:rPr>
          <w:color w:val="010000"/>
        </w:rPr>
        <w:t xml:space="preserve"> </w:t>
      </w:r>
      <w:r w:rsidRPr="00695F1D">
        <w:rPr>
          <w:color w:val="010000"/>
        </w:rPr>
        <w:t>ka</w:t>
      </w:r>
      <w:r w:rsidRPr="00695F1D">
        <w:rPr>
          <w:color w:val="010000"/>
        </w:rPr>
        <w:t>mu görevlilerinin Komisyon kararı sonrasında yeniden atamaları yapılırken yöneticilik görevlerinden önce bulundukları kadro ve pozisyon unvanlarının dikkate alınmasını öngören kuralın kamu hizmetinin etkin ve sağlıklı bir biçimde yürütülmesine yönelik meşr</w:t>
      </w:r>
      <w:r w:rsidRPr="00695F1D">
        <w:rPr>
          <w:color w:val="010000"/>
        </w:rPr>
        <w:t>u bir amacının bulunduğu söylenebilir.</w:t>
      </w:r>
    </w:p>
    <w:p w:rsidR="00000000" w:rsidRPr="00695F1D" w:rsidRDefault="00F23C09" w:rsidP="00695F1D">
      <w:pPr>
        <w:spacing w:after="200"/>
        <w:ind w:left="283" w:right="283" w:firstLine="709"/>
        <w:jc w:val="both"/>
        <w:divId w:val="1187014963"/>
        <w:rPr>
          <w:color w:val="010000"/>
        </w:rPr>
      </w:pPr>
      <w:r w:rsidRPr="00695F1D">
        <w:rPr>
          <w:color w:val="010000"/>
        </w:rPr>
        <w:t xml:space="preserve">20. Temel hak ve özgürlüklerin sınırlama rejimini düzenleyen Anayasa’nın 13. maddesinde yer alan </w:t>
      </w:r>
      <w:r w:rsidRPr="00695F1D">
        <w:rPr>
          <w:i/>
          <w:iCs/>
          <w:color w:val="010000"/>
        </w:rPr>
        <w:t>demokratik toplum düzeninin gerekleri</w:t>
      </w:r>
      <w:r w:rsidRPr="00695F1D">
        <w:rPr>
          <w:color w:val="010000"/>
        </w:rPr>
        <w:t>nden olma ölçütü, bir sınırlamanın demokratik bir toplumda zorlayıcı bir toplumsa</w:t>
      </w:r>
      <w:r w:rsidRPr="00695F1D">
        <w:rPr>
          <w:color w:val="010000"/>
        </w:rPr>
        <w:t>l ihtiyacın karşılanması amacına yönelik olmasını ifade etmektedir. Buna göre sınırlayıcı tedbir, zorlayıcı bir toplumsal ihtiyacı karşılamıyorsa demokratik toplum düzeninin gereklerine uygun bir tedbir olarak değerlendirilemez.</w:t>
      </w:r>
      <w:r w:rsidRPr="00695F1D">
        <w:rPr>
          <w:i/>
          <w:iCs/>
          <w:color w:val="010000"/>
        </w:rPr>
        <w:t xml:space="preserve"> </w:t>
      </w:r>
    </w:p>
    <w:p w:rsidR="00000000" w:rsidRPr="00695F1D" w:rsidRDefault="00F23C09" w:rsidP="00695F1D">
      <w:pPr>
        <w:spacing w:after="200"/>
        <w:ind w:left="283" w:right="283" w:firstLine="709"/>
        <w:jc w:val="both"/>
        <w:divId w:val="1187014963"/>
        <w:rPr>
          <w:color w:val="010000"/>
        </w:rPr>
      </w:pPr>
      <w:r w:rsidRPr="00695F1D">
        <w:rPr>
          <w:color w:val="010000"/>
        </w:rPr>
        <w:t>21.</w:t>
      </w:r>
      <w:r w:rsidRPr="00695F1D">
        <w:rPr>
          <w:i/>
          <w:iCs/>
          <w:color w:val="010000"/>
        </w:rPr>
        <w:t xml:space="preserve"> Ölçülülük ilkesi</w:t>
      </w:r>
      <w:r w:rsidRPr="00695F1D">
        <w:rPr>
          <w:color w:val="010000"/>
        </w:rPr>
        <w:t xml:space="preserve"> ise</w:t>
      </w:r>
      <w:r w:rsidRPr="00695F1D">
        <w:rPr>
          <w:color w:val="010000"/>
        </w:rPr>
        <w:t xml:space="preserve"> elverişlilik, gereklilik ve orantılılık olmak üzere üç alt ilkeden oluşmaktadır. </w:t>
      </w:r>
      <w:r w:rsidRPr="00695F1D">
        <w:rPr>
          <w:i/>
          <w:iCs/>
          <w:color w:val="010000"/>
        </w:rPr>
        <w:t>Elverişlilik</w:t>
      </w:r>
      <w:r w:rsidRPr="00695F1D">
        <w:rPr>
          <w:color w:val="010000"/>
        </w:rPr>
        <w:t xml:space="preserve"> öngörülen sınırlamanın ulaşılmak istenen amacı gerçekleştirmeye elverişli olmasını, </w:t>
      </w:r>
      <w:r w:rsidRPr="00695F1D">
        <w:rPr>
          <w:i/>
          <w:iCs/>
          <w:color w:val="010000"/>
        </w:rPr>
        <w:t>gereklilik</w:t>
      </w:r>
      <w:r w:rsidRPr="00695F1D">
        <w:rPr>
          <w:color w:val="010000"/>
        </w:rPr>
        <w:t xml:space="preserve"> ulaşılmak </w:t>
      </w:r>
      <w:r w:rsidRPr="00695F1D">
        <w:rPr>
          <w:color w:val="010000"/>
        </w:rPr>
        <w:t xml:space="preserve">istenen amaç bakımından sınırlamanın zorunlu olmasını, diğer bir ifadeyle aynı amaca daha hafif bir sınırlama ile ulaşılmasının mümkün olmamasını, </w:t>
      </w:r>
      <w:r w:rsidRPr="00695F1D">
        <w:rPr>
          <w:i/>
          <w:iCs/>
          <w:color w:val="010000"/>
        </w:rPr>
        <w:t>orantılılık</w:t>
      </w:r>
      <w:r w:rsidRPr="00695F1D">
        <w:rPr>
          <w:color w:val="010000"/>
        </w:rPr>
        <w:t xml:space="preserve"> ise hakka getirilen sınırlama ile ulaşılmak istenen amaç arasında makul bir dengenin gözetilmesi </w:t>
      </w:r>
      <w:r w:rsidRPr="00695F1D">
        <w:rPr>
          <w:color w:val="010000"/>
        </w:rPr>
        <w:t>gerekliliğini ifade etmektedir.</w:t>
      </w:r>
    </w:p>
    <w:p w:rsidR="00000000" w:rsidRPr="00695F1D" w:rsidRDefault="00F23C09" w:rsidP="00695F1D">
      <w:pPr>
        <w:spacing w:after="200"/>
        <w:ind w:left="283" w:right="283" w:firstLine="709"/>
        <w:jc w:val="both"/>
        <w:divId w:val="1187014963"/>
        <w:rPr>
          <w:color w:val="010000"/>
        </w:rPr>
      </w:pPr>
      <w:r w:rsidRPr="00695F1D">
        <w:rPr>
          <w:color w:val="010000"/>
        </w:rPr>
        <w:t>22. Anayasa’nın 128. maddesinde devletin, kamu iktisadi teşebbüsleri ve diğer kamu tüzel kişilerinin genel idare esaslarına göre yürütmekle yükümlü oldukları kamu hizmetlerinin gerektirdiği asli ve sürekli görevlerin memur</w:t>
      </w:r>
      <w:r w:rsidRPr="00695F1D">
        <w:rPr>
          <w:color w:val="010000"/>
        </w:rPr>
        <w:t>lar ve diğer kamu görevlileri eliyle görüleceği, memurların ve diğer kamu görevlilerinin nitelikleri, atanmaları, görev ve yetkileri, hakları ve yükümlülükleri, aylık ve ödenekleri ile diğer özlük işlerinin malî ve sosyal haklara ilişkin toplu sözleşme hük</w:t>
      </w:r>
      <w:r w:rsidRPr="00695F1D">
        <w:rPr>
          <w:color w:val="010000"/>
        </w:rPr>
        <w:t>ümleri saklı kalmak kaydıyla kanunla düzenleneceği</w:t>
      </w:r>
      <w:r w:rsidR="00695F1D" w:rsidRPr="00695F1D">
        <w:rPr>
          <w:color w:val="010000"/>
        </w:rPr>
        <w:t xml:space="preserve"> </w:t>
      </w:r>
      <w:r w:rsidRPr="00695F1D">
        <w:rPr>
          <w:color w:val="010000"/>
        </w:rPr>
        <w:t>hükme bağlanmıştır.</w:t>
      </w:r>
    </w:p>
    <w:p w:rsidR="00000000" w:rsidRPr="00695F1D" w:rsidRDefault="00F23C09" w:rsidP="00695F1D">
      <w:pPr>
        <w:spacing w:after="200"/>
        <w:ind w:left="283" w:right="283" w:firstLine="709"/>
        <w:jc w:val="both"/>
        <w:divId w:val="1187014963"/>
        <w:rPr>
          <w:color w:val="010000"/>
        </w:rPr>
      </w:pPr>
      <w:r w:rsidRPr="00695F1D">
        <w:rPr>
          <w:color w:val="010000"/>
        </w:rPr>
        <w:t>23. Kamu görevlileri ile idare arasındaki ilişki, yasama organı tarafından hizmetin gereklerine göre kanunla düzenlenmektedir. Kamu görevlisi, belirli bir statüde, kanunla çerçevesi b</w:t>
      </w:r>
      <w:r w:rsidRPr="00695F1D">
        <w:rPr>
          <w:color w:val="010000"/>
        </w:rPr>
        <w:t>elirlenmiş kurallara göre hizmet yürütmekte; o statünün sağladığı aylık, ücret, atanma, yükselme, nakil gibi haklara sahip olmaktadır. Kanun koyucu, bir kamu hizmetinde, görevin gerektirdiği nitelikleri ve koşulları belirlemeyi ya da belirlenmiş olanları d</w:t>
      </w:r>
      <w:r w:rsidRPr="00695F1D">
        <w:rPr>
          <w:color w:val="010000"/>
        </w:rPr>
        <w:t xml:space="preserve">eğiştirmeyi, anayasal ilkeler içinde kalmak kaydıyla görevin ve ülkenin gereklerine göre serbestçe takdir edebilir. </w:t>
      </w:r>
    </w:p>
    <w:p w:rsidR="00000000" w:rsidRPr="00695F1D" w:rsidRDefault="00F23C09" w:rsidP="00695F1D">
      <w:pPr>
        <w:spacing w:after="200"/>
        <w:ind w:left="283" w:right="283" w:firstLine="709"/>
        <w:jc w:val="both"/>
        <w:divId w:val="1187014963"/>
        <w:rPr>
          <w:color w:val="010000"/>
        </w:rPr>
      </w:pPr>
      <w:r w:rsidRPr="00695F1D">
        <w:rPr>
          <w:color w:val="010000"/>
        </w:rPr>
        <w:t>24. İdare de takdir yetkisi kapsamında yönetici kadro ve pozisyonlarına atayabileceği kamu görevlilerini yine aynı yetki kapsamında bu gö</w:t>
      </w:r>
      <w:r w:rsidRPr="00695F1D">
        <w:rPr>
          <w:color w:val="010000"/>
        </w:rPr>
        <w:t>revlerden alabilir. Bu durumda bulunan kişiler yönünden kural olarak bulundukları statülerden doğan, tahakkuk etmiş ve kendileri yönünden kesinleşmiş ve kişisel alacak niteliğine dönüşmüş haklardan yahut bu durumunun devam edeceği yönündeki haklı beklentid</w:t>
      </w:r>
      <w:r w:rsidRPr="00695F1D">
        <w:rPr>
          <w:color w:val="010000"/>
        </w:rPr>
        <w:t>en söz edilemez.</w:t>
      </w:r>
      <w:r w:rsidRPr="00695F1D">
        <w:rPr>
          <w:color w:val="010000"/>
        </w:rPr>
        <w:t xml:space="preserve"> </w:t>
      </w:r>
    </w:p>
    <w:p w:rsidR="00000000" w:rsidRPr="00695F1D" w:rsidRDefault="00F23C09" w:rsidP="00695F1D">
      <w:pPr>
        <w:spacing w:after="200"/>
        <w:ind w:left="283" w:right="283" w:firstLine="709"/>
        <w:jc w:val="both"/>
        <w:divId w:val="1187014963"/>
        <w:rPr>
          <w:color w:val="010000"/>
        </w:rPr>
      </w:pPr>
      <w:r w:rsidRPr="00695F1D">
        <w:rPr>
          <w:color w:val="010000"/>
        </w:rPr>
        <w:t xml:space="preserve">25. Kamu personeli olarak görev yapan kişilerin hukuki ve fiilî zorunluluk bulunmadıkça kanunla görevlerine son verilmemesi ise, hukuki güvenlik ilkesinin bir gereğidir. Anayasa Mahkemesinin yerleşik içtihatlarında da kamu personelinin </w:t>
      </w:r>
      <w:r w:rsidRPr="00695F1D">
        <w:rPr>
          <w:color w:val="010000"/>
        </w:rPr>
        <w:t>bulundukları görevden alınarak başka bir göreve atanmalarına yönelik olarak hukuki ve fiilî</w:t>
      </w:r>
      <w:r w:rsidRPr="00695F1D">
        <w:rPr>
          <w:i/>
          <w:iCs/>
          <w:color w:val="010000"/>
        </w:rPr>
        <w:t xml:space="preserve"> </w:t>
      </w:r>
      <w:r w:rsidRPr="00695F1D">
        <w:rPr>
          <w:color w:val="010000"/>
        </w:rPr>
        <w:t>zorunluluk hâllerinde yasal düzenlemeler yapılabileceği kabul edilmektedir (AYM, E.2011/100, K.2012/191, 29/11/2012; E.2011/142, K.2013/52, 3/4/2013; E.2014/57, K.2</w:t>
      </w:r>
      <w:r w:rsidRPr="00695F1D">
        <w:rPr>
          <w:color w:val="010000"/>
        </w:rPr>
        <w:t>014/81, 10/4/2014; E.2015/61, K.2016/172, 2/11/2016).</w:t>
      </w:r>
    </w:p>
    <w:p w:rsidR="00000000" w:rsidRPr="00695F1D" w:rsidRDefault="00F23C09" w:rsidP="00695F1D">
      <w:pPr>
        <w:spacing w:after="200"/>
        <w:ind w:left="283" w:right="283" w:firstLine="709"/>
        <w:jc w:val="both"/>
        <w:divId w:val="1187014963"/>
        <w:rPr>
          <w:color w:val="010000"/>
        </w:rPr>
      </w:pPr>
      <w:r w:rsidRPr="00695F1D">
        <w:rPr>
          <w:color w:val="010000"/>
        </w:rPr>
        <w:t>26. Kuralda kamu kurum ve kuruluşlarında müdür yardımcısı veya daha üstü ile bunlara eşdeğer yöneticilik görevinde iken kamu görevinden çıkarılmış olan kişilerin Komisyon kararı sonrasındaki atamaları</w:t>
      </w:r>
      <w:r w:rsidRPr="00695F1D">
        <w:rPr>
          <w:color w:val="010000"/>
        </w:rPr>
        <w:t xml:space="preserve">nda, yöneticilik görevlerinden önce bulundukları kadro ve pozisyon unvanlarının dikkate alınması öngörülmektedir. Komisyona yapılan başvurunun kabul edilmesi </w:t>
      </w:r>
      <w:r w:rsidRPr="00695F1D">
        <w:rPr>
          <w:color w:val="010000"/>
        </w:rPr>
        <w:lastRenderedPageBreak/>
        <w:t>üzerine kamu görevine dönen kamu görevlileri, kural uyarınca önceki yönetici pozisyonlarına atanam</w:t>
      </w:r>
      <w:r w:rsidRPr="00695F1D">
        <w:rPr>
          <w:color w:val="010000"/>
        </w:rPr>
        <w:t xml:space="preserve">ayacaktır. </w:t>
      </w:r>
    </w:p>
    <w:p w:rsidR="00000000" w:rsidRPr="00695F1D" w:rsidRDefault="00F23C09" w:rsidP="00695F1D">
      <w:pPr>
        <w:spacing w:after="200"/>
        <w:ind w:left="283" w:right="283" w:firstLine="709"/>
        <w:jc w:val="both"/>
        <w:divId w:val="1187014963"/>
        <w:rPr>
          <w:color w:val="010000"/>
        </w:rPr>
      </w:pPr>
      <w:r w:rsidRPr="00695F1D">
        <w:rPr>
          <w:color w:val="010000"/>
        </w:rPr>
        <w:t>27. 15 Temmuz darbe girişiminden sonra OHAL KHK’ları ile doğrudan kamu görevinden çıkarılanların idari yargı mercilerine başvuru imkânı bulunmaması nedeniyle bu kişilerin durumunu değerlendirmek için Komisyon kurulmuştur. 7075 sayılı Kanun’un</w:t>
      </w:r>
      <w:r w:rsidRPr="00695F1D">
        <w:rPr>
          <w:color w:val="010000"/>
        </w:rPr>
        <w:t xml:space="preserve"> 1. maddesinde Komisyonun, terör örgütlerine veya devletin millî güvenliğine karşı faaliyette bulunduğuna Millî Güvenlik Kurulunca karar verilen yapı, oluşum veya gruplara üyeliği, mensubiyeti, aidiyeti, </w:t>
      </w:r>
      <w:proofErr w:type="spellStart"/>
      <w:r w:rsidRPr="00695F1D">
        <w:rPr>
          <w:color w:val="010000"/>
        </w:rPr>
        <w:t>iltisakı</w:t>
      </w:r>
      <w:proofErr w:type="spellEnd"/>
      <w:r w:rsidRPr="00695F1D">
        <w:rPr>
          <w:color w:val="010000"/>
        </w:rPr>
        <w:t xml:space="preserve"> veya bunlarla irtibatı olduğu gerekçesiyle </w:t>
      </w:r>
      <w:r w:rsidRPr="00695F1D">
        <w:rPr>
          <w:color w:val="010000"/>
        </w:rPr>
        <w:t>başka bir idari işlem tesis edilmeksizin, doğrudan KHK hükümleri ile tesis edilen işlemlere ilişkin başvuruları değerlendirmek ve karara bağlamak amacıyla kurulduğu belirtilmiştir. Kuruluş amacı gözetildiğinde Komisyon tarafından yapılacak incelemede, kamu</w:t>
      </w:r>
      <w:r w:rsidRPr="00695F1D">
        <w:rPr>
          <w:color w:val="010000"/>
        </w:rPr>
        <w:t xml:space="preserve"> görevinden çıkarılan kişilerin terör örgütleri ile devletin millî güvenliğine karşı faaliyette bulunduğuna Millî Güvenlik Kurulunca karar verilen yapı, oluşum veya gruplara üyeliği, mensubiyeti, aidiyeti, </w:t>
      </w:r>
      <w:proofErr w:type="spellStart"/>
      <w:r w:rsidRPr="00695F1D">
        <w:rPr>
          <w:color w:val="010000"/>
        </w:rPr>
        <w:t>iltisakı</w:t>
      </w:r>
      <w:proofErr w:type="spellEnd"/>
      <w:r w:rsidRPr="00695F1D">
        <w:rPr>
          <w:color w:val="010000"/>
        </w:rPr>
        <w:t xml:space="preserve"> veya bunlarla irtibatı olup olmadığı husu</w:t>
      </w:r>
      <w:r w:rsidRPr="00695F1D">
        <w:rPr>
          <w:color w:val="010000"/>
        </w:rPr>
        <w:t>slarının değerlendirileceği açıktır.</w:t>
      </w:r>
      <w:r w:rsidR="00695F1D" w:rsidRPr="00695F1D">
        <w:rPr>
          <w:color w:val="010000"/>
        </w:rPr>
        <w:t xml:space="preserve"> </w:t>
      </w:r>
      <w:r w:rsidRPr="00695F1D">
        <w:rPr>
          <w:color w:val="010000"/>
        </w:rPr>
        <w:t xml:space="preserve">Komisyon tarafından yapılan değerlendirme sonucunda söz konusu örgüt, yapı, oluşum veya gruplara üyeliği, mensubiyeti, aidiyeti, </w:t>
      </w:r>
      <w:proofErr w:type="spellStart"/>
      <w:r w:rsidRPr="00695F1D">
        <w:rPr>
          <w:color w:val="010000"/>
        </w:rPr>
        <w:t>iltisakı</w:t>
      </w:r>
      <w:proofErr w:type="spellEnd"/>
      <w:r w:rsidRPr="00695F1D">
        <w:rPr>
          <w:color w:val="010000"/>
        </w:rPr>
        <w:t xml:space="preserve"> veya bunlarla irtibatı olduğuna karar verilenler yönünden başvurunun reddine; üy</w:t>
      </w:r>
      <w:r w:rsidRPr="00695F1D">
        <w:rPr>
          <w:color w:val="010000"/>
        </w:rPr>
        <w:t xml:space="preserve">eliği, mensubiyeti, aidiyeti, </w:t>
      </w:r>
      <w:proofErr w:type="spellStart"/>
      <w:r w:rsidRPr="00695F1D">
        <w:rPr>
          <w:color w:val="010000"/>
        </w:rPr>
        <w:t>iltisakı</w:t>
      </w:r>
      <w:proofErr w:type="spellEnd"/>
      <w:r w:rsidRPr="00695F1D">
        <w:rPr>
          <w:color w:val="010000"/>
        </w:rPr>
        <w:t xml:space="preserve"> veya irtibatı olmadığına karar verilenler yönünden ise başvurunun kabulüne karar verilecektir.</w:t>
      </w:r>
    </w:p>
    <w:p w:rsidR="00000000" w:rsidRPr="00695F1D" w:rsidRDefault="00F23C09" w:rsidP="00695F1D">
      <w:pPr>
        <w:spacing w:after="200"/>
        <w:ind w:left="283" w:right="283" w:firstLine="709"/>
        <w:jc w:val="both"/>
        <w:divId w:val="1187014963"/>
        <w:rPr>
          <w:color w:val="010000"/>
        </w:rPr>
      </w:pPr>
      <w:r w:rsidRPr="00695F1D">
        <w:rPr>
          <w:color w:val="010000"/>
        </w:rPr>
        <w:t>28. OHAL KHK’ları ile kamu görevinden çıkarılanların çıkarılma sebebi, bu kişilerin terör örgütlerine veya sözü edilen y</w:t>
      </w:r>
      <w:r w:rsidRPr="00695F1D">
        <w:rPr>
          <w:color w:val="010000"/>
        </w:rPr>
        <w:t xml:space="preserve">apı, oluşum veya gruplara üyeliği, mensubiyeti, aidiyeti, </w:t>
      </w:r>
      <w:proofErr w:type="spellStart"/>
      <w:r w:rsidRPr="00695F1D">
        <w:rPr>
          <w:color w:val="010000"/>
        </w:rPr>
        <w:t>iltisakı</w:t>
      </w:r>
      <w:proofErr w:type="spellEnd"/>
      <w:r w:rsidRPr="00695F1D">
        <w:rPr>
          <w:color w:val="010000"/>
        </w:rPr>
        <w:t xml:space="preserve"> veya bunlarla irtibatının bulunmasıdır. Komisyon, kamu görevinden çıkarılanlar tarafından yapılan başvuruları sebep unsuru</w:t>
      </w:r>
      <w:r w:rsidRPr="00695F1D">
        <w:rPr>
          <w:i/>
          <w:iCs/>
          <w:color w:val="010000"/>
        </w:rPr>
        <w:t xml:space="preserve"> </w:t>
      </w:r>
      <w:r w:rsidRPr="00695F1D">
        <w:rPr>
          <w:color w:val="010000"/>
        </w:rPr>
        <w:t>yönünden değerlendirecek ve kamu görevinden çıkarma koşullarının o</w:t>
      </w:r>
      <w:r w:rsidRPr="00695F1D">
        <w:rPr>
          <w:color w:val="010000"/>
        </w:rPr>
        <w:t xml:space="preserve">luşmadığı durumlarda başvurunun kabulüne karar verecektir. Bu durumda Komisyona yapılan başvuruların kabulü, kamu görevinden çıkarılanların terör örgütlerine veya sözü edilen yapı, oluşum veya gruplara üyeliği, mensubiyeti, aidiyeti, </w:t>
      </w:r>
      <w:proofErr w:type="spellStart"/>
      <w:r w:rsidRPr="00695F1D">
        <w:rPr>
          <w:color w:val="010000"/>
        </w:rPr>
        <w:t>iltisakı</w:t>
      </w:r>
      <w:proofErr w:type="spellEnd"/>
      <w:r w:rsidRPr="00695F1D">
        <w:rPr>
          <w:color w:val="010000"/>
        </w:rPr>
        <w:t xml:space="preserve"> veya bunlarla</w:t>
      </w:r>
      <w:r w:rsidRPr="00695F1D">
        <w:rPr>
          <w:color w:val="010000"/>
        </w:rPr>
        <w:t xml:space="preserve"> irtibatı bulunmadığı anlamına gelmektedir. Ancak kural uyarınca yöneticilik görevinde bulunmakta iken kamu görevinden çıkarılmış olanlar Komisyon kararına rağmen yöneticilik görevlerine atanamayacaklardır.</w:t>
      </w:r>
    </w:p>
    <w:p w:rsidR="00000000" w:rsidRPr="00695F1D" w:rsidRDefault="00F23C09" w:rsidP="00695F1D">
      <w:pPr>
        <w:spacing w:after="200"/>
        <w:ind w:left="283" w:right="283" w:firstLine="709"/>
        <w:jc w:val="both"/>
        <w:divId w:val="1187014963"/>
        <w:rPr>
          <w:color w:val="010000"/>
        </w:rPr>
      </w:pPr>
      <w:r w:rsidRPr="00695F1D">
        <w:rPr>
          <w:color w:val="010000"/>
        </w:rPr>
        <w:t xml:space="preserve">29. Komisyon </w:t>
      </w:r>
      <w:r w:rsidRPr="00695F1D">
        <w:rPr>
          <w:color w:val="010000"/>
        </w:rPr>
        <w:t>kararıyla kamu görevinden çıkarma işleminin sebep unsuru tamamen ortadan kalktığı hâlde yönetici pozisyonunda iken kamu görevinden çıkarılan ve Komisyon kararı sonrasında yeniden kamu görevine dönen kişilerin atanmasında yöneticilik görevlerinden önce bulu</w:t>
      </w:r>
      <w:r w:rsidRPr="00695F1D">
        <w:rPr>
          <w:color w:val="010000"/>
        </w:rPr>
        <w:t>ndukları kadro ve pozisyon unvanlarının dikkate alınmasını öngören kural, bu kişilerin üyelik, mensubiyet, aidiyet, iltisak veya irtibatlarına dair şüphelerin tam olarak ortadan kalkmadığı izlenimini oluşturmaktadır. Bu durum, kişilerin meslek hayatlarında</w:t>
      </w:r>
      <w:r w:rsidRPr="00695F1D">
        <w:rPr>
          <w:color w:val="010000"/>
        </w:rPr>
        <w:t xml:space="preserve"> kişisel gelişimlerinin, üçüncü kişilerle olan ilişkilerinin ve itibarlarının olumsuz şekilde etkilenmesine sebebiyet verebilir. </w:t>
      </w:r>
    </w:p>
    <w:p w:rsidR="00000000" w:rsidRPr="00695F1D" w:rsidRDefault="00F23C09" w:rsidP="00695F1D">
      <w:pPr>
        <w:spacing w:after="200"/>
        <w:ind w:left="283" w:right="283" w:firstLine="709"/>
        <w:jc w:val="both"/>
        <w:divId w:val="1187014963"/>
        <w:rPr>
          <w:color w:val="010000"/>
        </w:rPr>
      </w:pPr>
      <w:r w:rsidRPr="00695F1D">
        <w:rPr>
          <w:color w:val="010000"/>
        </w:rPr>
        <w:t>30. Kanun’da, bu izlenimin oluşmasını engelleyecek bir güvenceye yer verilmediği gibi bu kişilerin kamu görevinden çıkarılma</w:t>
      </w:r>
      <w:r w:rsidRPr="00695F1D">
        <w:rPr>
          <w:color w:val="010000"/>
        </w:rPr>
        <w:t>dan önceki pozisyonlarına atanmamasına neden olacak hukuki ve fiilî bir zorunluluk da gösterilmemiştir. Kuralda, yönetici pozisyonunda görev yapmakta iken kamu görevinden çıkarılan kişilerin, idari gerekler de gözetilmeden kategorik olarak yeniden yönetici</w:t>
      </w:r>
      <w:r w:rsidRPr="00695F1D">
        <w:rPr>
          <w:color w:val="010000"/>
        </w:rPr>
        <w:t xml:space="preserve"> pozisyonuna atanamayacağı belirtilmektedir. Kural, bu hâliyle idareye kamu hizmetlerinin gerekleri ve etkinliği kapsamında bir değerlendirme yapma imkânı da tanımamaktadır. </w:t>
      </w:r>
    </w:p>
    <w:p w:rsidR="00000000" w:rsidRPr="00695F1D" w:rsidRDefault="00F23C09" w:rsidP="00695F1D">
      <w:pPr>
        <w:spacing w:after="200"/>
        <w:ind w:left="283" w:right="283" w:firstLine="709"/>
        <w:jc w:val="both"/>
        <w:divId w:val="1187014963"/>
        <w:rPr>
          <w:color w:val="010000"/>
        </w:rPr>
      </w:pPr>
      <w:r w:rsidRPr="00695F1D">
        <w:rPr>
          <w:color w:val="010000"/>
        </w:rPr>
        <w:t>31. Bu çerçevede kuralda terör örgütlerine</w:t>
      </w:r>
      <w:r w:rsidRPr="00695F1D">
        <w:rPr>
          <w:color w:val="010000"/>
        </w:rPr>
        <w:t xml:space="preserve"> </w:t>
      </w:r>
      <w:r w:rsidRPr="00695F1D">
        <w:rPr>
          <w:color w:val="010000"/>
        </w:rPr>
        <w:t>veya devletin millî güvenliğine karş</w:t>
      </w:r>
      <w:r w:rsidRPr="00695F1D">
        <w:rPr>
          <w:color w:val="010000"/>
        </w:rPr>
        <w:t>ı faaliyette bulunduğuna Millî Güvenlik Kurulunca karar verilen yapı, oluşum veya gruplara</w:t>
      </w:r>
      <w:r w:rsidRPr="00695F1D">
        <w:rPr>
          <w:color w:val="010000"/>
        </w:rPr>
        <w:t xml:space="preserve"> </w:t>
      </w:r>
      <w:r w:rsidRPr="00695F1D">
        <w:rPr>
          <w:color w:val="010000"/>
        </w:rPr>
        <w:t xml:space="preserve">üyeliği, mensubiyeti, aidiyeti, </w:t>
      </w:r>
      <w:proofErr w:type="spellStart"/>
      <w:r w:rsidRPr="00695F1D">
        <w:rPr>
          <w:color w:val="010000"/>
        </w:rPr>
        <w:t>iltisakı</w:t>
      </w:r>
      <w:proofErr w:type="spellEnd"/>
      <w:r w:rsidRPr="00695F1D">
        <w:rPr>
          <w:color w:val="010000"/>
        </w:rPr>
        <w:t xml:space="preserve"> veya bunlarla irtibatı bulunmadığı kabul edilen bu kişilerin </w:t>
      </w:r>
      <w:r w:rsidRPr="00695F1D">
        <w:rPr>
          <w:color w:val="010000"/>
        </w:rPr>
        <w:lastRenderedPageBreak/>
        <w:t>yöneticilik</w:t>
      </w:r>
      <w:r w:rsidR="00695F1D" w:rsidRPr="00695F1D">
        <w:rPr>
          <w:color w:val="010000"/>
        </w:rPr>
        <w:t xml:space="preserve"> </w:t>
      </w:r>
      <w:r w:rsidRPr="00695F1D">
        <w:rPr>
          <w:color w:val="010000"/>
        </w:rPr>
        <w:t>görevlerine atanmamasına neden olabilecek fiili ve</w:t>
      </w:r>
      <w:r w:rsidRPr="00695F1D">
        <w:rPr>
          <w:color w:val="010000"/>
        </w:rPr>
        <w:t>ya hukuki bir zorunluluk belirtilmeden, kişilerin anılan görevlere atanması yönünde idareye bir takdir yetkisi tanınmadan ve emredici bir hükümle anılan kişilerin zorunlu olarak yöneticilik görevlerinden önceki görevlere atanacağının öngörülmesinin kamu hi</w:t>
      </w:r>
      <w:r w:rsidRPr="00695F1D">
        <w:rPr>
          <w:color w:val="010000"/>
        </w:rPr>
        <w:t>zmetinin etkin ve sağlıklı bir biçimde yürütülmesi amacını gerçekleştirmek bakımından zorunlu bir toplumsal ihtiyaca karşılık gelmediği anlaşılmaktadır. Anılan kişilerden yönetici olarak istifade edilmesi kamu hizmetinin etkin ve sağlıklı bir biçimde yürüt</w:t>
      </w:r>
      <w:r w:rsidRPr="00695F1D">
        <w:rPr>
          <w:color w:val="010000"/>
        </w:rPr>
        <w:t>ülmesi amacını gerçekleştirmek bakımından daha yararlı görülmesi durumunda bile kural uyarınca kategorik olarak bu kişilerin yöneticilik pozisyonunda değerlendirilmesi mümkün olmayacaktır. Bu anlamda kuralın anılan amaca ulaşılması bakımından elverişli bir</w:t>
      </w:r>
      <w:r w:rsidRPr="00695F1D">
        <w:rPr>
          <w:color w:val="010000"/>
        </w:rPr>
        <w:t xml:space="preserve"> araç öngörmediği de açıktır.</w:t>
      </w:r>
    </w:p>
    <w:p w:rsidR="00000000" w:rsidRPr="00695F1D" w:rsidRDefault="00F23C09" w:rsidP="00695F1D">
      <w:pPr>
        <w:spacing w:after="200"/>
        <w:ind w:left="283" w:right="283" w:firstLine="709"/>
        <w:jc w:val="both"/>
        <w:divId w:val="1187014963"/>
        <w:rPr>
          <w:color w:val="010000"/>
        </w:rPr>
      </w:pPr>
      <w:r w:rsidRPr="00695F1D">
        <w:rPr>
          <w:color w:val="010000"/>
        </w:rPr>
        <w:t>32. Bu yönleriyle kuralla özel hayata saygı gösterilmesi hakkına getirilen sınırlama demokratik toplum düzeninin gereklerine uygun olmadığı gibi ölçülülük ilkesini de ihlal etmektedir.</w:t>
      </w:r>
    </w:p>
    <w:p w:rsidR="00000000" w:rsidRPr="00695F1D" w:rsidRDefault="00F23C09" w:rsidP="00695F1D">
      <w:pPr>
        <w:spacing w:after="200"/>
        <w:ind w:left="283" w:right="283" w:firstLine="709"/>
        <w:jc w:val="both"/>
        <w:divId w:val="1187014963"/>
        <w:rPr>
          <w:color w:val="010000"/>
        </w:rPr>
      </w:pPr>
      <w:r w:rsidRPr="00695F1D">
        <w:rPr>
          <w:color w:val="010000"/>
        </w:rPr>
        <w:t>33. Açıklanan nedenlerle kural Anayas</w:t>
      </w:r>
      <w:r w:rsidRPr="00695F1D">
        <w:rPr>
          <w:color w:val="010000"/>
        </w:rPr>
        <w:t xml:space="preserve">a’nın 13. ve 20. maddelerine aykırıdır. İptali gerekir. </w:t>
      </w:r>
    </w:p>
    <w:p w:rsidR="00000000" w:rsidRPr="00695F1D" w:rsidRDefault="00F23C09" w:rsidP="00695F1D">
      <w:pPr>
        <w:spacing w:after="200"/>
        <w:ind w:left="283" w:right="283" w:firstLine="709"/>
        <w:jc w:val="both"/>
        <w:divId w:val="1187014963"/>
        <w:rPr>
          <w:color w:val="010000"/>
        </w:rPr>
      </w:pPr>
      <w:r w:rsidRPr="00695F1D">
        <w:rPr>
          <w:color w:val="010000"/>
        </w:rPr>
        <w:t xml:space="preserve">Kural, Anayasa’nın 13. ve 20. maddelerine aykırı görülerek iptal edildiğinden ayrıca Anayasa’nın 2., 5., 10. ve 49. maddeleri yönünden incelenmemiştir. </w:t>
      </w:r>
    </w:p>
    <w:p w:rsidR="00000000" w:rsidRPr="00695F1D" w:rsidRDefault="00F23C09" w:rsidP="00695F1D">
      <w:pPr>
        <w:spacing w:after="200"/>
        <w:ind w:left="283" w:right="283" w:firstLine="709"/>
        <w:jc w:val="both"/>
        <w:divId w:val="1187014963"/>
        <w:rPr>
          <w:color w:val="010000"/>
        </w:rPr>
      </w:pPr>
      <w:r w:rsidRPr="00695F1D">
        <w:rPr>
          <w:b/>
          <w:bCs/>
          <w:color w:val="010000"/>
        </w:rPr>
        <w:t>V. HÜKÜM</w:t>
      </w:r>
    </w:p>
    <w:p w:rsidR="00000000" w:rsidRPr="00695F1D" w:rsidRDefault="00F23C09" w:rsidP="00695F1D">
      <w:pPr>
        <w:overflowPunct w:val="0"/>
        <w:autoSpaceDE w:val="0"/>
        <w:autoSpaceDN w:val="0"/>
        <w:spacing w:after="200"/>
        <w:ind w:left="283" w:right="283" w:firstLine="709"/>
        <w:jc w:val="both"/>
        <w:divId w:val="1187014963"/>
        <w:rPr>
          <w:color w:val="010000"/>
        </w:rPr>
      </w:pPr>
      <w:r w:rsidRPr="00695F1D">
        <w:rPr>
          <w:color w:val="010000"/>
        </w:rPr>
        <w:t>1/2/2018 tarihli ve 7075 sayılı</w:t>
      </w:r>
      <w:r w:rsidRPr="00695F1D">
        <w:rPr>
          <w:color w:val="010000"/>
        </w:rPr>
        <w:t xml:space="preserve"> Olağanüstü Hal İşlemleri İnceleme Komisyonu Kurulması Hakkında Kanun Hükmünde Kararnamenin Değiştirilerek Kabul Edilmesine Dair Kanun’un 10. maddesinin 25/7/2018 tarihli ve 7145 sayılı Kanun’un 22. maddesiyle değiştirilen (1) numaralı fıkrasının üçüncü cü</w:t>
      </w:r>
      <w:r w:rsidRPr="00695F1D">
        <w:rPr>
          <w:color w:val="010000"/>
        </w:rPr>
        <w:t>mlesinin Anayasa’ya aykırı olduğuna ve İPTALİNE 24/12/2019 tarihinde OYBİRLİĞİYLE karar verildi.</w:t>
      </w:r>
    </w:p>
    <w:p w:rsidR="00000000" w:rsidRPr="00695F1D" w:rsidRDefault="00F23C09" w:rsidP="00695F1D">
      <w:pPr>
        <w:overflowPunct w:val="0"/>
        <w:autoSpaceDE w:val="0"/>
        <w:autoSpaceDN w:val="0"/>
        <w:spacing w:after="200"/>
        <w:ind w:left="283" w:right="283" w:firstLine="709"/>
        <w:jc w:val="both"/>
        <w:divId w:val="118701496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95F1D" w:rsidTr="00695F1D">
        <w:trPr>
          <w:divId w:val="1187014963"/>
          <w:jc w:val="center"/>
        </w:trPr>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Başkan</w:t>
            </w:r>
          </w:p>
          <w:p w:rsidR="00000000" w:rsidRPr="00695F1D" w:rsidRDefault="00F23C09" w:rsidP="00695F1D">
            <w:pPr>
              <w:overflowPunct w:val="0"/>
              <w:autoSpaceDE w:val="0"/>
              <w:autoSpaceDN w:val="0"/>
              <w:spacing w:after="120"/>
              <w:jc w:val="center"/>
              <w:rPr>
                <w:color w:val="010000"/>
              </w:rPr>
            </w:pPr>
            <w:r w:rsidRPr="00695F1D">
              <w:rPr>
                <w:color w:val="010000"/>
              </w:rPr>
              <w:t>Zühtü ARSLAN</w:t>
            </w:r>
          </w:p>
        </w:tc>
        <w:tc>
          <w:tcPr>
            <w:tcW w:w="1666"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Başkanvekili</w:t>
            </w:r>
          </w:p>
          <w:p w:rsidR="00000000" w:rsidRPr="00695F1D" w:rsidRDefault="00F23C09" w:rsidP="00695F1D">
            <w:pPr>
              <w:overflowPunct w:val="0"/>
              <w:autoSpaceDE w:val="0"/>
              <w:autoSpaceDN w:val="0"/>
              <w:spacing w:after="120"/>
              <w:jc w:val="center"/>
              <w:rPr>
                <w:color w:val="010000"/>
              </w:rPr>
            </w:pPr>
            <w:r w:rsidRPr="00695F1D">
              <w:rPr>
                <w:color w:val="010000"/>
              </w:rPr>
              <w:t>Hasan Tahsin GÖKCAN</w:t>
            </w:r>
          </w:p>
        </w:tc>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Başkanvekili</w:t>
            </w:r>
          </w:p>
          <w:p w:rsidR="00000000" w:rsidRPr="00695F1D" w:rsidRDefault="00F23C09" w:rsidP="00695F1D">
            <w:pPr>
              <w:overflowPunct w:val="0"/>
              <w:autoSpaceDE w:val="0"/>
              <w:autoSpaceDN w:val="0"/>
              <w:spacing w:after="120"/>
              <w:jc w:val="center"/>
              <w:rPr>
                <w:color w:val="010000"/>
              </w:rPr>
            </w:pPr>
            <w:r w:rsidRPr="00695F1D">
              <w:rPr>
                <w:color w:val="010000"/>
              </w:rPr>
              <w:t>Recep KÖMÜRCÜ</w:t>
            </w:r>
          </w:p>
        </w:tc>
      </w:tr>
    </w:tbl>
    <w:p w:rsidR="00000000" w:rsidRPr="00695F1D" w:rsidRDefault="00F23C09" w:rsidP="00695F1D">
      <w:pPr>
        <w:overflowPunct w:val="0"/>
        <w:autoSpaceDE w:val="0"/>
        <w:autoSpaceDN w:val="0"/>
        <w:spacing w:after="200"/>
        <w:ind w:left="283" w:right="283" w:firstLine="709"/>
        <w:jc w:val="both"/>
        <w:divId w:val="118701496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95F1D" w:rsidTr="00695F1D">
        <w:trPr>
          <w:divId w:val="1187014963"/>
          <w:jc w:val="center"/>
        </w:trPr>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 xml:space="preserve">Serdar ÖZGÜLDÜR </w:t>
            </w:r>
          </w:p>
        </w:tc>
        <w:tc>
          <w:tcPr>
            <w:tcW w:w="1666"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Burhan ÜSTÜN</w:t>
            </w:r>
          </w:p>
        </w:tc>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Engin YILDIRIM</w:t>
            </w:r>
          </w:p>
        </w:tc>
      </w:tr>
    </w:tbl>
    <w:p w:rsidR="00000000" w:rsidRPr="00695F1D" w:rsidRDefault="00F23C09" w:rsidP="00695F1D">
      <w:pPr>
        <w:overflowPunct w:val="0"/>
        <w:autoSpaceDE w:val="0"/>
        <w:autoSpaceDN w:val="0"/>
        <w:spacing w:after="200"/>
        <w:ind w:left="283" w:right="283" w:firstLine="709"/>
        <w:jc w:val="both"/>
        <w:divId w:val="118701496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95F1D" w:rsidTr="00695F1D">
        <w:trPr>
          <w:divId w:val="1187014963"/>
          <w:jc w:val="center"/>
        </w:trPr>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proofErr w:type="spellStart"/>
            <w:r w:rsidRPr="00695F1D">
              <w:rPr>
                <w:color w:val="010000"/>
              </w:rPr>
              <w:t>Hicabi</w:t>
            </w:r>
            <w:proofErr w:type="spellEnd"/>
            <w:r w:rsidRPr="00695F1D">
              <w:rPr>
                <w:color w:val="010000"/>
              </w:rPr>
              <w:t xml:space="preserve"> DURSUN</w:t>
            </w:r>
          </w:p>
        </w:tc>
        <w:tc>
          <w:tcPr>
            <w:tcW w:w="1666"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Celal Mümtaz AKINCI</w:t>
            </w:r>
          </w:p>
        </w:tc>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Muammer TOPAL</w:t>
            </w:r>
          </w:p>
        </w:tc>
      </w:tr>
    </w:tbl>
    <w:p w:rsidR="00000000" w:rsidRPr="00695F1D" w:rsidRDefault="00F23C09" w:rsidP="00695F1D">
      <w:pPr>
        <w:overflowPunct w:val="0"/>
        <w:autoSpaceDE w:val="0"/>
        <w:autoSpaceDN w:val="0"/>
        <w:spacing w:after="200"/>
        <w:ind w:left="283" w:right="283" w:firstLine="709"/>
        <w:jc w:val="both"/>
        <w:divId w:val="1187014963"/>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95F1D" w:rsidTr="00695F1D">
        <w:trPr>
          <w:divId w:val="1187014963"/>
          <w:jc w:val="center"/>
        </w:trPr>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M. Emin KUZ</w:t>
            </w:r>
          </w:p>
        </w:tc>
        <w:tc>
          <w:tcPr>
            <w:tcW w:w="1666"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Kadir ÖZKAYA</w:t>
            </w:r>
          </w:p>
        </w:tc>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t>Rıdvan GÜLEÇ</w:t>
            </w:r>
          </w:p>
        </w:tc>
      </w:tr>
    </w:tbl>
    <w:p w:rsidR="00000000" w:rsidRPr="00695F1D" w:rsidRDefault="00F23C09" w:rsidP="00695F1D">
      <w:pPr>
        <w:overflowPunct w:val="0"/>
        <w:autoSpaceDE w:val="0"/>
        <w:autoSpaceDN w:val="0"/>
        <w:spacing w:after="200"/>
        <w:ind w:left="283" w:right="283" w:firstLine="709"/>
        <w:jc w:val="both"/>
        <w:divId w:val="1187014963"/>
        <w:rPr>
          <w:color w:val="010000"/>
        </w:rPr>
      </w:pPr>
    </w:p>
    <w:p w:rsidR="00695F1D" w:rsidRDefault="00695F1D">
      <w:pPr>
        <w:divId w:val="1187014963"/>
      </w:pP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695F1D" w:rsidTr="00695F1D">
        <w:trPr>
          <w:divId w:val="1187014963"/>
          <w:jc w:val="center"/>
        </w:trPr>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t>Üye</w:t>
            </w:r>
          </w:p>
          <w:p w:rsidR="00000000" w:rsidRPr="00695F1D" w:rsidRDefault="00F23C09" w:rsidP="00695F1D">
            <w:pPr>
              <w:overflowPunct w:val="0"/>
              <w:autoSpaceDE w:val="0"/>
              <w:autoSpaceDN w:val="0"/>
              <w:spacing w:after="120"/>
              <w:jc w:val="center"/>
              <w:rPr>
                <w:color w:val="010000"/>
              </w:rPr>
            </w:pPr>
            <w:r w:rsidRPr="00695F1D">
              <w:rPr>
                <w:color w:val="010000"/>
              </w:rPr>
              <w:lastRenderedPageBreak/>
              <w:t>Yusuf Şevki HAKYEMEZ</w:t>
            </w:r>
          </w:p>
        </w:tc>
        <w:tc>
          <w:tcPr>
            <w:tcW w:w="1666"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lastRenderedPageBreak/>
              <w:t>Üye</w:t>
            </w:r>
          </w:p>
          <w:p w:rsidR="00000000" w:rsidRPr="00695F1D" w:rsidRDefault="00F23C09" w:rsidP="00695F1D">
            <w:pPr>
              <w:overflowPunct w:val="0"/>
              <w:autoSpaceDE w:val="0"/>
              <w:autoSpaceDN w:val="0"/>
              <w:spacing w:after="120"/>
              <w:jc w:val="center"/>
              <w:rPr>
                <w:color w:val="010000"/>
              </w:rPr>
            </w:pPr>
            <w:r w:rsidRPr="00695F1D">
              <w:rPr>
                <w:color w:val="010000"/>
              </w:rPr>
              <w:lastRenderedPageBreak/>
              <w:t>Yıldız SEFERİNOĞLU</w:t>
            </w:r>
          </w:p>
        </w:tc>
        <w:tc>
          <w:tcPr>
            <w:tcW w:w="1667" w:type="pct"/>
            <w:tcMar>
              <w:top w:w="0" w:type="dxa"/>
              <w:left w:w="70" w:type="dxa"/>
              <w:bottom w:w="0" w:type="dxa"/>
              <w:right w:w="70" w:type="dxa"/>
            </w:tcMar>
            <w:hideMark/>
          </w:tcPr>
          <w:p w:rsidR="00000000" w:rsidRPr="00695F1D" w:rsidRDefault="00F23C09" w:rsidP="00695F1D">
            <w:pPr>
              <w:overflowPunct w:val="0"/>
              <w:autoSpaceDE w:val="0"/>
              <w:autoSpaceDN w:val="0"/>
              <w:spacing w:after="120"/>
              <w:jc w:val="center"/>
              <w:rPr>
                <w:color w:val="010000"/>
              </w:rPr>
            </w:pPr>
            <w:r w:rsidRPr="00695F1D">
              <w:rPr>
                <w:color w:val="010000"/>
              </w:rPr>
              <w:lastRenderedPageBreak/>
              <w:t>Üye</w:t>
            </w:r>
          </w:p>
          <w:p w:rsidR="00000000" w:rsidRPr="00695F1D" w:rsidRDefault="00F23C09" w:rsidP="00695F1D">
            <w:pPr>
              <w:overflowPunct w:val="0"/>
              <w:autoSpaceDE w:val="0"/>
              <w:autoSpaceDN w:val="0"/>
              <w:spacing w:after="120"/>
              <w:jc w:val="center"/>
              <w:rPr>
                <w:color w:val="010000"/>
              </w:rPr>
            </w:pPr>
            <w:r w:rsidRPr="00695F1D">
              <w:rPr>
                <w:color w:val="010000"/>
              </w:rPr>
              <w:lastRenderedPageBreak/>
              <w:t>Selahaddin MENTEŞ</w:t>
            </w:r>
          </w:p>
        </w:tc>
      </w:tr>
    </w:tbl>
    <w:p w:rsidR="00F23C09" w:rsidRPr="00695F1D" w:rsidRDefault="00F23C09" w:rsidP="00695F1D">
      <w:pPr>
        <w:overflowPunct w:val="0"/>
        <w:autoSpaceDE w:val="0"/>
        <w:autoSpaceDN w:val="0"/>
        <w:spacing w:after="200"/>
        <w:ind w:left="283" w:right="283" w:firstLine="709"/>
        <w:jc w:val="both"/>
        <w:divId w:val="1187014963"/>
        <w:rPr>
          <w:color w:val="010000"/>
        </w:rPr>
      </w:pPr>
    </w:p>
    <w:sectPr w:rsidR="00F23C09" w:rsidRPr="00695F1D" w:rsidSect="00695F1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09" w:rsidRDefault="00F23C09" w:rsidP="00695F1D">
      <w:r>
        <w:separator/>
      </w:r>
    </w:p>
  </w:endnote>
  <w:endnote w:type="continuationSeparator" w:id="0">
    <w:p w:rsidR="00F23C09" w:rsidRDefault="00F23C09" w:rsidP="0069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1D" w:rsidRDefault="00695F1D"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95F1D" w:rsidRDefault="00695F1D" w:rsidP="00695F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1D" w:rsidRPr="00695F1D" w:rsidRDefault="00695F1D" w:rsidP="008C5608">
    <w:pPr>
      <w:pStyle w:val="AltBilgi"/>
      <w:framePr w:wrap="around" w:vAnchor="text" w:hAnchor="margin" w:xAlign="right" w:y="1"/>
      <w:rPr>
        <w:rStyle w:val="SayfaNumaras"/>
      </w:rPr>
    </w:pPr>
    <w:r w:rsidRPr="00695F1D">
      <w:rPr>
        <w:rStyle w:val="SayfaNumaras"/>
      </w:rPr>
      <w:fldChar w:fldCharType="begin"/>
    </w:r>
    <w:r w:rsidRPr="00695F1D">
      <w:rPr>
        <w:rStyle w:val="SayfaNumaras"/>
      </w:rPr>
      <w:instrText xml:space="preserve"> PAGE </w:instrText>
    </w:r>
    <w:r w:rsidRPr="00695F1D">
      <w:rPr>
        <w:rStyle w:val="SayfaNumaras"/>
      </w:rPr>
      <w:fldChar w:fldCharType="separate"/>
    </w:r>
    <w:r w:rsidRPr="00695F1D">
      <w:rPr>
        <w:rStyle w:val="SayfaNumaras"/>
        <w:noProof/>
      </w:rPr>
      <w:t>1</w:t>
    </w:r>
    <w:r w:rsidRPr="00695F1D">
      <w:rPr>
        <w:rStyle w:val="SayfaNumaras"/>
      </w:rPr>
      <w:fldChar w:fldCharType="end"/>
    </w:r>
  </w:p>
  <w:p w:rsidR="00695F1D" w:rsidRDefault="00695F1D" w:rsidP="00695F1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09" w:rsidRDefault="00F23C09" w:rsidP="00695F1D">
      <w:r>
        <w:separator/>
      </w:r>
    </w:p>
  </w:footnote>
  <w:footnote w:type="continuationSeparator" w:id="0">
    <w:p w:rsidR="00F23C09" w:rsidRDefault="00F23C09" w:rsidP="0069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1D" w:rsidRPr="00695F1D" w:rsidRDefault="00695F1D" w:rsidP="00695F1D">
    <w:pPr>
      <w:pStyle w:val="stBilgi"/>
      <w:rPr>
        <w:b/>
      </w:rPr>
    </w:pPr>
    <w:r w:rsidRPr="00695F1D">
      <w:rPr>
        <w:b/>
      </w:rPr>
      <w:t>Esas Sayısı:2018/159</w:t>
    </w:r>
  </w:p>
  <w:p w:rsidR="00695F1D" w:rsidRDefault="00695F1D" w:rsidP="00695F1D">
    <w:pPr>
      <w:pStyle w:val="stBilgi"/>
      <w:rPr>
        <w:b/>
      </w:rPr>
    </w:pPr>
    <w:r>
      <w:rPr>
        <w:b/>
      </w:rPr>
      <w:t>Karar Sayısı:2019/93</w:t>
    </w:r>
  </w:p>
  <w:p w:rsidR="00695F1D" w:rsidRPr="00695F1D" w:rsidRDefault="00695F1D" w:rsidP="00695F1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95F1D"/>
    <w:rsid w:val="00695F1D"/>
    <w:rsid w:val="00F23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C819C"/>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563C1"/>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69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14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2020-06-16T18:46:00Z</dcterms:created>
  <dcterms:modified xsi:type="dcterms:W3CDTF">2020-06-16T18:46:00Z</dcterms:modified>
</cp:coreProperties>
</file>