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E1" w:rsidRPr="00F633E1" w:rsidRDefault="00F633E1" w:rsidP="00F633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633E1">
        <w:rPr>
          <w:rFonts w:ascii="Times New Roman" w:eastAsia="Times New Roman" w:hAnsi="Times New Roman" w:cs="Times New Roman"/>
          <w:b/>
          <w:bCs/>
          <w:color w:val="000000"/>
          <w:sz w:val="24"/>
          <w:szCs w:val="27"/>
          <w:shd w:val="clear" w:color="auto" w:fill="FFFFFF"/>
          <w:lang w:eastAsia="tr-TR"/>
        </w:rPr>
        <w:t>ANAYASA MAHKEMESİ KARARI</w:t>
      </w:r>
    </w:p>
    <w:p w:rsidR="00F633E1" w:rsidRP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shd w:val="clear" w:color="auto" w:fill="FFFFFF"/>
          <w:lang w:eastAsia="tr-TR"/>
        </w:rPr>
        <w:t>                      </w:t>
      </w:r>
    </w:p>
    <w:p w:rsidR="00F633E1" w:rsidRPr="00F633E1" w:rsidRDefault="00F633E1" w:rsidP="00F633E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F633E1">
        <w:rPr>
          <w:rFonts w:ascii="Times New Roman" w:eastAsia="Times New Roman" w:hAnsi="Times New Roman" w:cs="Times New Roman"/>
          <w:b/>
          <w:bCs/>
          <w:color w:val="000000"/>
          <w:sz w:val="24"/>
          <w:szCs w:val="27"/>
          <w:shd w:val="clear" w:color="auto" w:fill="FFFFFF"/>
          <w:lang w:eastAsia="tr-TR"/>
        </w:rPr>
        <w:t xml:space="preserve">Esas </w:t>
      </w:r>
      <w:proofErr w:type="gramStart"/>
      <w:r w:rsidRPr="00F633E1">
        <w:rPr>
          <w:rFonts w:ascii="Times New Roman" w:eastAsia="Times New Roman" w:hAnsi="Times New Roman" w:cs="Times New Roman"/>
          <w:b/>
          <w:bCs/>
          <w:color w:val="000000"/>
          <w:sz w:val="24"/>
          <w:szCs w:val="27"/>
          <w:shd w:val="clear" w:color="auto" w:fill="FFFFFF"/>
          <w:lang w:eastAsia="tr-TR"/>
        </w:rPr>
        <w:t>Sayısı     :  2018</w:t>
      </w:r>
      <w:proofErr w:type="gramEnd"/>
      <w:r w:rsidRPr="00F633E1">
        <w:rPr>
          <w:rFonts w:ascii="Times New Roman" w:eastAsia="Times New Roman" w:hAnsi="Times New Roman" w:cs="Times New Roman"/>
          <w:b/>
          <w:bCs/>
          <w:color w:val="000000"/>
          <w:sz w:val="24"/>
          <w:szCs w:val="27"/>
          <w:shd w:val="clear" w:color="auto" w:fill="FFFFFF"/>
          <w:lang w:eastAsia="tr-TR"/>
        </w:rPr>
        <w:t>/68</w:t>
      </w:r>
    </w:p>
    <w:p w:rsidR="00F633E1" w:rsidRPr="00F633E1" w:rsidRDefault="00F633E1" w:rsidP="00F633E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F633E1">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F633E1">
        <w:rPr>
          <w:rFonts w:ascii="Times New Roman" w:eastAsia="Times New Roman" w:hAnsi="Times New Roman" w:cs="Times New Roman"/>
          <w:b/>
          <w:bCs/>
          <w:color w:val="000000"/>
          <w:sz w:val="24"/>
          <w:szCs w:val="27"/>
          <w:shd w:val="clear" w:color="auto" w:fill="FFFFFF"/>
          <w:lang w:eastAsia="tr-TR"/>
        </w:rPr>
        <w:t>Sayısı  :  2018</w:t>
      </w:r>
      <w:proofErr w:type="gramEnd"/>
      <w:r w:rsidRPr="00F633E1">
        <w:rPr>
          <w:rFonts w:ascii="Times New Roman" w:eastAsia="Times New Roman" w:hAnsi="Times New Roman" w:cs="Times New Roman"/>
          <w:b/>
          <w:bCs/>
          <w:color w:val="000000"/>
          <w:sz w:val="24"/>
          <w:szCs w:val="27"/>
          <w:shd w:val="clear" w:color="auto" w:fill="FFFFFF"/>
          <w:lang w:eastAsia="tr-TR"/>
        </w:rPr>
        <w:t>/87</w:t>
      </w:r>
    </w:p>
    <w:p w:rsidR="00F633E1" w:rsidRPr="00F633E1" w:rsidRDefault="00F633E1" w:rsidP="00F633E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F633E1">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F633E1">
        <w:rPr>
          <w:rFonts w:ascii="Times New Roman" w:eastAsia="Times New Roman" w:hAnsi="Times New Roman" w:cs="Times New Roman"/>
          <w:b/>
          <w:bCs/>
          <w:color w:val="000000"/>
          <w:sz w:val="24"/>
          <w:szCs w:val="27"/>
          <w:shd w:val="clear" w:color="auto" w:fill="FFFFFF"/>
          <w:lang w:eastAsia="tr-TR"/>
        </w:rPr>
        <w:t>Tarihi :  11</w:t>
      </w:r>
      <w:proofErr w:type="gramEnd"/>
      <w:r w:rsidRPr="00F633E1">
        <w:rPr>
          <w:rFonts w:ascii="Times New Roman" w:eastAsia="Times New Roman" w:hAnsi="Times New Roman" w:cs="Times New Roman"/>
          <w:b/>
          <w:bCs/>
          <w:color w:val="000000"/>
          <w:sz w:val="24"/>
          <w:szCs w:val="27"/>
          <w:shd w:val="clear" w:color="auto" w:fill="FFFFFF"/>
          <w:lang w:eastAsia="tr-TR"/>
        </w:rPr>
        <w:t>/7/2018</w:t>
      </w:r>
    </w:p>
    <w:p w:rsidR="00F633E1" w:rsidRDefault="00F633E1" w:rsidP="00F633E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F633E1">
        <w:rPr>
          <w:rFonts w:ascii="Times New Roman" w:eastAsia="Times New Roman" w:hAnsi="Times New Roman" w:cs="Times New Roman"/>
          <w:b/>
          <w:bCs/>
          <w:color w:val="000000"/>
          <w:sz w:val="24"/>
          <w:szCs w:val="27"/>
          <w:shd w:val="clear" w:color="auto" w:fill="FFFFFF"/>
          <w:lang w:eastAsia="tr-TR"/>
        </w:rPr>
        <w:t xml:space="preserve">R.G. Tarih – </w:t>
      </w:r>
      <w:proofErr w:type="gramStart"/>
      <w:r w:rsidRPr="00F633E1">
        <w:rPr>
          <w:rFonts w:ascii="Times New Roman" w:eastAsia="Times New Roman" w:hAnsi="Times New Roman" w:cs="Times New Roman"/>
          <w:b/>
          <w:bCs/>
          <w:color w:val="000000"/>
          <w:sz w:val="24"/>
          <w:szCs w:val="27"/>
          <w:shd w:val="clear" w:color="auto" w:fill="FFFFFF"/>
          <w:lang w:eastAsia="tr-TR"/>
        </w:rPr>
        <w:t>Sayı :  16</w:t>
      </w:r>
      <w:proofErr w:type="gramEnd"/>
      <w:r w:rsidRPr="00F633E1">
        <w:rPr>
          <w:rFonts w:ascii="Times New Roman" w:eastAsia="Times New Roman" w:hAnsi="Times New Roman" w:cs="Times New Roman"/>
          <w:b/>
          <w:bCs/>
          <w:color w:val="000000"/>
          <w:sz w:val="24"/>
          <w:szCs w:val="27"/>
          <w:shd w:val="clear" w:color="auto" w:fill="FFFFFF"/>
          <w:lang w:eastAsia="tr-TR"/>
        </w:rPr>
        <w:t xml:space="preserve">/10/2018 </w:t>
      </w:r>
      <w:r>
        <w:rPr>
          <w:rFonts w:ascii="Times New Roman" w:eastAsia="Times New Roman" w:hAnsi="Times New Roman" w:cs="Times New Roman"/>
          <w:b/>
          <w:bCs/>
          <w:color w:val="000000"/>
          <w:sz w:val="24"/>
          <w:szCs w:val="27"/>
          <w:shd w:val="clear" w:color="auto" w:fill="FFFFFF"/>
          <w:lang w:eastAsia="tr-TR"/>
        </w:rPr>
        <w:t>–</w:t>
      </w:r>
      <w:r w:rsidRPr="00F633E1">
        <w:rPr>
          <w:rFonts w:ascii="Times New Roman" w:eastAsia="Times New Roman" w:hAnsi="Times New Roman" w:cs="Times New Roman"/>
          <w:b/>
          <w:bCs/>
          <w:color w:val="000000"/>
          <w:sz w:val="24"/>
          <w:szCs w:val="27"/>
          <w:shd w:val="clear" w:color="auto" w:fill="FFFFFF"/>
          <w:lang w:eastAsia="tr-TR"/>
        </w:rPr>
        <w:t xml:space="preserve"> 30567</w:t>
      </w:r>
    </w:p>
    <w:p w:rsidR="00F633E1" w:rsidRDefault="00F633E1" w:rsidP="00F633E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shd w:val="clear" w:color="auto" w:fill="FFFFFF"/>
          <w:lang w:eastAsia="tr-TR"/>
        </w:rPr>
        <w:t>İTİRAZ YOLUNA BAŞVURAN: </w:t>
      </w:r>
      <w:r w:rsidRPr="00F633E1">
        <w:rPr>
          <w:rFonts w:ascii="Times New Roman" w:eastAsia="Times New Roman" w:hAnsi="Times New Roman" w:cs="Times New Roman"/>
          <w:color w:val="000000"/>
          <w:sz w:val="24"/>
          <w:szCs w:val="27"/>
          <w:lang w:eastAsia="tr-TR"/>
        </w:rPr>
        <w:t>İstanbul 5. İcra Hukuk Mahkemesi</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lang w:eastAsia="tr-TR"/>
        </w:rPr>
        <w:t>İTİRAZIN KONUSU:</w:t>
      </w:r>
      <w:r w:rsidRPr="00F633E1">
        <w:rPr>
          <w:rFonts w:ascii="Times New Roman" w:eastAsia="Times New Roman" w:hAnsi="Times New Roman" w:cs="Times New Roman"/>
          <w:color w:val="000000"/>
          <w:sz w:val="24"/>
          <w:szCs w:val="27"/>
          <w:lang w:eastAsia="tr-TR"/>
        </w:rPr>
        <w:t> </w:t>
      </w:r>
      <w:proofErr w:type="gramStart"/>
      <w:r w:rsidRPr="00F633E1">
        <w:rPr>
          <w:rFonts w:ascii="Times New Roman" w:eastAsia="Times New Roman" w:hAnsi="Times New Roman" w:cs="Times New Roman"/>
          <w:color w:val="000000"/>
          <w:sz w:val="24"/>
          <w:szCs w:val="27"/>
          <w:lang w:eastAsia="tr-TR"/>
        </w:rPr>
        <w:t>22/5/2003</w:t>
      </w:r>
      <w:proofErr w:type="gramEnd"/>
      <w:r w:rsidRPr="00F633E1">
        <w:rPr>
          <w:rFonts w:ascii="Times New Roman" w:eastAsia="Times New Roman" w:hAnsi="Times New Roman" w:cs="Times New Roman"/>
          <w:color w:val="000000"/>
          <w:sz w:val="24"/>
          <w:szCs w:val="27"/>
          <w:lang w:eastAsia="tr-TR"/>
        </w:rPr>
        <w:t xml:space="preserve"> tarihli 4857 sayılı İş Kanunu’nun 34. maddesinin birinci fıkrasının üçüncü cümlesinde yer alan </w:t>
      </w:r>
      <w:r w:rsidRPr="00F633E1">
        <w:rPr>
          <w:rFonts w:ascii="Times New Roman" w:eastAsia="Times New Roman" w:hAnsi="Times New Roman" w:cs="Times New Roman"/>
          <w:i/>
          <w:iCs/>
          <w:color w:val="000000"/>
          <w:sz w:val="24"/>
          <w:szCs w:val="27"/>
          <w:lang w:eastAsia="tr-TR"/>
        </w:rPr>
        <w:t>“…mevduata uygulanan en yüksek…” </w:t>
      </w:r>
      <w:r w:rsidRPr="00F633E1">
        <w:rPr>
          <w:rFonts w:ascii="Times New Roman" w:eastAsia="Times New Roman" w:hAnsi="Times New Roman" w:cs="Times New Roman"/>
          <w:color w:val="000000"/>
          <w:sz w:val="24"/>
          <w:szCs w:val="27"/>
          <w:lang w:eastAsia="tr-TR"/>
        </w:rPr>
        <w:t>ibaresinin Anayasa’nın 2. ve 36. maddelerine aykırılığı ileri sürülerek iptaline karar verilmesi talebidir.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shd w:val="clear" w:color="auto" w:fill="FFFFFF"/>
          <w:lang w:eastAsia="tr-TR"/>
        </w:rPr>
        <w:t>OLAY: </w:t>
      </w:r>
      <w:r w:rsidRPr="00F633E1">
        <w:rPr>
          <w:rFonts w:ascii="Times New Roman" w:eastAsia="Times New Roman" w:hAnsi="Times New Roman" w:cs="Times New Roman"/>
          <w:color w:val="000000"/>
          <w:sz w:val="24"/>
          <w:szCs w:val="27"/>
          <w:lang w:eastAsia="tr-TR"/>
        </w:rPr>
        <w:t>İcra takibine konu kıdem tazminatı, fazla mesai alacağı ve genel tatil alacağı olarak hükmedilen alacak kalemlerine en yüksek banka mevduat faizi oranı olarak %15 yıllık faiz oranının uygulanması nedeni ile icra takibinin iptali talebiyle açılan davada, itiraz konusu kuralın Anayasa’ya aykırı olduğu kanısına varan Mahkeme, iptali için başvurmuştur.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shd w:val="clear" w:color="auto" w:fill="FFFFFF"/>
          <w:lang w:eastAsia="tr-TR"/>
        </w:rPr>
        <w:t>I. İPTALİ İSTENEN KANUN HÜKMÜ</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Kanun’un itiraz konusu ibareyi içeren 34. maddesi şöyledir: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i/>
          <w:iCs/>
          <w:color w:val="000000"/>
          <w:sz w:val="24"/>
          <w:lang w:eastAsia="tr-TR"/>
        </w:rPr>
        <w:t>“Ücretin gününde ödenmemesi</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i/>
          <w:iCs/>
          <w:color w:val="000000"/>
          <w:sz w:val="24"/>
          <w:lang w:eastAsia="tr-TR"/>
        </w:rPr>
        <w:t>Madde 34- 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w:t>
      </w:r>
      <w:r w:rsidRPr="00F633E1">
        <w:rPr>
          <w:rFonts w:ascii="Times New Roman" w:eastAsia="Times New Roman" w:hAnsi="Times New Roman" w:cs="Times New Roman"/>
          <w:b/>
          <w:bCs/>
          <w:i/>
          <w:iCs/>
          <w:color w:val="000000"/>
          <w:sz w:val="24"/>
          <w:lang w:eastAsia="tr-TR"/>
        </w:rPr>
        <w:t>mevduata uygulanan en yüksek</w:t>
      </w:r>
      <w:r w:rsidRPr="00F633E1">
        <w:rPr>
          <w:rFonts w:ascii="Times New Roman" w:eastAsia="Times New Roman" w:hAnsi="Times New Roman" w:cs="Times New Roman"/>
          <w:i/>
          <w:iCs/>
          <w:color w:val="000000"/>
          <w:sz w:val="24"/>
          <w:lang w:eastAsia="tr-TR"/>
        </w:rPr>
        <w:t> faiz oranı uygulanır.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i/>
          <w:iCs/>
          <w:color w:val="000000"/>
          <w:sz w:val="24"/>
          <w:lang w:eastAsia="tr-TR"/>
        </w:rPr>
        <w:t>Bu işçilerin bu nedenle iş akitleri çalışmadıkları için feshedilemez ve yerine yeni işçi alınamaz, bu işler başkalarına yaptırılamaz.”</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shd w:val="clear" w:color="auto" w:fill="FFFFFF"/>
          <w:lang w:eastAsia="tr-TR"/>
        </w:rPr>
        <w:t>II. İLK İNCELEME</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F633E1">
        <w:rPr>
          <w:rFonts w:ascii="Times New Roman" w:eastAsia="Times New Roman" w:hAnsi="Times New Roman" w:cs="Times New Roman"/>
          <w:color w:val="000000"/>
          <w:sz w:val="24"/>
          <w:szCs w:val="27"/>
          <w:lang w:eastAsia="tr-TR"/>
        </w:rPr>
        <w:t>Serruh</w:t>
      </w:r>
      <w:proofErr w:type="spellEnd"/>
      <w:r w:rsidRPr="00F633E1">
        <w:rPr>
          <w:rFonts w:ascii="Times New Roman" w:eastAsia="Times New Roman" w:hAnsi="Times New Roman" w:cs="Times New Roman"/>
          <w:color w:val="000000"/>
          <w:sz w:val="24"/>
          <w:szCs w:val="27"/>
          <w:lang w:eastAsia="tr-TR"/>
        </w:rPr>
        <w:t xml:space="preserve"> KALELİ, Osman </w:t>
      </w:r>
      <w:proofErr w:type="spellStart"/>
      <w:r w:rsidRPr="00F633E1">
        <w:rPr>
          <w:rFonts w:ascii="Times New Roman" w:eastAsia="Times New Roman" w:hAnsi="Times New Roman" w:cs="Times New Roman"/>
          <w:color w:val="000000"/>
          <w:sz w:val="24"/>
          <w:szCs w:val="27"/>
          <w:lang w:eastAsia="tr-TR"/>
        </w:rPr>
        <w:t>Alifeyyaz</w:t>
      </w:r>
      <w:proofErr w:type="spellEnd"/>
      <w:r w:rsidRPr="00F633E1">
        <w:rPr>
          <w:rFonts w:ascii="Times New Roman" w:eastAsia="Times New Roman" w:hAnsi="Times New Roman" w:cs="Times New Roman"/>
          <w:color w:val="000000"/>
          <w:sz w:val="24"/>
          <w:szCs w:val="27"/>
          <w:lang w:eastAsia="tr-TR"/>
        </w:rPr>
        <w:t xml:space="preserve"> PAKSÜT, Recep KÖMÜRCÜ, Nuri NECİPOĞLU, </w:t>
      </w:r>
      <w:proofErr w:type="spellStart"/>
      <w:r w:rsidRPr="00F633E1">
        <w:rPr>
          <w:rFonts w:ascii="Times New Roman" w:eastAsia="Times New Roman" w:hAnsi="Times New Roman" w:cs="Times New Roman"/>
          <w:color w:val="000000"/>
          <w:sz w:val="24"/>
          <w:szCs w:val="27"/>
          <w:lang w:eastAsia="tr-TR"/>
        </w:rPr>
        <w:t>Hicabi</w:t>
      </w:r>
      <w:proofErr w:type="spellEnd"/>
      <w:r w:rsidRPr="00F633E1">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F633E1">
        <w:rPr>
          <w:rFonts w:ascii="Times New Roman" w:eastAsia="Times New Roman" w:hAnsi="Times New Roman" w:cs="Times New Roman"/>
          <w:color w:val="000000"/>
          <w:sz w:val="24"/>
          <w:szCs w:val="27"/>
          <w:lang w:eastAsia="tr-TR"/>
        </w:rPr>
        <w:t>HAKYEMEZ’in</w:t>
      </w:r>
      <w:proofErr w:type="spellEnd"/>
      <w:r w:rsidRPr="00F633E1">
        <w:rPr>
          <w:rFonts w:ascii="Times New Roman" w:eastAsia="Times New Roman" w:hAnsi="Times New Roman" w:cs="Times New Roman"/>
          <w:color w:val="000000"/>
          <w:sz w:val="24"/>
          <w:szCs w:val="27"/>
          <w:lang w:eastAsia="tr-TR"/>
        </w:rPr>
        <w:t xml:space="preserve"> katılımlarıyla </w:t>
      </w:r>
      <w:proofErr w:type="gramStart"/>
      <w:r w:rsidRPr="00F633E1">
        <w:rPr>
          <w:rFonts w:ascii="Times New Roman" w:eastAsia="Times New Roman" w:hAnsi="Times New Roman" w:cs="Times New Roman"/>
          <w:color w:val="000000"/>
          <w:sz w:val="24"/>
          <w:szCs w:val="27"/>
          <w:lang w:eastAsia="tr-TR"/>
        </w:rPr>
        <w:t>2/5/2018</w:t>
      </w:r>
      <w:proofErr w:type="gramEnd"/>
      <w:r w:rsidRPr="00F633E1">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OYBİRLİĞİYLE karar verilmiştir.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lang w:eastAsia="tr-TR"/>
        </w:rPr>
        <w:t>III. ESASIN İNCELENMESİ</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shd w:val="clear" w:color="auto" w:fill="FFFFFF"/>
          <w:lang w:eastAsia="tr-TR"/>
        </w:rPr>
        <w:lastRenderedPageBreak/>
        <w:t>2. Başvuru kararı ve ekleri, Raportör Hülya ÇOŞTAN ÇETİN tarafından hazırlanan işin esasına ilişkin rapor, itiraz konusu kanun hükmü, dayanılan Anayasa kuralları ile bunların gerekçeleri ve diğer yasama belgeleri okunup incelendikten sonra gereği görüşülüp düşünüldü:</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lang w:eastAsia="tr-TR"/>
        </w:rPr>
        <w:t>A. İtirazın Gerekçesi</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3E1">
        <w:rPr>
          <w:rFonts w:ascii="Times New Roman" w:eastAsia="Times New Roman" w:hAnsi="Times New Roman" w:cs="Times New Roman"/>
          <w:color w:val="000000"/>
          <w:sz w:val="24"/>
          <w:szCs w:val="27"/>
          <w:lang w:eastAsia="tr-TR"/>
        </w:rPr>
        <w:t>3. </w:t>
      </w:r>
      <w:r w:rsidRPr="00F633E1">
        <w:rPr>
          <w:rFonts w:ascii="Times New Roman" w:eastAsia="Times New Roman" w:hAnsi="Times New Roman" w:cs="Times New Roman"/>
          <w:color w:val="000000"/>
          <w:spacing w:val="-1"/>
          <w:sz w:val="24"/>
          <w:szCs w:val="27"/>
          <w:lang w:eastAsia="tr-TR"/>
        </w:rPr>
        <w:t>Başvuru kararında özetle itiraz konusu kural uyarınca mevduata uygulanan en yüksek faiz oranının tespitinde</w:t>
      </w:r>
      <w:r w:rsidRPr="00F633E1">
        <w:rPr>
          <w:rFonts w:ascii="Times New Roman" w:eastAsia="Times New Roman" w:hAnsi="Times New Roman" w:cs="Times New Roman"/>
          <w:color w:val="000000"/>
          <w:sz w:val="24"/>
          <w:szCs w:val="27"/>
          <w:lang w:eastAsia="tr-TR"/>
        </w:rPr>
        <w:t> bankacılık uygulamasında bankaların Türkiye Cumhuriyet Merkez Bankasına fiilî uygulamalarını göstermeyen ancak uygulayacaklarını bildirdikleri azami faiz oranları ile bankaların şubelerine ve müşterilerine göre değişen şekilde uyguladıkları en yüksek faiz oranı şeklinde farklı faiz oranlarının bulunmasının sorunlara yol açtığı, mevduata uygulanan en yüksek faiz oranının yasal faiz oranının altında kalabildiği, işçi lehine olduğu düşünülen bu hükmün öngörülebilirlik ve erişilebilirlik gerekliliklerini karşılamaması sebebiyle işçi ve işveren aleyhine olduğu, uyuşmazlığın çözümü yolunu kapattığı belirtilerek kuralın Anayasa’nın 2. ve 36. maddelerine aykırı olduğu ileri sürülmüştür. </w:t>
      </w:r>
      <w:proofErr w:type="gramEnd"/>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lang w:eastAsia="tr-TR"/>
        </w:rPr>
        <w:t>B. Anayasa’ya Aykırılık Sorunu</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4. 4857 sayılı Kanun’un 34. maddesinin birinci fıkrasının üçüncü cümlesinde,</w:t>
      </w:r>
      <w:r w:rsidRPr="00F633E1">
        <w:rPr>
          <w:rFonts w:ascii="Times New Roman" w:eastAsia="Times New Roman" w:hAnsi="Times New Roman" w:cs="Times New Roman"/>
          <w:i/>
          <w:iCs/>
          <w:color w:val="000000"/>
          <w:sz w:val="24"/>
          <w:szCs w:val="27"/>
          <w:lang w:eastAsia="tr-TR"/>
        </w:rPr>
        <w:t> </w:t>
      </w:r>
      <w:r w:rsidRPr="00F633E1">
        <w:rPr>
          <w:rFonts w:ascii="Times New Roman" w:eastAsia="Times New Roman" w:hAnsi="Times New Roman" w:cs="Times New Roman"/>
          <w:color w:val="000000"/>
          <w:sz w:val="24"/>
          <w:szCs w:val="27"/>
          <w:lang w:eastAsia="tr-TR"/>
        </w:rPr>
        <w:t>işçilerin</w:t>
      </w:r>
      <w:r w:rsidRPr="00F633E1">
        <w:rPr>
          <w:rFonts w:ascii="Times New Roman" w:eastAsia="Times New Roman" w:hAnsi="Times New Roman" w:cs="Times New Roman"/>
          <w:i/>
          <w:iCs/>
          <w:color w:val="000000"/>
          <w:sz w:val="24"/>
          <w:szCs w:val="27"/>
          <w:lang w:eastAsia="tr-TR"/>
        </w:rPr>
        <w:t> </w:t>
      </w:r>
      <w:r w:rsidRPr="00F633E1">
        <w:rPr>
          <w:rFonts w:ascii="Times New Roman" w:eastAsia="Times New Roman" w:hAnsi="Times New Roman" w:cs="Times New Roman"/>
          <w:color w:val="000000"/>
          <w:sz w:val="24"/>
          <w:szCs w:val="27"/>
          <w:lang w:eastAsia="tr-TR"/>
        </w:rPr>
        <w:t>gününde ödenmeyen ücretleri için mevduata uygulanan en yüksek faiz oranının uygulanacağı belirtilmiş olup cümlede yer alan “</w:t>
      </w:r>
      <w:r w:rsidRPr="00F633E1">
        <w:rPr>
          <w:rFonts w:ascii="Times New Roman" w:eastAsia="Times New Roman" w:hAnsi="Times New Roman" w:cs="Times New Roman"/>
          <w:i/>
          <w:iCs/>
          <w:color w:val="000000"/>
          <w:sz w:val="24"/>
          <w:szCs w:val="27"/>
          <w:lang w:eastAsia="tr-TR"/>
        </w:rPr>
        <w:t>…mevduata uygulanan en yüksek…” </w:t>
      </w:r>
      <w:r w:rsidRPr="00F633E1">
        <w:rPr>
          <w:rFonts w:ascii="Times New Roman" w:eastAsia="Times New Roman" w:hAnsi="Times New Roman" w:cs="Times New Roman"/>
          <w:color w:val="000000"/>
          <w:sz w:val="24"/>
          <w:szCs w:val="27"/>
          <w:lang w:eastAsia="tr-TR"/>
        </w:rPr>
        <w:t>ibaresi itiraz konusu kuralı oluşturmaktadır.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3E1">
        <w:rPr>
          <w:rFonts w:ascii="Times New Roman" w:eastAsia="Times New Roman" w:hAnsi="Times New Roman" w:cs="Times New Roman"/>
          <w:color w:val="000000"/>
          <w:sz w:val="24"/>
          <w:szCs w:val="27"/>
          <w:lang w:eastAsia="tr-TR"/>
        </w:rPr>
        <w:t>5. Anayasa’nın 2. maddesinde belirtilen hukuk devleti; insan haklarına saygılı olan, bu hak ve özgürlükleri koruyup güçlendiren, eylem ve işlemleri hukuka uygun olan, her alanda adaletli bir hukuk düzeni kurup bunu geliştirerek sürdüren, Anayasa’ya aykırı tutum ve davranışlardan kaçınan, hukuku tüm devlet organlarına egemen kılan, hukuk kurallarıyla kendini bağlı sayan, yargı denetimine açık olan devlettir.</w:t>
      </w:r>
      <w:proofErr w:type="gramEnd"/>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6. Hukuk devletinin temel ilkelerinden biri de </w:t>
      </w:r>
      <w:r w:rsidRPr="00F633E1">
        <w:rPr>
          <w:rFonts w:ascii="Times New Roman" w:eastAsia="Times New Roman" w:hAnsi="Times New Roman" w:cs="Times New Roman"/>
          <w:i/>
          <w:iCs/>
          <w:color w:val="000000"/>
          <w:sz w:val="24"/>
          <w:szCs w:val="27"/>
          <w:lang w:eastAsia="tr-TR"/>
        </w:rPr>
        <w:t>belirlilik</w:t>
      </w:r>
      <w:r w:rsidRPr="00F633E1">
        <w:rPr>
          <w:rFonts w:ascii="Times New Roman" w:eastAsia="Times New Roman" w:hAnsi="Times New Roman" w:cs="Times New Roman"/>
          <w:color w:val="000000"/>
          <w:sz w:val="24"/>
          <w:szCs w:val="27"/>
          <w:lang w:eastAsia="tr-TR"/>
        </w:rPr>
        <w:t>tir. Bu ilke, yalnızca yasal belirliliği değil daha geniş anlamda hukuki belirliliği ifade etmektedir. Yasal düzenlemeye dayanarak erişilebilir, bilinebilir ve öngörülebilir olma gibi niteliksel gereklilikleri karşılaması koşuluyla mahkeme içtihatları ve yürütmenin düzenleyici işlemleri ile de hukuki belirlilik sağlanabilir. </w:t>
      </w:r>
      <w:r w:rsidRPr="00F633E1">
        <w:rPr>
          <w:rFonts w:ascii="Times New Roman" w:eastAsia="Times New Roman" w:hAnsi="Times New Roman" w:cs="Times New Roman"/>
          <w:color w:val="000000"/>
          <w:sz w:val="24"/>
          <w:szCs w:val="27"/>
          <w:shd w:val="clear" w:color="auto" w:fill="FFFFFF"/>
          <w:lang w:eastAsia="tr-TR"/>
        </w:rPr>
        <w:t>Hukuki belirlilik ilkesinde asıl olan, bir hukuk normunun uygulanmasıyla ortaya çıkacak sonuçların o hukuk düzeninde öngörülebilir olmasıdır.</w:t>
      </w:r>
      <w:r w:rsidRPr="00F633E1">
        <w:rPr>
          <w:rFonts w:ascii="Times New Roman" w:eastAsia="Times New Roman" w:hAnsi="Times New Roman" w:cs="Times New Roman"/>
          <w:color w:val="000000"/>
          <w:sz w:val="24"/>
          <w:szCs w:val="27"/>
          <w:lang w:eastAsia="tr-TR"/>
        </w:rPr>
        <w:t> Belirlilik ilkesi hukuki güvenlikle bağlantılı olup bu ilke gereği bireylerin tüm eylem ve işlemlerinde devlete güven duyabilmesini, devletin de yasal düzenlemelerde bu güven duygusunu zedeleyici yöntemlerden kaçınmasını gerekli kılar.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shd w:val="clear" w:color="auto" w:fill="FFFFFF"/>
          <w:lang w:eastAsia="tr-TR"/>
        </w:rPr>
        <w:t>7. Hukuk devleti olmanın gerekliliklerinden biri de kanunların kamu yararının sağlanması amacına yönelik olması, genel, objektif, adil kurallar içermesi ve hakkaniyet ölçütlerini gözetmesidir. Bu nedenle kanun koyucunun hukuki düzenlemelerde kendisine tanınan takdir yetkisini anayasal sınırlar içinde adalet, hakkaniyet ve kamu yararı ölçütlerini göz önünde tutarak kullanması gerekir.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shd w:val="clear" w:color="auto" w:fill="FFFFFF"/>
          <w:lang w:eastAsia="tr-TR"/>
        </w:rPr>
        <w:t>8. Kanun koyucu, düzenlemeler yaparken hukuk devleti ilkesinin gerekliliklerinden olan ölçülülük ilkesiyle bağlıdır. Bu ilke ise </w:t>
      </w:r>
      <w:r w:rsidRPr="00F633E1">
        <w:rPr>
          <w:rFonts w:ascii="Times New Roman" w:eastAsia="Times New Roman" w:hAnsi="Times New Roman" w:cs="Times New Roman"/>
          <w:i/>
          <w:iCs/>
          <w:color w:val="000000"/>
          <w:sz w:val="24"/>
          <w:szCs w:val="27"/>
          <w:shd w:val="clear" w:color="auto" w:fill="FFFFFF"/>
          <w:lang w:eastAsia="tr-TR"/>
        </w:rPr>
        <w:t>elverişlilik</w:t>
      </w:r>
      <w:r w:rsidRPr="00F633E1">
        <w:rPr>
          <w:rFonts w:ascii="Times New Roman" w:eastAsia="Times New Roman" w:hAnsi="Times New Roman" w:cs="Times New Roman"/>
          <w:color w:val="000000"/>
          <w:sz w:val="24"/>
          <w:szCs w:val="27"/>
          <w:shd w:val="clear" w:color="auto" w:fill="FFFFFF"/>
          <w:lang w:eastAsia="tr-TR"/>
        </w:rPr>
        <w:t>, </w:t>
      </w:r>
      <w:r w:rsidRPr="00F633E1">
        <w:rPr>
          <w:rFonts w:ascii="Times New Roman" w:eastAsia="Times New Roman" w:hAnsi="Times New Roman" w:cs="Times New Roman"/>
          <w:i/>
          <w:iCs/>
          <w:color w:val="000000"/>
          <w:sz w:val="24"/>
          <w:szCs w:val="27"/>
          <w:shd w:val="clear" w:color="auto" w:fill="FFFFFF"/>
          <w:lang w:eastAsia="tr-TR"/>
        </w:rPr>
        <w:t>gereklilik</w:t>
      </w:r>
      <w:r w:rsidRPr="00F633E1">
        <w:rPr>
          <w:rFonts w:ascii="Times New Roman" w:eastAsia="Times New Roman" w:hAnsi="Times New Roman" w:cs="Times New Roman"/>
          <w:color w:val="000000"/>
          <w:sz w:val="24"/>
          <w:szCs w:val="27"/>
          <w:shd w:val="clear" w:color="auto" w:fill="FFFFFF"/>
          <w:lang w:eastAsia="tr-TR"/>
        </w:rPr>
        <w:t> ve  </w:t>
      </w:r>
      <w:r w:rsidRPr="00F633E1">
        <w:rPr>
          <w:rFonts w:ascii="Times New Roman" w:eastAsia="Times New Roman" w:hAnsi="Times New Roman" w:cs="Times New Roman"/>
          <w:i/>
          <w:iCs/>
          <w:color w:val="000000"/>
          <w:sz w:val="24"/>
          <w:szCs w:val="27"/>
          <w:shd w:val="clear" w:color="auto" w:fill="FFFFFF"/>
          <w:lang w:eastAsia="tr-TR"/>
        </w:rPr>
        <w:t>orantılılık</w:t>
      </w:r>
      <w:r w:rsidRPr="00F633E1">
        <w:rPr>
          <w:rFonts w:ascii="Times New Roman" w:eastAsia="Times New Roman" w:hAnsi="Times New Roman" w:cs="Times New Roman"/>
          <w:color w:val="000000"/>
          <w:sz w:val="24"/>
          <w:szCs w:val="27"/>
          <w:shd w:val="clear" w:color="auto" w:fill="FFFFFF"/>
          <w:lang w:eastAsia="tr-TR"/>
        </w:rPr>
        <w:t> olmak üzere üç alt ilkeden oluşmaktadır. </w:t>
      </w:r>
      <w:r w:rsidRPr="00F633E1">
        <w:rPr>
          <w:rFonts w:ascii="Times New Roman" w:eastAsia="Times New Roman" w:hAnsi="Times New Roman" w:cs="Times New Roman"/>
          <w:i/>
          <w:iCs/>
          <w:color w:val="000000"/>
          <w:sz w:val="24"/>
          <w:szCs w:val="27"/>
          <w:shd w:val="clear" w:color="auto" w:fill="FFFFFF"/>
          <w:lang w:eastAsia="tr-TR"/>
        </w:rPr>
        <w:t>Elverişlilik</w:t>
      </w:r>
      <w:r w:rsidRPr="00F633E1">
        <w:rPr>
          <w:rFonts w:ascii="Times New Roman" w:eastAsia="Times New Roman" w:hAnsi="Times New Roman" w:cs="Times New Roman"/>
          <w:color w:val="000000"/>
          <w:sz w:val="24"/>
          <w:szCs w:val="27"/>
          <w:shd w:val="clear" w:color="auto" w:fill="FFFFFF"/>
          <w:lang w:eastAsia="tr-TR"/>
        </w:rPr>
        <w:t> getirilen kuralın ulaşılmak istenen amaç için elverişli olmasını, </w:t>
      </w:r>
      <w:r w:rsidRPr="00F633E1">
        <w:rPr>
          <w:rFonts w:ascii="Times New Roman" w:eastAsia="Times New Roman" w:hAnsi="Times New Roman" w:cs="Times New Roman"/>
          <w:i/>
          <w:iCs/>
          <w:color w:val="000000"/>
          <w:sz w:val="24"/>
          <w:szCs w:val="27"/>
          <w:shd w:val="clear" w:color="auto" w:fill="FFFFFF"/>
          <w:lang w:eastAsia="tr-TR"/>
        </w:rPr>
        <w:t>gereklilik</w:t>
      </w:r>
      <w:r w:rsidRPr="00F633E1">
        <w:rPr>
          <w:rFonts w:ascii="Times New Roman" w:eastAsia="Times New Roman" w:hAnsi="Times New Roman" w:cs="Times New Roman"/>
          <w:color w:val="000000"/>
          <w:sz w:val="24"/>
          <w:szCs w:val="27"/>
          <w:shd w:val="clear" w:color="auto" w:fill="FFFFFF"/>
          <w:lang w:eastAsia="tr-TR"/>
        </w:rPr>
        <w:t> getirilen kuralın ulaşılmak istenen amaç bakımından gerekli olmasını,  </w:t>
      </w:r>
      <w:r w:rsidRPr="00F633E1">
        <w:rPr>
          <w:rFonts w:ascii="Times New Roman" w:eastAsia="Times New Roman" w:hAnsi="Times New Roman" w:cs="Times New Roman"/>
          <w:i/>
          <w:iCs/>
          <w:color w:val="000000"/>
          <w:sz w:val="24"/>
          <w:szCs w:val="27"/>
          <w:shd w:val="clear" w:color="auto" w:fill="FFFFFF"/>
          <w:lang w:eastAsia="tr-TR"/>
        </w:rPr>
        <w:t>orantılılık</w:t>
      </w:r>
      <w:r w:rsidRPr="00F633E1">
        <w:rPr>
          <w:rFonts w:ascii="Times New Roman" w:eastAsia="Times New Roman" w:hAnsi="Times New Roman" w:cs="Times New Roman"/>
          <w:color w:val="000000"/>
          <w:sz w:val="24"/>
          <w:szCs w:val="27"/>
          <w:shd w:val="clear" w:color="auto" w:fill="FFFFFF"/>
          <w:lang w:eastAsia="tr-TR"/>
        </w:rPr>
        <w:t xml:space="preserve"> ise getirilen kural ile ulaşılmak istenen amaç arasında olması gereken </w:t>
      </w:r>
      <w:r w:rsidRPr="00F633E1">
        <w:rPr>
          <w:rFonts w:ascii="Times New Roman" w:eastAsia="Times New Roman" w:hAnsi="Times New Roman" w:cs="Times New Roman"/>
          <w:color w:val="000000"/>
          <w:sz w:val="24"/>
          <w:szCs w:val="27"/>
          <w:shd w:val="clear" w:color="auto" w:fill="FFFFFF"/>
          <w:lang w:eastAsia="tr-TR"/>
        </w:rPr>
        <w:lastRenderedPageBreak/>
        <w:t>ölçüyü ifade etmektedir. Bir kuralda öngörülen düzenleme ile ulaşılmak istenen amaç arasında da </w:t>
      </w:r>
      <w:r w:rsidRPr="00F633E1">
        <w:rPr>
          <w:rFonts w:ascii="Times New Roman" w:eastAsia="Times New Roman" w:hAnsi="Times New Roman" w:cs="Times New Roman"/>
          <w:i/>
          <w:iCs/>
          <w:color w:val="000000"/>
          <w:sz w:val="24"/>
          <w:szCs w:val="27"/>
          <w:shd w:val="clear" w:color="auto" w:fill="FFFFFF"/>
          <w:lang w:eastAsia="tr-TR"/>
        </w:rPr>
        <w:t>ölçülülük ilkesi</w:t>
      </w:r>
      <w:r w:rsidRPr="00F633E1">
        <w:rPr>
          <w:rFonts w:ascii="Times New Roman" w:eastAsia="Times New Roman" w:hAnsi="Times New Roman" w:cs="Times New Roman"/>
          <w:color w:val="000000"/>
          <w:sz w:val="24"/>
          <w:szCs w:val="27"/>
          <w:shd w:val="clear" w:color="auto" w:fill="FFFFFF"/>
          <w:lang w:eastAsia="tr-TR"/>
        </w:rPr>
        <w:t> gereğince makul bir dengenin bulunması zorunludur.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9. İtiraz konusu kural, gününde ödenmeyen ücretler için mevduata uygulanan en yüksek faiz oranının uygulanmasını öngörmektedir. Kural işverenin işçiye olan ücret borcunu ödemede temerrüde düşmesi hâlinde uygulanacak temerrüt faizinin oranını belirlemektedir. Temerrüt faizi, para borcunun ifasında temerrüde düşülmesi hâlinde ödenmesi gereken faizi ifade eder. Ücret ödeme borcunda temerrüde düşülmesi hâlinde uygulanması gereken oran, itiraz konusu kural uyarınca mevduata uygulanan en yüksek faiz oranıdır.</w:t>
      </w:r>
      <w:r w:rsidRPr="00F633E1">
        <w:rPr>
          <w:rFonts w:ascii="Times New Roman" w:eastAsia="Times New Roman" w:hAnsi="Times New Roman" w:cs="Times New Roman"/>
          <w:color w:val="060606"/>
          <w:sz w:val="24"/>
          <w:szCs w:val="27"/>
          <w:lang w:eastAsia="tr-TR"/>
        </w:rPr>
        <w:t> </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10.</w:t>
      </w:r>
      <w:r w:rsidRPr="00F633E1">
        <w:rPr>
          <w:rFonts w:ascii="Times New Roman" w:eastAsia="Times New Roman" w:hAnsi="Times New Roman" w:cs="Times New Roman"/>
          <w:color w:val="000000"/>
          <w:sz w:val="24"/>
          <w:szCs w:val="27"/>
          <w:shd w:val="clear" w:color="auto" w:fill="FFFFFF"/>
          <w:lang w:eastAsia="tr-TR"/>
        </w:rPr>
        <w:t> </w:t>
      </w:r>
      <w:r w:rsidRPr="00F633E1">
        <w:rPr>
          <w:rFonts w:ascii="Times New Roman" w:eastAsia="Times New Roman" w:hAnsi="Times New Roman" w:cs="Times New Roman"/>
          <w:color w:val="000000"/>
          <w:sz w:val="24"/>
          <w:szCs w:val="27"/>
          <w:lang w:eastAsia="tr-TR"/>
        </w:rPr>
        <w:t xml:space="preserve">Mevduata uygulanan en yüksek faiz oranının kanunlara ve bu kanunlara dayanılarak yürürlüğe konulan karar ve tebliğlere göre belirlenmesi mümkündür. </w:t>
      </w:r>
      <w:proofErr w:type="gramStart"/>
      <w:r w:rsidRPr="00F633E1">
        <w:rPr>
          <w:rFonts w:ascii="Times New Roman" w:eastAsia="Times New Roman" w:hAnsi="Times New Roman" w:cs="Times New Roman"/>
          <w:color w:val="000000"/>
          <w:sz w:val="24"/>
          <w:szCs w:val="27"/>
          <w:lang w:eastAsia="tr-TR"/>
        </w:rPr>
        <w:t>14/1/1970</w:t>
      </w:r>
      <w:proofErr w:type="gramEnd"/>
      <w:r w:rsidRPr="00F633E1">
        <w:rPr>
          <w:rFonts w:ascii="Times New Roman" w:eastAsia="Times New Roman" w:hAnsi="Times New Roman" w:cs="Times New Roman"/>
          <w:color w:val="000000"/>
          <w:sz w:val="24"/>
          <w:szCs w:val="27"/>
          <w:lang w:eastAsia="tr-TR"/>
        </w:rPr>
        <w:t xml:space="preserve"> tarihli ve 1211 sayılı Türkiye Cumhuriyet Merkez Bankası Kanunu’nun 40. maddesinin (III) numaralı fıkrasının (a) bendinde </w:t>
      </w:r>
      <w:r w:rsidRPr="00F633E1">
        <w:rPr>
          <w:rFonts w:ascii="Times New Roman" w:eastAsia="Times New Roman" w:hAnsi="Times New Roman" w:cs="Times New Roman"/>
          <w:i/>
          <w:iCs/>
          <w:color w:val="000000"/>
          <w:sz w:val="24"/>
          <w:szCs w:val="27"/>
          <w:lang w:eastAsia="tr-TR"/>
        </w:rPr>
        <w:t>“Bankanın (Türkiye Cumhuriyet Merkez Bankası) temel görev ve yetkilerinin yürütülmesi amacıyla mevzuatla Bankaya verilen yetkiler çerçevesinde bankalar, ödünç para verme işlemleri ve mevduat kabulünde uygulayacakları faiz oranlarını belirlenecek esaslara göre Bankaya bildirirler.”</w:t>
      </w:r>
      <w:r w:rsidRPr="00F633E1">
        <w:rPr>
          <w:rFonts w:ascii="Times New Roman" w:eastAsia="Times New Roman" w:hAnsi="Times New Roman" w:cs="Times New Roman"/>
          <w:color w:val="000000"/>
          <w:sz w:val="24"/>
          <w:szCs w:val="27"/>
          <w:lang w:eastAsia="tr-TR"/>
        </w:rPr>
        <w:t> hükmü yer almaktadır.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xml:space="preserve">11. </w:t>
      </w:r>
      <w:proofErr w:type="gramStart"/>
      <w:r w:rsidRPr="00F633E1">
        <w:rPr>
          <w:rFonts w:ascii="Times New Roman" w:eastAsia="Times New Roman" w:hAnsi="Times New Roman" w:cs="Times New Roman"/>
          <w:color w:val="000000"/>
          <w:sz w:val="24"/>
          <w:szCs w:val="27"/>
          <w:lang w:eastAsia="tr-TR"/>
        </w:rPr>
        <w:t>19/10/2005</w:t>
      </w:r>
      <w:proofErr w:type="gramEnd"/>
      <w:r w:rsidRPr="00F633E1">
        <w:rPr>
          <w:rFonts w:ascii="Times New Roman" w:eastAsia="Times New Roman" w:hAnsi="Times New Roman" w:cs="Times New Roman"/>
          <w:color w:val="000000"/>
          <w:sz w:val="24"/>
          <w:szCs w:val="27"/>
          <w:lang w:eastAsia="tr-TR"/>
        </w:rPr>
        <w:t xml:space="preserve"> tarihli ve 5411 sayılı Bankacılık Kanunu’nun </w:t>
      </w:r>
      <w:r w:rsidRPr="00F633E1">
        <w:rPr>
          <w:rFonts w:ascii="Times New Roman" w:eastAsia="Times New Roman" w:hAnsi="Times New Roman" w:cs="Times New Roman"/>
          <w:i/>
          <w:iCs/>
          <w:color w:val="000000"/>
          <w:sz w:val="24"/>
          <w:szCs w:val="27"/>
          <w:lang w:eastAsia="tr-TR"/>
        </w:rPr>
        <w:t>“Faiz oranları ile diğer menfaatler” </w:t>
      </w:r>
      <w:r w:rsidRPr="00F633E1">
        <w:rPr>
          <w:rFonts w:ascii="Times New Roman" w:eastAsia="Times New Roman" w:hAnsi="Times New Roman" w:cs="Times New Roman"/>
          <w:color w:val="000000"/>
          <w:sz w:val="24"/>
          <w:szCs w:val="27"/>
          <w:lang w:eastAsia="tr-TR"/>
        </w:rPr>
        <w:t>başlıklı 144. maddesinde ise </w:t>
      </w:r>
      <w:r w:rsidRPr="00F633E1">
        <w:rPr>
          <w:rFonts w:ascii="Times New Roman" w:eastAsia="Times New Roman" w:hAnsi="Times New Roman" w:cs="Times New Roman"/>
          <w:i/>
          <w:iCs/>
          <w:color w:val="000000"/>
          <w:sz w:val="24"/>
          <w:szCs w:val="27"/>
          <w:lang w:eastAsia="tr-TR"/>
        </w:rPr>
        <w:t>“Bakanlar Kurulu, bankaların ödünç para verme işlemleri ve mevduat kabulünde uygulanacak azamî faiz oranlarını, katılma hesaplarında kâr ve zarara katılma oranlarını, özel cari hesaplar dâhil bu maddede belirtilen işlemlerde sağlanacak diğer menfaatlerin nitelikleri ile azamî miktar ya da oranlarını tespit etmeye, bunları kısmen veya tamamen serbest bırakmaya yetkilidir. Bakanlar Kurulu, bu yetkilerini Merkez Bankasına devredebilir.”</w:t>
      </w:r>
      <w:r w:rsidRPr="00F633E1">
        <w:rPr>
          <w:rFonts w:ascii="Times New Roman" w:eastAsia="Times New Roman" w:hAnsi="Times New Roman" w:cs="Times New Roman"/>
          <w:color w:val="000000"/>
          <w:sz w:val="24"/>
          <w:szCs w:val="27"/>
          <w:lang w:eastAsia="tr-TR"/>
        </w:rPr>
        <w:t xml:space="preserve"> kuralına yer verilmiştir. Bu kurala aykırılığın yaptırımı ise 5411 sayılı Kanun’un 146. maddesinin birinci fıkrasının (r) bendinde düzenlenmiştir. </w:t>
      </w:r>
      <w:proofErr w:type="gramStart"/>
      <w:r w:rsidRPr="00F633E1">
        <w:rPr>
          <w:rFonts w:ascii="Times New Roman" w:eastAsia="Times New Roman" w:hAnsi="Times New Roman" w:cs="Times New Roman"/>
          <w:color w:val="000000"/>
          <w:sz w:val="24"/>
          <w:szCs w:val="27"/>
          <w:lang w:eastAsia="tr-TR"/>
        </w:rPr>
        <w:t>Buna göre 5411 sayılı Kanun’un 144. maddesi uyarınca alınan kararlara ve yapılan düzenlemelere uyulmaması hâlinde Bankacılık Düzenleme ve Denetleme Kurulu kararıyla ve gerekçesi belirtilmek suretiyle yirmi bin Türk lirası, ayrıca Bakanlar Kurulu veya Merkez Bankası tarafından miktar ya da oranların tespit edildiği durumlarda söz konusu miktar ve oranlara aykırı şekilde faiz alınması veya verilmesi ya da menfaat sağlanması hâlinde, sağlanan menfaat tutarı kadar idari para cezası uygulanmaktadır.</w:t>
      </w:r>
      <w:proofErr w:type="gramEnd"/>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xml:space="preserve">12. 5411 sayılı Kanun’un 144. maddesine dayanılarak çıkarılan </w:t>
      </w:r>
      <w:proofErr w:type="gramStart"/>
      <w:r w:rsidRPr="00F633E1">
        <w:rPr>
          <w:rFonts w:ascii="Times New Roman" w:eastAsia="Times New Roman" w:hAnsi="Times New Roman" w:cs="Times New Roman"/>
          <w:color w:val="000000"/>
          <w:sz w:val="24"/>
          <w:szCs w:val="27"/>
          <w:lang w:eastAsia="tr-TR"/>
        </w:rPr>
        <w:t>16/10/2006</w:t>
      </w:r>
      <w:proofErr w:type="gramEnd"/>
      <w:r w:rsidRPr="00F633E1">
        <w:rPr>
          <w:rFonts w:ascii="Times New Roman" w:eastAsia="Times New Roman" w:hAnsi="Times New Roman" w:cs="Times New Roman"/>
          <w:color w:val="000000"/>
          <w:sz w:val="24"/>
          <w:szCs w:val="27"/>
          <w:lang w:eastAsia="tr-TR"/>
        </w:rPr>
        <w:t xml:space="preserve"> tarihli ve 2006/11188 sayılı Bakanlar Kurulu kararının </w:t>
      </w:r>
      <w:r w:rsidRPr="00F633E1">
        <w:rPr>
          <w:rFonts w:ascii="Times New Roman" w:eastAsia="Times New Roman" w:hAnsi="Times New Roman" w:cs="Times New Roman"/>
          <w:i/>
          <w:iCs/>
          <w:color w:val="000000"/>
          <w:sz w:val="24"/>
          <w:szCs w:val="27"/>
          <w:lang w:eastAsia="tr-TR"/>
        </w:rPr>
        <w:t>“Faiz oranları ile kâr ve zarara katılma oranları” </w:t>
      </w:r>
      <w:r w:rsidRPr="00F633E1">
        <w:rPr>
          <w:rFonts w:ascii="Times New Roman" w:eastAsia="Times New Roman" w:hAnsi="Times New Roman" w:cs="Times New Roman"/>
          <w:color w:val="000000"/>
          <w:sz w:val="24"/>
          <w:szCs w:val="27"/>
          <w:lang w:eastAsia="tr-TR"/>
        </w:rPr>
        <w:t>başlıklı 3. maddesine göre: </w:t>
      </w:r>
      <w:r w:rsidRPr="00F633E1">
        <w:rPr>
          <w:rFonts w:ascii="Times New Roman" w:eastAsia="Times New Roman" w:hAnsi="Times New Roman" w:cs="Times New Roman"/>
          <w:i/>
          <w:iCs/>
          <w:color w:val="000000"/>
          <w:sz w:val="24"/>
          <w:szCs w:val="27"/>
          <w:lang w:eastAsia="tr-TR"/>
        </w:rPr>
        <w:t>“(1) Bankaların mevduata ve kredilere uygulayacakları faiz oranları ile katılma hesaplarına uygulayacakları kâr ve zarara katılma oranları ve bu oranların kısmen veya tamamen serbest bırakılması Türkiye Cumhuriyet Merkez Bankasınca yayımlanacak tebliğlerle düzenlenir. Bankalar mevduata peşin faiz veremezler.” </w:t>
      </w:r>
      <w:r w:rsidRPr="00F633E1">
        <w:rPr>
          <w:rFonts w:ascii="Times New Roman" w:eastAsia="Times New Roman" w:hAnsi="Times New Roman" w:cs="Times New Roman"/>
          <w:color w:val="000000"/>
          <w:sz w:val="24"/>
          <w:szCs w:val="27"/>
          <w:lang w:eastAsia="tr-TR"/>
        </w:rPr>
        <w:t>Bu Kararın </w:t>
      </w:r>
      <w:r w:rsidRPr="00F633E1">
        <w:rPr>
          <w:rFonts w:ascii="Times New Roman" w:eastAsia="Times New Roman" w:hAnsi="Times New Roman" w:cs="Times New Roman"/>
          <w:i/>
          <w:iCs/>
          <w:color w:val="000000"/>
          <w:sz w:val="24"/>
          <w:szCs w:val="27"/>
          <w:lang w:eastAsia="tr-TR"/>
        </w:rPr>
        <w:t>“Bildirme ve ilan”</w:t>
      </w:r>
      <w:r w:rsidRPr="00F633E1">
        <w:rPr>
          <w:rFonts w:ascii="Times New Roman" w:eastAsia="Times New Roman" w:hAnsi="Times New Roman" w:cs="Times New Roman"/>
          <w:color w:val="000000"/>
          <w:sz w:val="24"/>
          <w:szCs w:val="27"/>
          <w:lang w:eastAsia="tr-TR"/>
        </w:rPr>
        <w:t> başlığını taşıyan 5. maddesi uyarınca </w:t>
      </w:r>
      <w:r w:rsidRPr="00F633E1">
        <w:rPr>
          <w:rFonts w:ascii="Times New Roman" w:eastAsia="Times New Roman" w:hAnsi="Times New Roman" w:cs="Times New Roman"/>
          <w:i/>
          <w:iCs/>
          <w:color w:val="000000"/>
          <w:sz w:val="24"/>
          <w:szCs w:val="27"/>
          <w:lang w:eastAsia="tr-TR"/>
        </w:rPr>
        <w:t>“(1) Bankalar, mevduat ve kredi faiz oranları ile katılma hesapları kâr ve zarara katılma oranlarını Türkiye Cumhuriyet Merkez Bankasınca yayımlanacak tebliğler ile belirlenecek esas ve usuller çerçevesinde bu Bankaya bildirmek ve ilan etmek zorundadırlar.”</w:t>
      </w:r>
      <w:r w:rsidRPr="00F633E1">
        <w:rPr>
          <w:rFonts w:ascii="Times New Roman" w:eastAsia="Times New Roman" w:hAnsi="Times New Roman" w:cs="Times New Roman"/>
          <w:color w:val="000000"/>
          <w:sz w:val="24"/>
          <w:szCs w:val="27"/>
          <w:lang w:eastAsia="tr-TR"/>
        </w:rPr>
        <w:t> Bu kararın 8. maddesinde ise karar ve tebliğlere aykırılığın yaptırımı düzenlenmiştir. Buna göre </w:t>
      </w:r>
      <w:r w:rsidRPr="00F633E1">
        <w:rPr>
          <w:rFonts w:ascii="Times New Roman" w:eastAsia="Times New Roman" w:hAnsi="Times New Roman" w:cs="Times New Roman"/>
          <w:i/>
          <w:iCs/>
          <w:color w:val="000000"/>
          <w:sz w:val="24"/>
          <w:szCs w:val="27"/>
          <w:lang w:eastAsia="tr-TR"/>
        </w:rPr>
        <w:t>“(1) Bu Karar ve bu Karara ilişkin olarak çıkarılan tebliğlere aykırı işlem yapılması halinde ilgililer hakkında 5411 sayılı Bankacılık Kanununun 146 </w:t>
      </w:r>
      <w:proofErr w:type="spellStart"/>
      <w:r w:rsidRPr="00F633E1">
        <w:rPr>
          <w:rFonts w:ascii="Times New Roman" w:eastAsia="Times New Roman" w:hAnsi="Times New Roman" w:cs="Times New Roman"/>
          <w:i/>
          <w:iCs/>
          <w:color w:val="000000"/>
          <w:sz w:val="24"/>
          <w:szCs w:val="27"/>
          <w:lang w:eastAsia="tr-TR"/>
        </w:rPr>
        <w:t>ncı</w:t>
      </w:r>
      <w:proofErr w:type="spellEnd"/>
      <w:r w:rsidRPr="00F633E1">
        <w:rPr>
          <w:rFonts w:ascii="Times New Roman" w:eastAsia="Times New Roman" w:hAnsi="Times New Roman" w:cs="Times New Roman"/>
          <w:i/>
          <w:iCs/>
          <w:color w:val="000000"/>
          <w:sz w:val="24"/>
          <w:szCs w:val="27"/>
          <w:lang w:eastAsia="tr-TR"/>
        </w:rPr>
        <w:t> maddesi hükümleri uygulanır.”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xml:space="preserve">13. 2006/11188 sayılı Bakanlar Kurulu kararında verilen yetkiye dayanılarak Türkiye Cumhuriyet Merkez Bankası tarafından Mevduat ve Kredi Faiz Oranları ve Katılma Hesapları Kâr ve Zarara Katılma Oranları ile Kredi İşlemlerinde Faiz Dışında Sağlanacak Diğer </w:t>
      </w:r>
      <w:r w:rsidRPr="00F633E1">
        <w:rPr>
          <w:rFonts w:ascii="Times New Roman" w:eastAsia="Times New Roman" w:hAnsi="Times New Roman" w:cs="Times New Roman"/>
          <w:color w:val="000000"/>
          <w:sz w:val="24"/>
          <w:szCs w:val="27"/>
          <w:lang w:eastAsia="tr-TR"/>
        </w:rPr>
        <w:lastRenderedPageBreak/>
        <w:t xml:space="preserve">Menfaatler Hakkında Tebliğ (Sayı: 2006/1) yürürlüğe konulmuştur. </w:t>
      </w:r>
      <w:proofErr w:type="gramStart"/>
      <w:r w:rsidRPr="00F633E1">
        <w:rPr>
          <w:rFonts w:ascii="Times New Roman" w:eastAsia="Times New Roman" w:hAnsi="Times New Roman" w:cs="Times New Roman"/>
          <w:color w:val="000000"/>
          <w:sz w:val="24"/>
          <w:szCs w:val="27"/>
          <w:lang w:eastAsia="tr-TR"/>
        </w:rPr>
        <w:t>Bu Tebliğ’in</w:t>
      </w:r>
      <w:r w:rsidRPr="00F633E1">
        <w:rPr>
          <w:rFonts w:ascii="Times New Roman" w:eastAsia="Times New Roman" w:hAnsi="Times New Roman" w:cs="Times New Roman"/>
          <w:i/>
          <w:iCs/>
          <w:color w:val="000000"/>
          <w:sz w:val="24"/>
          <w:szCs w:val="27"/>
          <w:lang w:eastAsia="tr-TR"/>
        </w:rPr>
        <w:t> “Bildirme ve ilan” </w:t>
      </w:r>
      <w:r w:rsidRPr="00F633E1">
        <w:rPr>
          <w:rFonts w:ascii="Times New Roman" w:eastAsia="Times New Roman" w:hAnsi="Times New Roman" w:cs="Times New Roman"/>
          <w:color w:val="000000"/>
          <w:sz w:val="24"/>
          <w:szCs w:val="27"/>
          <w:lang w:eastAsia="tr-TR"/>
        </w:rPr>
        <w:t>başlıklı 6. maddesi şu şekildedir:</w:t>
      </w:r>
      <w:r w:rsidRPr="00F633E1">
        <w:rPr>
          <w:rFonts w:ascii="Times New Roman" w:eastAsia="Times New Roman" w:hAnsi="Times New Roman" w:cs="Times New Roman"/>
          <w:i/>
          <w:iCs/>
          <w:color w:val="000000"/>
          <w:sz w:val="24"/>
          <w:szCs w:val="27"/>
          <w:lang w:eastAsia="tr-TR"/>
        </w:rPr>
        <w:t xml:space="preserve"> “(1) Bankalarca serbestçe belirlenen mevduat ve kredi işlemlerinde uygulanacak azami faiz oranları ile katılma hesaplarında uygulanacak kâr ve zarara katılma azami oranları uygulamaya konulmadan önce Türkiye Cumhuriyet Merkez Bankası İdare Merkezince tespit edilecek esaslar çerçevesinde Türkiye Cumhuriyet Merkez Bankasına bildirilir. </w:t>
      </w:r>
      <w:proofErr w:type="gramEnd"/>
      <w:r w:rsidRPr="00F633E1">
        <w:rPr>
          <w:rFonts w:ascii="Times New Roman" w:eastAsia="Times New Roman" w:hAnsi="Times New Roman" w:cs="Times New Roman"/>
          <w:i/>
          <w:iCs/>
          <w:color w:val="000000"/>
          <w:sz w:val="24"/>
          <w:szCs w:val="27"/>
          <w:lang w:eastAsia="tr-TR"/>
        </w:rPr>
        <w:t>(2) Bankalar, Türkiye Cumhuriyet Merkez Bankasına bildirdikleri azami oranları aşmamak kaydıyla, mevduat ve kredi işlemlerinde uygulayacakları faiz oranlarını ve katılma hesaplarında uygulayacakları kâr ve zarara katılma oranlarını vadelerine göre tüm şubelerinde halkın görebileceği şekilde ilan eder ve bu oranları internet sitelerinde yayımlar.”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xml:space="preserve">14. Açıklanan mevzuat hükümleri uyarınca mevduata uygulanan en yüksek faiz oranının </w:t>
      </w:r>
      <w:proofErr w:type="spellStart"/>
      <w:r w:rsidRPr="00F633E1">
        <w:rPr>
          <w:rFonts w:ascii="Times New Roman" w:eastAsia="Times New Roman" w:hAnsi="Times New Roman" w:cs="Times New Roman"/>
          <w:color w:val="000000"/>
          <w:sz w:val="24"/>
          <w:szCs w:val="27"/>
          <w:lang w:eastAsia="tr-TR"/>
        </w:rPr>
        <w:t>tereddüte</w:t>
      </w:r>
      <w:proofErr w:type="spellEnd"/>
      <w:r w:rsidRPr="00F633E1">
        <w:rPr>
          <w:rFonts w:ascii="Times New Roman" w:eastAsia="Times New Roman" w:hAnsi="Times New Roman" w:cs="Times New Roman"/>
          <w:color w:val="000000"/>
          <w:sz w:val="24"/>
          <w:szCs w:val="27"/>
          <w:lang w:eastAsia="tr-TR"/>
        </w:rPr>
        <w:t xml:space="preserve"> mahal olmaksızın tespiti mümkün olduğundan bu hususta herhangi bir belirsizlik söz konusu değildir. Türkiye Cumhuriyet Merkez Bankası da bankalarca mevduata uygulanan azami faiz oranlarını sürekli güncellemeleri de içerecek şekilde ilan etmektedir. Dolayısıyla mevduata uygulanan en yüksek faiz oranının öngörülebilmesi de mümkündür.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xml:space="preserve">15. Öte yandan ücret borcunun kaynağı olan hizmet sözleşmesi esas itibarıyla </w:t>
      </w:r>
      <w:proofErr w:type="gramStart"/>
      <w:r w:rsidRPr="00F633E1">
        <w:rPr>
          <w:rFonts w:ascii="Times New Roman" w:eastAsia="Times New Roman" w:hAnsi="Times New Roman" w:cs="Times New Roman"/>
          <w:color w:val="000000"/>
          <w:sz w:val="24"/>
          <w:szCs w:val="27"/>
          <w:lang w:eastAsia="tr-TR"/>
        </w:rPr>
        <w:t>4/2/2011</w:t>
      </w:r>
      <w:proofErr w:type="gramEnd"/>
      <w:r w:rsidRPr="00F633E1">
        <w:rPr>
          <w:rFonts w:ascii="Times New Roman" w:eastAsia="Times New Roman" w:hAnsi="Times New Roman" w:cs="Times New Roman"/>
          <w:color w:val="000000"/>
          <w:sz w:val="24"/>
          <w:szCs w:val="27"/>
          <w:lang w:eastAsia="tr-TR"/>
        </w:rPr>
        <w:t xml:space="preserve"> tarihli ve 6098 sayılı Borçlar Kanunu’nda düzenlenmiştir. Bununla birlikte işçi ve işveren arasındaki hizmet sözleşmesinden doğan hukuki ilişkiyi düzenleyen kurallara 4857 sayılı Kanun’da da yer verilmiştir. Böylelikle hizmet sözleşmesinden doğan hukuki ilişki, sözleşme özgürlüğü prensibinin geçerli olduğu özel hukuk alanındaki diğer sözleşmelerden kaynaklanan hukuki ilişkilerden farklı bir hukuki rejime tabi kılınmıştır. İ</w:t>
      </w:r>
      <w:r w:rsidRPr="00F633E1">
        <w:rPr>
          <w:rFonts w:ascii="Times New Roman" w:eastAsia="Times New Roman" w:hAnsi="Times New Roman" w:cs="Times New Roman"/>
          <w:color w:val="060606"/>
          <w:sz w:val="24"/>
          <w:szCs w:val="27"/>
          <w:lang w:eastAsia="tr-TR"/>
        </w:rPr>
        <w:t>şçinin ekonomik açıdan da işverene bağımlı olması sebebiyle işçi ve işveren arasındaki hizmet sözleşmesinden doğan hukuki ilişkinin sözleşme özgürlüğü prensibine tabi olduğu ve eşitler arasında bir sözleşme ilişkisi olduğu söylenemez. Aynı eşitsizlik hizmet sözleşmesinin kuruluşu aşamasında da geçerli olduğundan bu sözleşmenin ifasına veya olası sözleşmeye aykırılık hâllerine ilişkin sözleşme şartlarının işçinin de gerçek iradesini yansıtır şekilde sözleşmede belirlenmeyebileceğini öngören kanun koyucu, işçiyi koruyan kurallar ile işçi ve işveren arasındaki ilişkiyi düzenlemektedir.</w:t>
      </w:r>
      <w:r w:rsidRPr="00F633E1">
        <w:rPr>
          <w:rFonts w:ascii="Times New Roman" w:eastAsia="Times New Roman" w:hAnsi="Times New Roman" w:cs="Times New Roman"/>
          <w:color w:val="000000"/>
          <w:sz w:val="24"/>
          <w:szCs w:val="27"/>
          <w:lang w:eastAsia="tr-TR"/>
        </w:rPr>
        <w:t> İtiraz konusu kural da işçi ve işveren arasındaki hizmet sözleşmesinden doğan ücret borcunun gününde ödenmemesi hâlinde </w:t>
      </w:r>
      <w:r w:rsidRPr="00F633E1">
        <w:rPr>
          <w:rFonts w:ascii="Times New Roman" w:eastAsia="Times New Roman" w:hAnsi="Times New Roman" w:cs="Times New Roman"/>
          <w:color w:val="060606"/>
          <w:sz w:val="24"/>
          <w:szCs w:val="27"/>
          <w:lang w:eastAsia="tr-TR"/>
        </w:rPr>
        <w:t>piyasa koşullarında mevduata uygulanan en yüksek faiz oranının uygulanmasını öngörmek suretiyle işçinin korunmasını, dolayısıyla kamu yararını amaçlamaktadır. Böylelikle gününde ödenmeyen ücret alacağının değişkenlik gösteren piyasa koşulları karşısında değerinin korunması hedeflenmektedir.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16. İtiraz konusu kural, </w:t>
      </w:r>
      <w:r w:rsidRPr="00F633E1">
        <w:rPr>
          <w:rFonts w:ascii="Times New Roman" w:eastAsia="Times New Roman" w:hAnsi="Times New Roman" w:cs="Times New Roman"/>
          <w:color w:val="060606"/>
          <w:sz w:val="24"/>
          <w:szCs w:val="27"/>
          <w:lang w:eastAsia="tr-TR"/>
        </w:rPr>
        <w:t>ücret alacağının değişkenlik gösteren piyasa koşulları karşısında değerinin korunması işleviyle </w:t>
      </w:r>
      <w:r w:rsidRPr="00F633E1">
        <w:rPr>
          <w:rFonts w:ascii="Times New Roman" w:eastAsia="Times New Roman" w:hAnsi="Times New Roman" w:cs="Times New Roman"/>
          <w:color w:val="000000"/>
          <w:sz w:val="24"/>
          <w:szCs w:val="27"/>
          <w:lang w:eastAsia="tr-TR"/>
        </w:rPr>
        <w:t>işverenin ücret borcunu geç ödememek suretiyle menfaat temin edebilmesi ihtimalini de bertaraf etmektedir. Böylece ücret alacaklarının gününde ödenmesi temin edilmeye çalışılmaktadır.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3E1">
        <w:rPr>
          <w:rFonts w:ascii="Times New Roman" w:eastAsia="Times New Roman" w:hAnsi="Times New Roman" w:cs="Times New Roman"/>
          <w:color w:val="000000"/>
          <w:sz w:val="24"/>
          <w:szCs w:val="27"/>
          <w:lang w:eastAsia="tr-TR"/>
        </w:rPr>
        <w:t>17. Değişen piyasa koşulları karşısında bir taraftan sözleşme ilişkisinde zayıf konumda olan işçinin ücret alacağının değerinin korunmasını diğer taraftan ise ücret borcunun vadesinde ifa edilmesini sağlamaya yönelik kuralın bahsi geçen düzenlenme amacına ulaşılması yönünden elverişli, gerekli ve  orantılı olmadığının söylenemeyeceği, dolayısıyla kamu yararı amacıyla öngörülen kuralın adalet ve hakkaniyeti ihlal eden bir yönünün bulunmadığı görülmektedir.</w:t>
      </w:r>
      <w:proofErr w:type="gramEnd"/>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xml:space="preserve">18. </w:t>
      </w:r>
      <w:proofErr w:type="gramStart"/>
      <w:r w:rsidRPr="00F633E1">
        <w:rPr>
          <w:rFonts w:ascii="Times New Roman" w:eastAsia="Times New Roman" w:hAnsi="Times New Roman" w:cs="Times New Roman"/>
          <w:color w:val="000000"/>
          <w:sz w:val="24"/>
          <w:szCs w:val="27"/>
          <w:lang w:eastAsia="tr-TR"/>
        </w:rPr>
        <w:t>4/12/1984</w:t>
      </w:r>
      <w:proofErr w:type="gramEnd"/>
      <w:r w:rsidRPr="00F633E1">
        <w:rPr>
          <w:rFonts w:ascii="Times New Roman" w:eastAsia="Times New Roman" w:hAnsi="Times New Roman" w:cs="Times New Roman"/>
          <w:color w:val="000000"/>
          <w:sz w:val="24"/>
          <w:szCs w:val="27"/>
          <w:lang w:eastAsia="tr-TR"/>
        </w:rPr>
        <w:t xml:space="preserve"> tarihli ve 3095 sayılı Kanuni Faiz ve Temerrüt Faizine İlişkin Kanun’da sabit bir faiz oranı belirlenmiş ancak belirli sınırlar dâhilinde bu oranda Cumhurbaşkanı tarafından değişiklik yapılabilmesine imkân tanınmıştır. Buna göre işçi alacakları yönünden mevduata uygulanan en yüksek faiz oranının uygulanacağını düzenleyen dava konusu kuralın 3095 sayılı Kanun’da belirtilen faiz oranı ile kıyaslandığında işçinin ücret alacaklarının </w:t>
      </w:r>
      <w:r w:rsidRPr="00F633E1">
        <w:rPr>
          <w:rFonts w:ascii="Times New Roman" w:eastAsia="Times New Roman" w:hAnsi="Times New Roman" w:cs="Times New Roman"/>
          <w:color w:val="000000"/>
          <w:sz w:val="24"/>
          <w:szCs w:val="27"/>
          <w:lang w:eastAsia="tr-TR"/>
        </w:rPr>
        <w:lastRenderedPageBreak/>
        <w:t>ödenmesi sürecinde değişen piyasa koşullarına daha çabuk uyum sağlanması imkânı verdiği kuşkusuzdur. Dolayısıyla dava konusu kuralda genel olarak işçi yönünden daha güvenceli bir koruma öngörüldüğünün kabulüyle düzenleme yapılması kanun koyucunun takdirinde olup bu yönüyle de kuralın adalet ve hakkaniyete ters düşen bir yönünün bulunduğu söylenemez. </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19. Açıklanan nedenlerle kural Anayasa’nın 2. maddesine aykırı değildir. İtirazın reddi gerekir.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shd w:val="clear" w:color="auto" w:fill="FFFFFF"/>
          <w:lang w:eastAsia="tr-TR"/>
        </w:rPr>
        <w:t>20. Kuralın Anayasa’nın 36. maddesiyle ilgisi görülmemiştir.</w:t>
      </w:r>
    </w:p>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b/>
          <w:bCs/>
          <w:color w:val="000000"/>
          <w:sz w:val="24"/>
          <w:szCs w:val="27"/>
          <w:lang w:eastAsia="tr-TR"/>
        </w:rPr>
        <w:t>IV. HÜKÜM</w:t>
      </w:r>
    </w:p>
    <w:p w:rsidR="00F633E1" w:rsidRP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3E1">
        <w:rPr>
          <w:rFonts w:ascii="Times New Roman" w:eastAsia="Times New Roman" w:hAnsi="Times New Roman" w:cs="Times New Roman"/>
          <w:color w:val="000000"/>
          <w:sz w:val="24"/>
          <w:szCs w:val="27"/>
          <w:lang w:eastAsia="tr-TR"/>
        </w:rPr>
        <w:t>22/5/2003</w:t>
      </w:r>
      <w:proofErr w:type="gramEnd"/>
      <w:r w:rsidRPr="00F633E1">
        <w:rPr>
          <w:rFonts w:ascii="Times New Roman" w:eastAsia="Times New Roman" w:hAnsi="Times New Roman" w:cs="Times New Roman"/>
          <w:color w:val="000000"/>
          <w:sz w:val="24"/>
          <w:szCs w:val="27"/>
          <w:lang w:eastAsia="tr-TR"/>
        </w:rPr>
        <w:t xml:space="preserve"> tarihli ve 4857 sayılı İş Kanunu’nun 34. maddesinin birinci fıkrasının üçüncü cümlesinde yer alan </w:t>
      </w:r>
      <w:r w:rsidRPr="00F633E1">
        <w:rPr>
          <w:rFonts w:ascii="Times New Roman" w:eastAsia="Times New Roman" w:hAnsi="Times New Roman" w:cs="Times New Roman"/>
          <w:i/>
          <w:iCs/>
          <w:color w:val="000000"/>
          <w:sz w:val="24"/>
          <w:szCs w:val="27"/>
          <w:lang w:eastAsia="tr-TR"/>
        </w:rPr>
        <w:t>“…mevduata uygulanan en yüksek…” </w:t>
      </w:r>
      <w:r w:rsidRPr="00F633E1">
        <w:rPr>
          <w:rFonts w:ascii="Times New Roman" w:eastAsia="Times New Roman" w:hAnsi="Times New Roman" w:cs="Times New Roman"/>
          <w:color w:val="000000"/>
          <w:sz w:val="24"/>
          <w:szCs w:val="27"/>
          <w:lang w:eastAsia="tr-TR"/>
        </w:rPr>
        <w:t>ibaresinin Anayasa’ya aykırı olmadığına ve itirazın REDDİNE, 11/7/2018 tarihinde OYBİRLİĞİYLE karar verildi.</w:t>
      </w:r>
    </w:p>
    <w:p w:rsidR="00F633E1" w:rsidRP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3E1" w:rsidRPr="00F633E1" w:rsidTr="00F633E1">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  Başkan</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Başkanvekili</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Serdar ÖZGÜLDÜR</w:t>
            </w:r>
          </w:p>
        </w:tc>
      </w:tr>
    </w:tbl>
    <w:p w:rsidR="00F633E1" w:rsidRDefault="00F633E1" w:rsidP="00F633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p w:rsidR="00F633E1" w:rsidRPr="00F633E1" w:rsidRDefault="00F633E1" w:rsidP="00F633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3E1" w:rsidRPr="00F633E1" w:rsidTr="00F633E1">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33E1">
              <w:rPr>
                <w:rFonts w:ascii="Times New Roman" w:eastAsia="Times New Roman" w:hAnsi="Times New Roman" w:cs="Times New Roman"/>
                <w:sz w:val="24"/>
                <w:szCs w:val="24"/>
                <w:lang w:eastAsia="tr-TR"/>
              </w:rPr>
              <w:t>Serruh</w:t>
            </w:r>
            <w:proofErr w:type="spellEnd"/>
            <w:r w:rsidRPr="00F633E1">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 xml:space="preserve"> Osman </w:t>
            </w:r>
            <w:proofErr w:type="spellStart"/>
            <w:r w:rsidRPr="00F633E1">
              <w:rPr>
                <w:rFonts w:ascii="Times New Roman" w:eastAsia="Times New Roman" w:hAnsi="Times New Roman" w:cs="Times New Roman"/>
                <w:sz w:val="24"/>
                <w:szCs w:val="24"/>
                <w:lang w:eastAsia="tr-TR"/>
              </w:rPr>
              <w:t>Alifeyyaz</w:t>
            </w:r>
            <w:proofErr w:type="spellEnd"/>
            <w:r w:rsidRPr="00F633E1">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 Recep KÖMÜRCÜ</w:t>
            </w:r>
          </w:p>
        </w:tc>
      </w:tr>
    </w:tbl>
    <w:p w:rsidR="00F633E1" w:rsidRDefault="00F633E1" w:rsidP="00F633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p w:rsidR="00F633E1" w:rsidRPr="00F633E1" w:rsidRDefault="00F633E1" w:rsidP="00F633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3E1" w:rsidRPr="00F633E1" w:rsidTr="00F633E1">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33E1">
              <w:rPr>
                <w:rFonts w:ascii="Times New Roman" w:eastAsia="Times New Roman" w:hAnsi="Times New Roman" w:cs="Times New Roman"/>
                <w:sz w:val="24"/>
                <w:szCs w:val="24"/>
                <w:lang w:eastAsia="tr-TR"/>
              </w:rPr>
              <w:t>Hicabi</w:t>
            </w:r>
            <w:proofErr w:type="spellEnd"/>
            <w:r w:rsidRPr="00F633E1">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Muammer TOPAL</w:t>
            </w:r>
          </w:p>
        </w:tc>
      </w:tr>
    </w:tbl>
    <w:p w:rsidR="00F633E1" w:rsidRDefault="00F633E1" w:rsidP="00F633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p w:rsidR="00F633E1" w:rsidRPr="00F633E1" w:rsidRDefault="00F633E1" w:rsidP="00F633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3E1" w:rsidRPr="00F633E1" w:rsidTr="00F633E1">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Kadir ÖZKAYA</w:t>
            </w:r>
          </w:p>
        </w:tc>
      </w:tr>
    </w:tbl>
    <w:p w:rsidR="00F633E1" w:rsidRDefault="00F633E1" w:rsidP="00F633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p w:rsidR="00F633E1" w:rsidRPr="00F633E1" w:rsidRDefault="00F633E1" w:rsidP="00F633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3E1" w:rsidRPr="00F633E1" w:rsidTr="00F633E1">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lastRenderedPageBreak/>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Üye</w:t>
            </w:r>
          </w:p>
          <w:p w:rsidR="00F633E1" w:rsidRPr="00F633E1" w:rsidRDefault="00F633E1" w:rsidP="00F63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3E1">
              <w:rPr>
                <w:rFonts w:ascii="Times New Roman" w:eastAsia="Times New Roman" w:hAnsi="Times New Roman" w:cs="Times New Roman"/>
                <w:sz w:val="24"/>
                <w:szCs w:val="24"/>
                <w:lang w:eastAsia="tr-TR"/>
              </w:rPr>
              <w:t>Yusuf Şevki HAKYEMEZ</w:t>
            </w:r>
          </w:p>
        </w:tc>
      </w:tr>
    </w:tbl>
    <w:p w:rsidR="00F633E1" w:rsidRDefault="00F633E1" w:rsidP="00F633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3E1">
        <w:rPr>
          <w:rFonts w:ascii="Times New Roman" w:eastAsia="Times New Roman" w:hAnsi="Times New Roman" w:cs="Times New Roman"/>
          <w:color w:val="000000"/>
          <w:sz w:val="24"/>
          <w:szCs w:val="27"/>
          <w:lang w:eastAsia="tr-TR"/>
        </w:rPr>
        <w:t> </w:t>
      </w:r>
    </w:p>
    <w:p w:rsidR="001D02E4" w:rsidRPr="00F633E1" w:rsidRDefault="001D02E4" w:rsidP="00F633E1">
      <w:pPr>
        <w:spacing w:before="100" w:beforeAutospacing="1" w:after="100" w:afterAutospacing="1" w:line="240" w:lineRule="auto"/>
        <w:ind w:firstLine="709"/>
        <w:jc w:val="both"/>
        <w:rPr>
          <w:rFonts w:ascii="Times New Roman" w:hAnsi="Times New Roman" w:cs="Times New Roman"/>
          <w:sz w:val="24"/>
        </w:rPr>
      </w:pPr>
    </w:p>
    <w:sectPr w:rsidR="001D02E4" w:rsidRPr="00F633E1" w:rsidSect="00F633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7A" w:rsidRDefault="0025397A" w:rsidP="00F633E1">
      <w:pPr>
        <w:spacing w:after="0" w:line="240" w:lineRule="auto"/>
      </w:pPr>
      <w:r>
        <w:separator/>
      </w:r>
    </w:p>
  </w:endnote>
  <w:endnote w:type="continuationSeparator" w:id="0">
    <w:p w:rsidR="0025397A" w:rsidRDefault="0025397A" w:rsidP="00F6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1" w:rsidRDefault="00F633E1" w:rsidP="006077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33E1" w:rsidRDefault="00F633E1" w:rsidP="00F633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1" w:rsidRPr="00F633E1" w:rsidRDefault="00F633E1" w:rsidP="00607790">
    <w:pPr>
      <w:pStyle w:val="Altbilgi"/>
      <w:framePr w:wrap="around" w:vAnchor="text" w:hAnchor="margin" w:xAlign="right" w:y="1"/>
      <w:rPr>
        <w:rStyle w:val="SayfaNumaras"/>
        <w:rFonts w:ascii="Times New Roman" w:hAnsi="Times New Roman" w:cs="Times New Roman"/>
      </w:rPr>
    </w:pPr>
    <w:r w:rsidRPr="00F633E1">
      <w:rPr>
        <w:rStyle w:val="SayfaNumaras"/>
        <w:rFonts w:ascii="Times New Roman" w:hAnsi="Times New Roman" w:cs="Times New Roman"/>
      </w:rPr>
      <w:fldChar w:fldCharType="begin"/>
    </w:r>
    <w:r w:rsidRPr="00F633E1">
      <w:rPr>
        <w:rStyle w:val="SayfaNumaras"/>
        <w:rFonts w:ascii="Times New Roman" w:hAnsi="Times New Roman" w:cs="Times New Roman"/>
      </w:rPr>
      <w:instrText xml:space="preserve">PAGE  </w:instrText>
    </w:r>
    <w:r w:rsidRPr="00F633E1">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633E1">
      <w:rPr>
        <w:rStyle w:val="SayfaNumaras"/>
        <w:rFonts w:ascii="Times New Roman" w:hAnsi="Times New Roman" w:cs="Times New Roman"/>
      </w:rPr>
      <w:fldChar w:fldCharType="end"/>
    </w:r>
  </w:p>
  <w:p w:rsidR="00F633E1" w:rsidRPr="00F633E1" w:rsidRDefault="00F633E1" w:rsidP="00F633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1" w:rsidRDefault="00F633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7A" w:rsidRDefault="0025397A" w:rsidP="00F633E1">
      <w:pPr>
        <w:spacing w:after="0" w:line="240" w:lineRule="auto"/>
      </w:pPr>
      <w:r>
        <w:separator/>
      </w:r>
    </w:p>
  </w:footnote>
  <w:footnote w:type="continuationSeparator" w:id="0">
    <w:p w:rsidR="0025397A" w:rsidRDefault="0025397A" w:rsidP="00F63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1" w:rsidRDefault="00F633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1" w:rsidRDefault="00F633E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/68</w:t>
    </w:r>
  </w:p>
  <w:p w:rsidR="00F633E1" w:rsidRDefault="00F633E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/87</w:t>
    </w:r>
  </w:p>
  <w:p w:rsidR="00F633E1" w:rsidRPr="00F633E1" w:rsidRDefault="00F633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1" w:rsidRDefault="00F633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B4"/>
    <w:rsid w:val="001D02E4"/>
    <w:rsid w:val="0025397A"/>
    <w:rsid w:val="00BD72B4"/>
    <w:rsid w:val="00F63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5032D-551E-425F-96B6-751A0493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633E1"/>
    <w:rPr>
      <w:color w:val="0000FF"/>
      <w:u w:val="single"/>
    </w:rPr>
  </w:style>
  <w:style w:type="paragraph" w:styleId="stbilgi">
    <w:name w:val="header"/>
    <w:basedOn w:val="Normal"/>
    <w:link w:val="stbilgiChar"/>
    <w:uiPriority w:val="99"/>
    <w:unhideWhenUsed/>
    <w:rsid w:val="00F633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33E1"/>
  </w:style>
  <w:style w:type="paragraph" w:styleId="Altbilgi">
    <w:name w:val="footer"/>
    <w:basedOn w:val="Normal"/>
    <w:link w:val="AltbilgiChar"/>
    <w:uiPriority w:val="99"/>
    <w:unhideWhenUsed/>
    <w:rsid w:val="00F633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33E1"/>
  </w:style>
  <w:style w:type="character" w:styleId="SayfaNumaras">
    <w:name w:val="page number"/>
    <w:basedOn w:val="VarsaylanParagrafYazTipi"/>
    <w:uiPriority w:val="99"/>
    <w:semiHidden/>
    <w:unhideWhenUsed/>
    <w:rsid w:val="00F6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2019-05-14T08:45:00Z</dcterms:created>
  <dcterms:modified xsi:type="dcterms:W3CDTF">2019-05-14T08:46:00Z</dcterms:modified>
</cp:coreProperties>
</file>