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30"/>
          <w:lang w:eastAsia="tr-TR"/>
        </w:rPr>
      </w:pPr>
      <w:r w:rsidRPr="006766B0">
        <w:rPr>
          <w:rFonts w:ascii="Times New Roman" w:eastAsia="Times New Roman" w:hAnsi="Times New Roman" w:cs="Times New Roman"/>
          <w:b/>
          <w:bCs/>
          <w:color w:val="000000"/>
          <w:sz w:val="24"/>
          <w:szCs w:val="30"/>
          <w:lang w:eastAsia="tr-TR"/>
        </w:rPr>
        <w:t>ANAYASA MAHKEMESİ KARARI</w:t>
      </w:r>
    </w:p>
    <w:p w:rsidR="006766B0" w:rsidRP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p w:rsidR="006766B0" w:rsidRPr="006766B0" w:rsidRDefault="006766B0" w:rsidP="006766B0">
      <w:pPr>
        <w:shd w:val="clear" w:color="auto" w:fill="FFFFFF"/>
        <w:spacing w:after="0" w:line="240" w:lineRule="auto"/>
        <w:jc w:val="both"/>
        <w:rPr>
          <w:rFonts w:ascii="Times New Roman" w:eastAsia="Times New Roman" w:hAnsi="Times New Roman" w:cs="Times New Roman"/>
          <w:b/>
          <w:color w:val="000000"/>
          <w:sz w:val="24"/>
          <w:lang w:eastAsia="tr-TR"/>
        </w:rPr>
      </w:pPr>
      <w:r w:rsidRPr="006766B0">
        <w:rPr>
          <w:rFonts w:ascii="Times New Roman" w:eastAsia="Times New Roman" w:hAnsi="Times New Roman" w:cs="Times New Roman"/>
          <w:b/>
          <w:color w:val="000000"/>
          <w:sz w:val="24"/>
          <w:lang w:eastAsia="tr-TR"/>
        </w:rPr>
        <w:t xml:space="preserve">Esas </w:t>
      </w:r>
      <w:proofErr w:type="gramStart"/>
      <w:r w:rsidRPr="006766B0">
        <w:rPr>
          <w:rFonts w:ascii="Times New Roman" w:eastAsia="Times New Roman" w:hAnsi="Times New Roman" w:cs="Times New Roman"/>
          <w:b/>
          <w:color w:val="000000"/>
          <w:sz w:val="24"/>
          <w:lang w:eastAsia="tr-TR"/>
        </w:rPr>
        <w:t>Sayısı       :  2016</w:t>
      </w:r>
      <w:proofErr w:type="gramEnd"/>
      <w:r w:rsidRPr="006766B0">
        <w:rPr>
          <w:rFonts w:ascii="Times New Roman" w:eastAsia="Times New Roman" w:hAnsi="Times New Roman" w:cs="Times New Roman"/>
          <w:b/>
          <w:color w:val="000000"/>
          <w:sz w:val="24"/>
          <w:lang w:eastAsia="tr-TR"/>
        </w:rPr>
        <w:t>/9</w:t>
      </w:r>
    </w:p>
    <w:p w:rsidR="006766B0" w:rsidRPr="006766B0" w:rsidRDefault="006766B0" w:rsidP="006766B0">
      <w:pPr>
        <w:shd w:val="clear" w:color="auto" w:fill="FFFFFF"/>
        <w:spacing w:after="0" w:line="240" w:lineRule="auto"/>
        <w:jc w:val="both"/>
        <w:rPr>
          <w:rFonts w:ascii="Times New Roman" w:eastAsia="Times New Roman" w:hAnsi="Times New Roman" w:cs="Times New Roman"/>
          <w:b/>
          <w:color w:val="000000"/>
          <w:sz w:val="24"/>
          <w:lang w:eastAsia="tr-TR"/>
        </w:rPr>
      </w:pPr>
      <w:r w:rsidRPr="006766B0">
        <w:rPr>
          <w:rFonts w:ascii="Times New Roman" w:eastAsia="Times New Roman" w:hAnsi="Times New Roman" w:cs="Times New Roman"/>
          <w:b/>
          <w:color w:val="000000"/>
          <w:sz w:val="24"/>
          <w:lang w:eastAsia="tr-TR"/>
        </w:rPr>
        <w:t xml:space="preserve">Karar </w:t>
      </w:r>
      <w:proofErr w:type="gramStart"/>
      <w:r w:rsidRPr="006766B0">
        <w:rPr>
          <w:rFonts w:ascii="Times New Roman" w:eastAsia="Times New Roman" w:hAnsi="Times New Roman" w:cs="Times New Roman"/>
          <w:b/>
          <w:color w:val="000000"/>
          <w:sz w:val="24"/>
          <w:lang w:eastAsia="tr-TR"/>
        </w:rPr>
        <w:t>Sayısı    :  2016</w:t>
      </w:r>
      <w:proofErr w:type="gramEnd"/>
      <w:r w:rsidRPr="006766B0">
        <w:rPr>
          <w:rFonts w:ascii="Times New Roman" w:eastAsia="Times New Roman" w:hAnsi="Times New Roman" w:cs="Times New Roman"/>
          <w:b/>
          <w:color w:val="000000"/>
          <w:sz w:val="24"/>
          <w:lang w:eastAsia="tr-TR"/>
        </w:rPr>
        <w:t>/125</w:t>
      </w:r>
    </w:p>
    <w:p w:rsidR="006766B0" w:rsidRPr="006766B0" w:rsidRDefault="006766B0" w:rsidP="006766B0">
      <w:pPr>
        <w:shd w:val="clear" w:color="auto" w:fill="FFFFFF"/>
        <w:spacing w:after="0" w:line="240" w:lineRule="auto"/>
        <w:jc w:val="both"/>
        <w:rPr>
          <w:rFonts w:ascii="Times New Roman" w:eastAsia="Times New Roman" w:hAnsi="Times New Roman" w:cs="Times New Roman"/>
          <w:b/>
          <w:color w:val="000000"/>
          <w:sz w:val="24"/>
          <w:lang w:eastAsia="tr-TR"/>
        </w:rPr>
      </w:pPr>
      <w:r w:rsidRPr="006766B0">
        <w:rPr>
          <w:rFonts w:ascii="Times New Roman" w:eastAsia="Times New Roman" w:hAnsi="Times New Roman" w:cs="Times New Roman"/>
          <w:b/>
          <w:color w:val="000000"/>
          <w:sz w:val="24"/>
          <w:lang w:eastAsia="tr-TR"/>
        </w:rPr>
        <w:t xml:space="preserve">Karar </w:t>
      </w:r>
      <w:proofErr w:type="gramStart"/>
      <w:r w:rsidRPr="006766B0">
        <w:rPr>
          <w:rFonts w:ascii="Times New Roman" w:eastAsia="Times New Roman" w:hAnsi="Times New Roman" w:cs="Times New Roman"/>
          <w:b/>
          <w:color w:val="000000"/>
          <w:sz w:val="24"/>
          <w:lang w:eastAsia="tr-TR"/>
        </w:rPr>
        <w:t>Tarihi   :  22</w:t>
      </w:r>
      <w:proofErr w:type="gramEnd"/>
      <w:r w:rsidRPr="006766B0">
        <w:rPr>
          <w:rFonts w:ascii="Times New Roman" w:eastAsia="Times New Roman" w:hAnsi="Times New Roman" w:cs="Times New Roman"/>
          <w:b/>
          <w:color w:val="000000"/>
          <w:sz w:val="24"/>
          <w:lang w:eastAsia="tr-TR"/>
        </w:rPr>
        <w:t>.6.2016</w:t>
      </w:r>
    </w:p>
    <w:p w:rsidR="006766B0" w:rsidRDefault="006766B0" w:rsidP="006766B0">
      <w:pPr>
        <w:shd w:val="clear" w:color="auto" w:fill="FFFFFF"/>
        <w:spacing w:after="0" w:line="240" w:lineRule="auto"/>
        <w:jc w:val="both"/>
        <w:rPr>
          <w:rFonts w:ascii="Times New Roman" w:eastAsia="Times New Roman" w:hAnsi="Times New Roman" w:cs="Times New Roman"/>
          <w:b/>
          <w:color w:val="000000"/>
          <w:sz w:val="24"/>
          <w:lang w:eastAsia="tr-TR"/>
        </w:rPr>
      </w:pPr>
      <w:r w:rsidRPr="006766B0">
        <w:rPr>
          <w:rFonts w:ascii="Times New Roman" w:eastAsia="Times New Roman" w:hAnsi="Times New Roman" w:cs="Times New Roman"/>
          <w:b/>
          <w:color w:val="000000"/>
          <w:sz w:val="24"/>
          <w:lang w:eastAsia="tr-TR"/>
        </w:rPr>
        <w:t>R.G. Tarih-</w:t>
      </w:r>
      <w:proofErr w:type="gramStart"/>
      <w:r w:rsidRPr="006766B0">
        <w:rPr>
          <w:rFonts w:ascii="Times New Roman" w:eastAsia="Times New Roman" w:hAnsi="Times New Roman" w:cs="Times New Roman"/>
          <w:b/>
          <w:color w:val="000000"/>
          <w:sz w:val="24"/>
          <w:lang w:eastAsia="tr-TR"/>
        </w:rPr>
        <w:t>Sayısı   :  28</w:t>
      </w:r>
      <w:proofErr w:type="gramEnd"/>
      <w:r w:rsidRPr="006766B0">
        <w:rPr>
          <w:rFonts w:ascii="Times New Roman" w:eastAsia="Times New Roman" w:hAnsi="Times New Roman" w:cs="Times New Roman"/>
          <w:b/>
          <w:color w:val="000000"/>
          <w:sz w:val="24"/>
          <w:lang w:eastAsia="tr-TR"/>
        </w:rPr>
        <w:t>.07.2016-29784</w:t>
      </w:r>
      <w:r w:rsidRPr="006766B0">
        <w:rPr>
          <w:rFonts w:ascii="Times New Roman" w:eastAsia="Times New Roman" w:hAnsi="Times New Roman" w:cs="Times New Roman"/>
          <w:b/>
          <w:color w:val="000000"/>
          <w:sz w:val="24"/>
          <w:lang w:eastAsia="tr-TR"/>
        </w:rPr>
        <w:t> </w:t>
      </w:r>
    </w:p>
    <w:p w:rsidR="006766B0" w:rsidRDefault="006766B0" w:rsidP="006766B0">
      <w:pPr>
        <w:shd w:val="clear" w:color="auto" w:fill="FFFFFF"/>
        <w:spacing w:after="0" w:line="240" w:lineRule="auto"/>
        <w:jc w:val="both"/>
        <w:rPr>
          <w:rFonts w:ascii="Times New Roman" w:eastAsia="Times New Roman" w:hAnsi="Times New Roman" w:cs="Times New Roman"/>
          <w:b/>
          <w:bCs/>
          <w:color w:val="000000"/>
          <w:sz w:val="24"/>
          <w:lang w:eastAsia="tr-TR"/>
        </w:rPr>
      </w:pP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İTİRAZ YOLUNA BAŞVURAN: </w:t>
      </w:r>
      <w:r w:rsidRPr="006766B0">
        <w:rPr>
          <w:rFonts w:ascii="Times New Roman" w:eastAsia="Times New Roman" w:hAnsi="Times New Roman" w:cs="Times New Roman"/>
          <w:color w:val="000000"/>
          <w:sz w:val="24"/>
          <w:szCs w:val="19"/>
          <w:lang w:eastAsia="tr-TR"/>
        </w:rPr>
        <w:t>Büyükçekmece 2. Asliye Hukuk Mahkemesi</w:t>
      </w:r>
    </w:p>
    <w:p w:rsidR="006766B0" w:rsidRP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İTİRAZIN KONUSU:</w:t>
      </w:r>
      <w:r w:rsidRPr="006766B0">
        <w:rPr>
          <w:rFonts w:ascii="Times New Roman" w:eastAsia="Times New Roman" w:hAnsi="Times New Roman" w:cs="Times New Roman"/>
          <w:b/>
          <w:bCs/>
          <w:color w:val="000000"/>
          <w:sz w:val="24"/>
          <w:szCs w:val="19"/>
          <w:lang w:eastAsia="tr-TR"/>
        </w:rPr>
        <w:t> </w:t>
      </w:r>
      <w:r w:rsidRPr="006766B0">
        <w:rPr>
          <w:rFonts w:ascii="Times New Roman" w:eastAsia="Times New Roman" w:hAnsi="Times New Roman" w:cs="Times New Roman"/>
          <w:color w:val="000000"/>
          <w:sz w:val="24"/>
          <w:szCs w:val="19"/>
          <w:lang w:eastAsia="tr-TR"/>
        </w:rPr>
        <w:t>12.1.2011 tarihli ve 6100 sayılı Hukuk Muhakemeleri Kanunu’nun;        </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szCs w:val="19"/>
          <w:lang w:eastAsia="tr-TR"/>
        </w:rPr>
        <w:t>1-</w:t>
      </w:r>
      <w:r w:rsidRPr="006766B0">
        <w:rPr>
          <w:rFonts w:ascii="Times New Roman" w:eastAsia="Times New Roman" w:hAnsi="Times New Roman" w:cs="Times New Roman"/>
          <w:color w:val="000000"/>
          <w:sz w:val="24"/>
          <w:szCs w:val="19"/>
          <w:lang w:eastAsia="tr-TR"/>
        </w:rPr>
        <w:t> 166. maddesinin (1) numaralı fıkrasının ikinci cümlesinde yer alan </w:t>
      </w:r>
      <w:r w:rsidRPr="006766B0">
        <w:rPr>
          <w:rFonts w:ascii="Times New Roman" w:eastAsia="Times New Roman" w:hAnsi="Times New Roman" w:cs="Times New Roman"/>
          <w:i/>
          <w:iCs/>
          <w:color w:val="000000"/>
          <w:sz w:val="24"/>
          <w:szCs w:val="19"/>
          <w:lang w:eastAsia="tr-TR"/>
        </w:rPr>
        <w:t>“…bu karar, diğer mahkemeyi bağlar.”</w:t>
      </w:r>
      <w:r w:rsidRPr="006766B0">
        <w:rPr>
          <w:rFonts w:ascii="Times New Roman" w:eastAsia="Times New Roman" w:hAnsi="Times New Roman" w:cs="Times New Roman"/>
          <w:color w:val="000000"/>
          <w:sz w:val="24"/>
          <w:szCs w:val="19"/>
          <w:lang w:eastAsia="tr-TR"/>
        </w:rPr>
        <w:t> ibaresinin,</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szCs w:val="19"/>
          <w:lang w:eastAsia="tr-TR"/>
        </w:rPr>
        <w:t>2-</w:t>
      </w:r>
      <w:r w:rsidRPr="006766B0">
        <w:rPr>
          <w:rFonts w:ascii="Times New Roman" w:eastAsia="Times New Roman" w:hAnsi="Times New Roman" w:cs="Times New Roman"/>
          <w:color w:val="000000"/>
          <w:sz w:val="24"/>
          <w:szCs w:val="19"/>
          <w:lang w:eastAsia="tr-TR"/>
        </w:rPr>
        <w:t> 167. maddesinin (1) numaralı fıkrasının;</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66B0">
        <w:rPr>
          <w:rFonts w:ascii="Times New Roman" w:eastAsia="Times New Roman" w:hAnsi="Times New Roman" w:cs="Times New Roman"/>
          <w:b/>
          <w:bCs/>
          <w:color w:val="000000"/>
          <w:sz w:val="24"/>
          <w:szCs w:val="19"/>
          <w:lang w:eastAsia="tr-TR"/>
        </w:rPr>
        <w:t>a</w:t>
      </w:r>
      <w:proofErr w:type="gramEnd"/>
      <w:r w:rsidRPr="006766B0">
        <w:rPr>
          <w:rFonts w:ascii="Times New Roman" w:eastAsia="Times New Roman" w:hAnsi="Times New Roman" w:cs="Times New Roman"/>
          <w:b/>
          <w:bCs/>
          <w:color w:val="000000"/>
          <w:sz w:val="24"/>
          <w:szCs w:val="19"/>
          <w:lang w:eastAsia="tr-TR"/>
        </w:rPr>
        <w:t>-</w:t>
      </w:r>
      <w:r w:rsidRPr="006766B0">
        <w:rPr>
          <w:rFonts w:ascii="Times New Roman" w:eastAsia="Times New Roman" w:hAnsi="Times New Roman" w:cs="Times New Roman"/>
          <w:color w:val="000000"/>
          <w:sz w:val="24"/>
          <w:szCs w:val="19"/>
          <w:lang w:eastAsia="tr-TR"/>
        </w:rPr>
        <w:t> Birinci cümlesinde yer alan </w:t>
      </w:r>
      <w:r w:rsidRPr="006766B0">
        <w:rPr>
          <w:rFonts w:ascii="Times New Roman" w:eastAsia="Times New Roman" w:hAnsi="Times New Roman" w:cs="Times New Roman"/>
          <w:i/>
          <w:iCs/>
          <w:color w:val="000000"/>
          <w:sz w:val="24"/>
          <w:szCs w:val="19"/>
          <w:lang w:eastAsia="tr-TR"/>
        </w:rPr>
        <w:t>“...sonradan birleştirilmiş davaların…”</w:t>
      </w:r>
      <w:r w:rsidRPr="006766B0">
        <w:rPr>
          <w:rFonts w:ascii="Times New Roman" w:eastAsia="Times New Roman" w:hAnsi="Times New Roman" w:cs="Times New Roman"/>
          <w:color w:val="000000"/>
          <w:sz w:val="24"/>
          <w:szCs w:val="19"/>
          <w:lang w:eastAsia="tr-TR"/>
        </w:rPr>
        <w:t> ibaresinin,</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66B0">
        <w:rPr>
          <w:rFonts w:ascii="Times New Roman" w:eastAsia="Times New Roman" w:hAnsi="Times New Roman" w:cs="Times New Roman"/>
          <w:b/>
          <w:bCs/>
          <w:color w:val="000000"/>
          <w:sz w:val="24"/>
          <w:szCs w:val="19"/>
          <w:lang w:eastAsia="tr-TR"/>
        </w:rPr>
        <w:t>b</w:t>
      </w:r>
      <w:proofErr w:type="gramEnd"/>
      <w:r w:rsidRPr="006766B0">
        <w:rPr>
          <w:rFonts w:ascii="Times New Roman" w:eastAsia="Times New Roman" w:hAnsi="Times New Roman" w:cs="Times New Roman"/>
          <w:b/>
          <w:bCs/>
          <w:color w:val="000000"/>
          <w:sz w:val="24"/>
          <w:szCs w:val="19"/>
          <w:lang w:eastAsia="tr-TR"/>
        </w:rPr>
        <w:t>-</w:t>
      </w:r>
      <w:r w:rsidRPr="006766B0">
        <w:rPr>
          <w:rFonts w:ascii="Times New Roman" w:eastAsia="Times New Roman" w:hAnsi="Times New Roman" w:cs="Times New Roman"/>
          <w:color w:val="000000"/>
          <w:sz w:val="24"/>
          <w:szCs w:val="19"/>
          <w:lang w:eastAsia="tr-TR"/>
        </w:rPr>
        <w:t> İkinci cümlesinin,</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Anayasa’nın 36</w:t>
      </w:r>
      <w:proofErr w:type="gramStart"/>
      <w:r w:rsidRPr="006766B0">
        <w:rPr>
          <w:rFonts w:ascii="Times New Roman" w:eastAsia="Times New Roman" w:hAnsi="Times New Roman" w:cs="Times New Roman"/>
          <w:color w:val="000000"/>
          <w:sz w:val="24"/>
          <w:szCs w:val="19"/>
          <w:lang w:eastAsia="tr-TR"/>
        </w:rPr>
        <w:t>.,</w:t>
      </w:r>
      <w:proofErr w:type="gramEnd"/>
      <w:r w:rsidRPr="006766B0">
        <w:rPr>
          <w:rFonts w:ascii="Times New Roman" w:eastAsia="Times New Roman" w:hAnsi="Times New Roman" w:cs="Times New Roman"/>
          <w:color w:val="000000"/>
          <w:sz w:val="24"/>
          <w:szCs w:val="19"/>
          <w:lang w:eastAsia="tr-TR"/>
        </w:rPr>
        <w:t xml:space="preserve"> 37. ve 141. maddelerine aykırılığı ileri sürülerek iptallerine karar verilmesi talebidir.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OLAY:</w:t>
      </w:r>
      <w:r w:rsidRPr="006766B0">
        <w:rPr>
          <w:rFonts w:ascii="Times New Roman" w:eastAsia="Times New Roman" w:hAnsi="Times New Roman" w:cs="Times New Roman"/>
          <w:b/>
          <w:bCs/>
          <w:color w:val="000000"/>
          <w:sz w:val="24"/>
          <w:szCs w:val="19"/>
          <w:lang w:eastAsia="tr-TR"/>
        </w:rPr>
        <w:t> </w:t>
      </w:r>
      <w:r w:rsidRPr="006766B0">
        <w:rPr>
          <w:rFonts w:ascii="Times New Roman" w:eastAsia="Times New Roman" w:hAnsi="Times New Roman" w:cs="Times New Roman"/>
          <w:color w:val="000000"/>
          <w:sz w:val="24"/>
          <w:szCs w:val="19"/>
          <w:lang w:eastAsia="tr-TR"/>
        </w:rPr>
        <w:t>Davacı tarafından manevi tazminat talebiyle açılan davada, itiraz konusu kuralların Anayasa’ya aykırı olduğu kanısına varan Mahkeme, iptalleri için başvurmuştur.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I- İPTALİ İSTENİLEN KANUN HÜKÜMLERİ</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Kanun’un, itiraz konusu kuralların da yer aldığı 166. ve 167. maddeleri</w:t>
      </w:r>
      <w:r w:rsidRPr="006766B0">
        <w:rPr>
          <w:rFonts w:ascii="Times New Roman" w:eastAsia="Times New Roman" w:hAnsi="Times New Roman" w:cs="Times New Roman"/>
          <w:b/>
          <w:bCs/>
          <w:color w:val="000000"/>
          <w:sz w:val="24"/>
          <w:szCs w:val="19"/>
          <w:lang w:eastAsia="tr-TR"/>
        </w:rPr>
        <w:t> </w:t>
      </w:r>
      <w:r w:rsidRPr="006766B0">
        <w:rPr>
          <w:rFonts w:ascii="Times New Roman" w:eastAsia="Times New Roman" w:hAnsi="Times New Roman" w:cs="Times New Roman"/>
          <w:color w:val="000000"/>
          <w:sz w:val="24"/>
          <w:szCs w:val="19"/>
          <w:lang w:eastAsia="tr-TR"/>
        </w:rPr>
        <w:t>şöyledir: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i/>
          <w:iCs/>
          <w:color w:val="000000"/>
          <w:sz w:val="24"/>
          <w:lang w:eastAsia="tr-TR"/>
        </w:rPr>
        <w:t>“Davaların birleştirilmesi</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i/>
          <w:iCs/>
          <w:color w:val="000000"/>
          <w:sz w:val="24"/>
          <w:lang w:eastAsia="tr-TR"/>
        </w:rPr>
        <w:t>MADDE 166-</w:t>
      </w:r>
      <w:r w:rsidRPr="006766B0">
        <w:rPr>
          <w:rFonts w:ascii="Times New Roman" w:eastAsia="Times New Roman" w:hAnsi="Times New Roman" w:cs="Times New Roman"/>
          <w:b/>
          <w:bCs/>
          <w:i/>
          <w:iCs/>
          <w:color w:val="000000"/>
          <w:sz w:val="24"/>
          <w:szCs w:val="19"/>
          <w:lang w:eastAsia="tr-TR"/>
        </w:rPr>
        <w:t> </w:t>
      </w:r>
      <w:r w:rsidRPr="006766B0">
        <w:rPr>
          <w:rFonts w:ascii="Times New Roman" w:eastAsia="Times New Roman" w:hAnsi="Times New Roman" w:cs="Times New Roman"/>
          <w:i/>
          <w:iCs/>
          <w:color w:val="000000"/>
          <w:sz w:val="24"/>
          <w:szCs w:val="19"/>
          <w:lang w:eastAsia="tr-TR"/>
        </w:rPr>
        <w:t>(1) Aynı yargı çevresinde yer alan aynı düzey ve sıfattaki hukuk mahkemelerinde açılmış davalar, aralarında bağlantı bulunması durumunda, davanın her aşamasında, talep üzerine veya kendiliğinden ilk davanın açıldığı mahkemede birleştirilebilir. Birleştirme kararı, ikinci</w:t>
      </w:r>
      <w:r w:rsidRPr="006766B0">
        <w:rPr>
          <w:rFonts w:ascii="Times New Roman" w:eastAsia="Times New Roman" w:hAnsi="Times New Roman" w:cs="Times New Roman"/>
          <w:b/>
          <w:bCs/>
          <w:i/>
          <w:iCs/>
          <w:color w:val="000000"/>
          <w:sz w:val="24"/>
          <w:szCs w:val="19"/>
          <w:lang w:eastAsia="tr-TR"/>
        </w:rPr>
        <w:t> </w:t>
      </w:r>
      <w:r w:rsidRPr="006766B0">
        <w:rPr>
          <w:rFonts w:ascii="Times New Roman" w:eastAsia="Times New Roman" w:hAnsi="Times New Roman" w:cs="Times New Roman"/>
          <w:i/>
          <w:iCs/>
          <w:color w:val="000000"/>
          <w:sz w:val="24"/>
          <w:szCs w:val="19"/>
          <w:lang w:eastAsia="tr-TR"/>
        </w:rPr>
        <w:t>davanın açıldığı mahkemece verilir ve </w:t>
      </w:r>
      <w:r w:rsidRPr="006766B0">
        <w:rPr>
          <w:rFonts w:ascii="Times New Roman" w:eastAsia="Times New Roman" w:hAnsi="Times New Roman" w:cs="Times New Roman"/>
          <w:b/>
          <w:bCs/>
          <w:i/>
          <w:iCs/>
          <w:color w:val="000000"/>
          <w:sz w:val="24"/>
          <w:szCs w:val="19"/>
          <w:lang w:eastAsia="tr-TR"/>
        </w:rPr>
        <w:t>bu karar, diğer mahkemeyi bağlar.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i/>
          <w:iCs/>
          <w:color w:val="000000"/>
          <w:sz w:val="24"/>
          <w:szCs w:val="19"/>
          <w:lang w:eastAsia="tr-TR"/>
        </w:rPr>
        <w:t>(2) Davalar, ayrı yargı çevrelerinde yer alan aynı düzey ve sıfattaki hukuk mahkemelerinde açılmış ise bağlantı sebebiyle birleştirme ikinci davanın açıldığı mahkemeden talep edilebilir. Birinci davanın açıldığı mahkeme, talebin kabulü ile davaların birleştirilmesine ilişkin kararın kesinleşmesinden itibaren, bununla bağlıdır.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i/>
          <w:iCs/>
          <w:color w:val="000000"/>
          <w:sz w:val="24"/>
          <w:szCs w:val="19"/>
          <w:lang w:eastAsia="tr-TR"/>
        </w:rPr>
        <w:t>(3) Birleştirme kararı, derhâl ilk davanın açıldığı mahkemeye bildirilir.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i/>
          <w:iCs/>
          <w:color w:val="000000"/>
          <w:sz w:val="24"/>
          <w:szCs w:val="19"/>
          <w:lang w:eastAsia="tr-TR"/>
        </w:rPr>
        <w:lastRenderedPageBreak/>
        <w:t>(4) Davaların aynı veya birbirine benzer sebeplerden doğması ya da biri hakkında verilecek hükmün diğerini etkileyecek nitelikte bulunması durumunda, bağlantı var sayılır.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i/>
          <w:iCs/>
          <w:color w:val="000000"/>
          <w:sz w:val="24"/>
          <w:szCs w:val="19"/>
          <w:lang w:eastAsia="tr-TR"/>
        </w:rPr>
        <w:t>(5) İstinaf incelemesi ayrı dairelerde yapılması gereken davaların da bu madde hükmüne göre birleştirilmesine karar verilebilir. Bu hâlde istinaf incelemesi, birleştirilen davalarda uyuşmazlığı doğuran asıl hukuki ilişkiye ait kararı inceleyen bölge adliye mahkemesi dairesinde yapılır.”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i/>
          <w:iCs/>
          <w:color w:val="000000"/>
          <w:sz w:val="24"/>
          <w:lang w:eastAsia="tr-TR"/>
        </w:rPr>
        <w:t>“Davaların ayrılması</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i/>
          <w:iCs/>
          <w:color w:val="000000"/>
          <w:sz w:val="24"/>
          <w:lang w:eastAsia="tr-TR"/>
        </w:rPr>
        <w:t>MADDE 167-</w:t>
      </w:r>
      <w:r w:rsidRPr="006766B0">
        <w:rPr>
          <w:rFonts w:ascii="Times New Roman" w:eastAsia="Times New Roman" w:hAnsi="Times New Roman" w:cs="Times New Roman"/>
          <w:i/>
          <w:iCs/>
          <w:color w:val="000000"/>
          <w:sz w:val="24"/>
          <w:szCs w:val="19"/>
          <w:lang w:eastAsia="tr-TR"/>
        </w:rPr>
        <w:t> (1) Mahkeme, yargılamanın iyi bir şekilde yürütülmesini sağlamak için, birlikte açılmış veya </w:t>
      </w:r>
      <w:r w:rsidRPr="006766B0">
        <w:rPr>
          <w:rFonts w:ascii="Times New Roman" w:eastAsia="Times New Roman" w:hAnsi="Times New Roman" w:cs="Times New Roman"/>
          <w:b/>
          <w:bCs/>
          <w:i/>
          <w:iCs/>
          <w:color w:val="000000"/>
          <w:sz w:val="24"/>
          <w:szCs w:val="19"/>
          <w:lang w:eastAsia="tr-TR"/>
        </w:rPr>
        <w:t>sonradan birleştirilmiş davaların</w:t>
      </w:r>
      <w:r w:rsidRPr="006766B0">
        <w:rPr>
          <w:rFonts w:ascii="Times New Roman" w:eastAsia="Times New Roman" w:hAnsi="Times New Roman" w:cs="Times New Roman"/>
          <w:i/>
          <w:iCs/>
          <w:color w:val="000000"/>
          <w:sz w:val="24"/>
          <w:szCs w:val="19"/>
          <w:lang w:eastAsia="tr-TR"/>
        </w:rPr>
        <w:t> ayrılmasına, davanın her aşamasında, talep üzerine veya kendiliğinden karar verebilir. </w:t>
      </w:r>
      <w:r w:rsidRPr="006766B0">
        <w:rPr>
          <w:rFonts w:ascii="Times New Roman" w:eastAsia="Times New Roman" w:hAnsi="Times New Roman" w:cs="Times New Roman"/>
          <w:b/>
          <w:bCs/>
          <w:i/>
          <w:iCs/>
          <w:color w:val="000000"/>
          <w:sz w:val="24"/>
          <w:szCs w:val="19"/>
          <w:lang w:eastAsia="tr-TR"/>
        </w:rPr>
        <w:t>Bu durumda mahkeme, ayrılmasına karar verilen davalara bakmaya devam eder.</w:t>
      </w:r>
      <w:r w:rsidRPr="006766B0">
        <w:rPr>
          <w:rFonts w:ascii="Times New Roman" w:eastAsia="Times New Roman" w:hAnsi="Times New Roman" w:cs="Times New Roman"/>
          <w:i/>
          <w:iCs/>
          <w:color w:val="000000"/>
          <w:sz w:val="24"/>
          <w:szCs w:val="19"/>
          <w:lang w:eastAsia="tr-TR"/>
        </w:rPr>
        <w:t>”</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II- İLK İNCELEME</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66B0">
        <w:rPr>
          <w:rFonts w:ascii="Times New Roman" w:eastAsia="Times New Roman" w:hAnsi="Times New Roman" w:cs="Times New Roman"/>
          <w:color w:val="000000"/>
          <w:sz w:val="24"/>
          <w:szCs w:val="19"/>
          <w:lang w:eastAsia="tr-TR"/>
        </w:rPr>
        <w:t xml:space="preserve">1. Anayasa Mahkemesi İçtüzüğü hükümleri uyarınca, Zühtü ARSLAN, Burhan ÜSTÜN, Engin YILDIRIM, Serdar ÖZGÜLDÜR, </w:t>
      </w:r>
      <w:proofErr w:type="spellStart"/>
      <w:r w:rsidRPr="006766B0">
        <w:rPr>
          <w:rFonts w:ascii="Times New Roman" w:eastAsia="Times New Roman" w:hAnsi="Times New Roman" w:cs="Times New Roman"/>
          <w:color w:val="000000"/>
          <w:sz w:val="24"/>
          <w:szCs w:val="19"/>
          <w:lang w:eastAsia="tr-TR"/>
        </w:rPr>
        <w:t>Serruh</w:t>
      </w:r>
      <w:proofErr w:type="spellEnd"/>
      <w:r w:rsidRPr="006766B0">
        <w:rPr>
          <w:rFonts w:ascii="Times New Roman" w:eastAsia="Times New Roman" w:hAnsi="Times New Roman" w:cs="Times New Roman"/>
          <w:color w:val="000000"/>
          <w:sz w:val="24"/>
          <w:szCs w:val="19"/>
          <w:lang w:eastAsia="tr-TR"/>
        </w:rPr>
        <w:t xml:space="preserve"> KALELİ, Osman </w:t>
      </w:r>
      <w:proofErr w:type="spellStart"/>
      <w:r w:rsidRPr="006766B0">
        <w:rPr>
          <w:rFonts w:ascii="Times New Roman" w:eastAsia="Times New Roman" w:hAnsi="Times New Roman" w:cs="Times New Roman"/>
          <w:color w:val="000000"/>
          <w:sz w:val="24"/>
          <w:szCs w:val="19"/>
          <w:lang w:eastAsia="tr-TR"/>
        </w:rPr>
        <w:t>Alifeyyaz</w:t>
      </w:r>
      <w:proofErr w:type="spellEnd"/>
      <w:r w:rsidRPr="006766B0">
        <w:rPr>
          <w:rFonts w:ascii="Times New Roman" w:eastAsia="Times New Roman" w:hAnsi="Times New Roman" w:cs="Times New Roman"/>
          <w:color w:val="000000"/>
          <w:sz w:val="24"/>
          <w:szCs w:val="19"/>
          <w:lang w:eastAsia="tr-TR"/>
        </w:rPr>
        <w:t xml:space="preserve"> PAKSÜT, Recep KÖMÜRCÜ, Alparslan ALTAN, Nuri NECİPOĞLU, </w:t>
      </w:r>
      <w:proofErr w:type="spellStart"/>
      <w:r w:rsidRPr="006766B0">
        <w:rPr>
          <w:rFonts w:ascii="Times New Roman" w:eastAsia="Times New Roman" w:hAnsi="Times New Roman" w:cs="Times New Roman"/>
          <w:color w:val="000000"/>
          <w:sz w:val="24"/>
          <w:szCs w:val="19"/>
          <w:lang w:eastAsia="tr-TR"/>
        </w:rPr>
        <w:t>Hicabi</w:t>
      </w:r>
      <w:proofErr w:type="spellEnd"/>
      <w:r w:rsidRPr="006766B0">
        <w:rPr>
          <w:rFonts w:ascii="Times New Roman" w:eastAsia="Times New Roman" w:hAnsi="Times New Roman" w:cs="Times New Roman"/>
          <w:color w:val="000000"/>
          <w:sz w:val="24"/>
          <w:szCs w:val="19"/>
          <w:lang w:eastAsia="tr-TR"/>
        </w:rPr>
        <w:t xml:space="preserve"> DURSUN, Celal Mümtaz AKINCI, Erdal TERCAN, Muammer TOPAL, M. Emin KUZ, Hasan Tahsin GÖKCAN ve Kadir </w:t>
      </w:r>
      <w:proofErr w:type="spellStart"/>
      <w:r w:rsidRPr="006766B0">
        <w:rPr>
          <w:rFonts w:ascii="Times New Roman" w:eastAsia="Times New Roman" w:hAnsi="Times New Roman" w:cs="Times New Roman"/>
          <w:color w:val="000000"/>
          <w:sz w:val="24"/>
          <w:szCs w:val="19"/>
          <w:lang w:eastAsia="tr-TR"/>
        </w:rPr>
        <w:t>ÖZKAYA’nın</w:t>
      </w:r>
      <w:proofErr w:type="spellEnd"/>
      <w:r w:rsidRPr="006766B0">
        <w:rPr>
          <w:rFonts w:ascii="Times New Roman" w:eastAsia="Times New Roman" w:hAnsi="Times New Roman" w:cs="Times New Roman"/>
          <w:color w:val="000000"/>
          <w:sz w:val="24"/>
          <w:szCs w:val="19"/>
          <w:lang w:eastAsia="tr-TR"/>
        </w:rPr>
        <w:t xml:space="preserve"> katılımlarıyla 10.2.2016 tarihinde yapılan ilk inceleme toplantısında öncelikle başvuruya engel bir durumun varlığı ve sınırlama sorunu görüşülmüştür;</w:t>
      </w:r>
      <w:proofErr w:type="gramEnd"/>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66B0">
        <w:rPr>
          <w:rFonts w:ascii="Times New Roman" w:eastAsia="Times New Roman" w:hAnsi="Times New Roman" w:cs="Times New Roman"/>
          <w:color w:val="000000"/>
          <w:sz w:val="24"/>
          <w:szCs w:val="19"/>
          <w:lang w:eastAsia="tr-TR"/>
        </w:rPr>
        <w:t>2. Anayasa’nın “</w:t>
      </w:r>
      <w:r w:rsidRPr="006766B0">
        <w:rPr>
          <w:rFonts w:ascii="Times New Roman" w:eastAsia="Times New Roman" w:hAnsi="Times New Roman" w:cs="Times New Roman"/>
          <w:i/>
          <w:iCs/>
          <w:color w:val="000000"/>
          <w:sz w:val="24"/>
          <w:szCs w:val="19"/>
          <w:lang w:eastAsia="tr-TR"/>
        </w:rPr>
        <w:t>Anayasaya aykırılığın diğer mahkemelerde ileri sürülmesi</w:t>
      </w:r>
      <w:r w:rsidRPr="006766B0">
        <w:rPr>
          <w:rFonts w:ascii="Times New Roman" w:eastAsia="Times New Roman" w:hAnsi="Times New Roman" w:cs="Times New Roman"/>
          <w:color w:val="000000"/>
          <w:sz w:val="24"/>
          <w:szCs w:val="19"/>
          <w:lang w:eastAsia="tr-TR"/>
        </w:rPr>
        <w:t>” başlığını taşıyan 152. maddesinin son fıkrasında “</w:t>
      </w:r>
      <w:r w:rsidRPr="006766B0">
        <w:rPr>
          <w:rFonts w:ascii="Times New Roman" w:eastAsia="Times New Roman" w:hAnsi="Times New Roman" w:cs="Times New Roman"/>
          <w:i/>
          <w:iCs/>
          <w:color w:val="000000"/>
          <w:sz w:val="24"/>
          <w:szCs w:val="19"/>
          <w:lang w:eastAsia="tr-TR"/>
        </w:rPr>
        <w:t xml:space="preserve">Anayasa Mahkemesinin işin esasına girerek verdiği </w:t>
      </w:r>
      <w:proofErr w:type="spellStart"/>
      <w:r w:rsidRPr="006766B0">
        <w:rPr>
          <w:rFonts w:ascii="Times New Roman" w:eastAsia="Times New Roman" w:hAnsi="Times New Roman" w:cs="Times New Roman"/>
          <w:i/>
          <w:iCs/>
          <w:color w:val="000000"/>
          <w:sz w:val="24"/>
          <w:szCs w:val="19"/>
          <w:lang w:eastAsia="tr-TR"/>
        </w:rPr>
        <w:t>red</w:t>
      </w:r>
      <w:proofErr w:type="spellEnd"/>
      <w:r w:rsidRPr="006766B0">
        <w:rPr>
          <w:rFonts w:ascii="Times New Roman" w:eastAsia="Times New Roman" w:hAnsi="Times New Roman" w:cs="Times New Roman"/>
          <w:i/>
          <w:iCs/>
          <w:color w:val="000000"/>
          <w:sz w:val="24"/>
          <w:szCs w:val="19"/>
          <w:lang w:eastAsia="tr-TR"/>
        </w:rPr>
        <w:t xml:space="preserve"> kararının Resmî Gazetede yayımlanmasından sonra on yıl geçmedikçe aynı kanun hükmünün Anayasaya aykırılığı iddiasıyla tekrar başvuruda bulunulamaz</w:t>
      </w:r>
      <w:r w:rsidRPr="006766B0">
        <w:rPr>
          <w:rFonts w:ascii="Times New Roman" w:eastAsia="Times New Roman" w:hAnsi="Times New Roman" w:cs="Times New Roman"/>
          <w:color w:val="000000"/>
          <w:sz w:val="24"/>
          <w:szCs w:val="19"/>
          <w:lang w:eastAsia="tr-TR"/>
        </w:rPr>
        <w:t>.”; 6216 sayılı Anayasa Mahkemesinin Kuruluşu ve Yargılama Usulleri Hakkında Kanun’un “</w:t>
      </w:r>
      <w:r w:rsidRPr="006766B0">
        <w:rPr>
          <w:rFonts w:ascii="Times New Roman" w:eastAsia="Times New Roman" w:hAnsi="Times New Roman" w:cs="Times New Roman"/>
          <w:i/>
          <w:iCs/>
          <w:color w:val="000000"/>
          <w:sz w:val="24"/>
          <w:szCs w:val="19"/>
          <w:lang w:eastAsia="tr-TR"/>
        </w:rPr>
        <w:t>Başvuruya engel durumlar</w:t>
      </w:r>
      <w:r w:rsidRPr="006766B0">
        <w:rPr>
          <w:rFonts w:ascii="Times New Roman" w:eastAsia="Times New Roman" w:hAnsi="Times New Roman" w:cs="Times New Roman"/>
          <w:color w:val="000000"/>
          <w:sz w:val="24"/>
          <w:szCs w:val="19"/>
          <w:lang w:eastAsia="tr-TR"/>
        </w:rPr>
        <w:t>” başlığını taşıyan 41. maddesinin (1) numaralı fıkrasında ise “</w:t>
      </w:r>
      <w:r w:rsidRPr="006766B0">
        <w:rPr>
          <w:rFonts w:ascii="Times New Roman" w:eastAsia="Times New Roman" w:hAnsi="Times New Roman" w:cs="Times New Roman"/>
          <w:i/>
          <w:iCs/>
          <w:color w:val="000000"/>
          <w:sz w:val="24"/>
          <w:szCs w:val="19"/>
          <w:lang w:eastAsia="tr-TR"/>
        </w:rPr>
        <w:t>Mahkemenin işin esasına girerek verdiği ret kararının Resmî Gazetede yayımlanmasından itibaren on yıl geçmedikçe aynı kanun hükmünün Anayasaya aykırılığı iddiasıyla itiraz başvurusu yapılamaz.</w:t>
      </w:r>
      <w:r w:rsidRPr="006766B0">
        <w:rPr>
          <w:rFonts w:ascii="Times New Roman" w:eastAsia="Times New Roman" w:hAnsi="Times New Roman" w:cs="Times New Roman"/>
          <w:color w:val="000000"/>
          <w:sz w:val="24"/>
          <w:szCs w:val="19"/>
          <w:lang w:eastAsia="tr-TR"/>
        </w:rPr>
        <w:t>” hükümlerine yer verilmiştir.</w:t>
      </w:r>
      <w:proofErr w:type="gramEnd"/>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66B0">
        <w:rPr>
          <w:rFonts w:ascii="Times New Roman" w:eastAsia="Times New Roman" w:hAnsi="Times New Roman" w:cs="Times New Roman"/>
          <w:color w:val="000000"/>
          <w:sz w:val="24"/>
          <w:szCs w:val="19"/>
          <w:lang w:eastAsia="tr-TR"/>
        </w:rPr>
        <w:t>3. Kanun’un 166. maddesinin (1) numaralı fıkrasının son cümlesinde yer alan </w:t>
      </w:r>
      <w:r w:rsidRPr="006766B0">
        <w:rPr>
          <w:rFonts w:ascii="Times New Roman" w:eastAsia="Times New Roman" w:hAnsi="Times New Roman" w:cs="Times New Roman"/>
          <w:i/>
          <w:iCs/>
          <w:color w:val="000000"/>
          <w:sz w:val="24"/>
          <w:szCs w:val="19"/>
          <w:lang w:eastAsia="tr-TR"/>
        </w:rPr>
        <w:t>“…bu karar, diğer mahkemeyi bağlar.”</w:t>
      </w:r>
      <w:r w:rsidRPr="006766B0">
        <w:rPr>
          <w:rFonts w:ascii="Times New Roman" w:eastAsia="Times New Roman" w:hAnsi="Times New Roman" w:cs="Times New Roman"/>
          <w:color w:val="000000"/>
          <w:sz w:val="24"/>
          <w:szCs w:val="19"/>
          <w:lang w:eastAsia="tr-TR"/>
        </w:rPr>
        <w:t> ibaresine yönelik itiraz başvurusu, Anayasa Mahkemesinin </w:t>
      </w:r>
      <w:r w:rsidRPr="006766B0">
        <w:rPr>
          <w:rFonts w:ascii="Times New Roman" w:eastAsia="Times New Roman" w:hAnsi="Times New Roman" w:cs="Times New Roman"/>
          <w:caps/>
          <w:color w:val="000000"/>
          <w:sz w:val="24"/>
          <w:szCs w:val="19"/>
          <w:lang w:eastAsia="tr-TR"/>
        </w:rPr>
        <w:t>27.3.2014 </w:t>
      </w:r>
      <w:r w:rsidRPr="006766B0">
        <w:rPr>
          <w:rFonts w:ascii="Times New Roman" w:eastAsia="Times New Roman" w:hAnsi="Times New Roman" w:cs="Times New Roman"/>
          <w:color w:val="000000"/>
          <w:sz w:val="24"/>
          <w:szCs w:val="19"/>
          <w:lang w:eastAsia="tr-TR"/>
        </w:rPr>
        <w:t xml:space="preserve">tarihli ve E.2014/5, K.2014/65 sayılı kararıyla kuralın Anayasa’ya aykırı olmadığı gerekçesiyle esastan reddedilmiş ve bu karar 12.12.2014 tarihli ve 29203 sayılı Resmî </w:t>
      </w:r>
      <w:proofErr w:type="spellStart"/>
      <w:r w:rsidRPr="006766B0">
        <w:rPr>
          <w:rFonts w:ascii="Times New Roman" w:eastAsia="Times New Roman" w:hAnsi="Times New Roman" w:cs="Times New Roman"/>
          <w:color w:val="000000"/>
          <w:sz w:val="24"/>
          <w:szCs w:val="19"/>
          <w:lang w:eastAsia="tr-TR"/>
        </w:rPr>
        <w:t>Gazete’de</w:t>
      </w:r>
      <w:proofErr w:type="spellEnd"/>
      <w:r w:rsidRPr="006766B0">
        <w:rPr>
          <w:rFonts w:ascii="Times New Roman" w:eastAsia="Times New Roman" w:hAnsi="Times New Roman" w:cs="Times New Roman"/>
          <w:color w:val="000000"/>
          <w:sz w:val="24"/>
          <w:szCs w:val="19"/>
          <w:lang w:eastAsia="tr-TR"/>
        </w:rPr>
        <w:t xml:space="preserve"> yayımlanmıştır.</w:t>
      </w:r>
      <w:proofErr w:type="gramEnd"/>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xml:space="preserve">4. Anayasa Mahkemesince işin esasına girilerek reddedilen itiraz başvurusuna konu kural hakkında yeni bir başvurunun yapılabilmesi için, önceki kararın Resmî </w:t>
      </w:r>
      <w:proofErr w:type="spellStart"/>
      <w:r w:rsidRPr="006766B0">
        <w:rPr>
          <w:rFonts w:ascii="Times New Roman" w:eastAsia="Times New Roman" w:hAnsi="Times New Roman" w:cs="Times New Roman"/>
          <w:color w:val="000000"/>
          <w:sz w:val="24"/>
          <w:szCs w:val="19"/>
          <w:lang w:eastAsia="tr-TR"/>
        </w:rPr>
        <w:t>Gazete’de</w:t>
      </w:r>
      <w:proofErr w:type="spellEnd"/>
      <w:r w:rsidRPr="006766B0">
        <w:rPr>
          <w:rFonts w:ascii="Times New Roman" w:eastAsia="Times New Roman" w:hAnsi="Times New Roman" w:cs="Times New Roman"/>
          <w:color w:val="000000"/>
          <w:sz w:val="24"/>
          <w:szCs w:val="19"/>
          <w:lang w:eastAsia="tr-TR"/>
        </w:rPr>
        <w:t xml:space="preserve"> yayımlandığı 12.12.2014 tarihinden başlayarak geçmesi gereken on yıllık süre henüz dolmamıştır.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5. Açıklanan nedenlerle, itiraz konusu kurala ilişkin başvurunun, Anayasa’nın 152. maddesinin son fıkrası ve 6216 sayılı Kanun’un 41. maddesinin (1) numaralı fıkrası gereğince esas incelemeye geçilmeksizin reddi gerekir.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lastRenderedPageBreak/>
        <w:t>6. Anayasa’nın 152. ve 6216 sayılı Anayasa Mahkemesinin Kuruluşu ve Yargılama Usulleri Hakkında Kanun’un 40. maddelerine göre, Anayasa Mahkemesine itiraz yoluyla yapılacak başvurular itiraz yoluna başvuran mahkemenin bakmakta olduğu davada uygulayacağı yasa kuralı ile sınırlıdır.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7. İtiraz yoluna başvuran Mahkeme, Kanun’un 167. maddesinin birinci cümlesinde yer alan </w:t>
      </w:r>
      <w:r w:rsidRPr="006766B0">
        <w:rPr>
          <w:rFonts w:ascii="Times New Roman" w:eastAsia="Times New Roman" w:hAnsi="Times New Roman" w:cs="Times New Roman"/>
          <w:i/>
          <w:iCs/>
          <w:color w:val="000000"/>
          <w:sz w:val="24"/>
          <w:szCs w:val="19"/>
          <w:lang w:eastAsia="tr-TR"/>
        </w:rPr>
        <w:t>“…sonradan birleştirilmiş davaların…”</w:t>
      </w:r>
      <w:r w:rsidRPr="006766B0">
        <w:rPr>
          <w:rFonts w:ascii="Times New Roman" w:eastAsia="Times New Roman" w:hAnsi="Times New Roman" w:cs="Times New Roman"/>
          <w:color w:val="000000"/>
          <w:sz w:val="24"/>
          <w:szCs w:val="19"/>
          <w:lang w:eastAsia="tr-TR"/>
        </w:rPr>
        <w:t>  ibaresinin iptalini talep etmiştir.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8. Bakılmakta olan davada, 6100 sayılı Kanun’un 167. maddesinin birinci cümlesinde yer alan </w:t>
      </w:r>
      <w:r w:rsidRPr="006766B0">
        <w:rPr>
          <w:rFonts w:ascii="Times New Roman" w:eastAsia="Times New Roman" w:hAnsi="Times New Roman" w:cs="Times New Roman"/>
          <w:i/>
          <w:iCs/>
          <w:color w:val="000000"/>
          <w:sz w:val="24"/>
          <w:szCs w:val="19"/>
          <w:lang w:eastAsia="tr-TR"/>
        </w:rPr>
        <w:t>“…sonradan birleştirilmiş davaların…”</w:t>
      </w:r>
      <w:r w:rsidRPr="006766B0">
        <w:rPr>
          <w:rFonts w:ascii="Times New Roman" w:eastAsia="Times New Roman" w:hAnsi="Times New Roman" w:cs="Times New Roman"/>
          <w:color w:val="000000"/>
          <w:sz w:val="24"/>
          <w:szCs w:val="19"/>
          <w:lang w:eastAsia="tr-TR"/>
        </w:rPr>
        <w:t>  ibaresindeki </w:t>
      </w:r>
      <w:r w:rsidRPr="006766B0">
        <w:rPr>
          <w:rFonts w:ascii="Times New Roman" w:eastAsia="Times New Roman" w:hAnsi="Times New Roman" w:cs="Times New Roman"/>
          <w:i/>
          <w:iCs/>
          <w:color w:val="000000"/>
          <w:sz w:val="24"/>
          <w:szCs w:val="19"/>
          <w:lang w:eastAsia="tr-TR"/>
        </w:rPr>
        <w:t>“…davaların…” </w:t>
      </w:r>
      <w:r w:rsidRPr="006766B0">
        <w:rPr>
          <w:rFonts w:ascii="Times New Roman" w:eastAsia="Times New Roman" w:hAnsi="Times New Roman" w:cs="Times New Roman"/>
          <w:color w:val="000000"/>
          <w:sz w:val="24"/>
          <w:szCs w:val="19"/>
          <w:lang w:eastAsia="tr-TR"/>
        </w:rPr>
        <w:t>kelimesi maddenin diğer bölümü için de ortak kuraldır. Bu nedenle esas incelemenin</w:t>
      </w:r>
      <w:r w:rsidRPr="006766B0">
        <w:rPr>
          <w:rFonts w:ascii="Times New Roman" w:eastAsia="Times New Roman" w:hAnsi="Times New Roman" w:cs="Times New Roman"/>
          <w:b/>
          <w:bCs/>
          <w:color w:val="000000"/>
          <w:sz w:val="24"/>
          <w:szCs w:val="19"/>
          <w:lang w:eastAsia="tr-TR"/>
        </w:rPr>
        <w:t> </w:t>
      </w:r>
      <w:r w:rsidRPr="006766B0">
        <w:rPr>
          <w:rFonts w:ascii="Times New Roman" w:eastAsia="Times New Roman" w:hAnsi="Times New Roman" w:cs="Times New Roman"/>
          <w:i/>
          <w:iCs/>
          <w:color w:val="000000"/>
          <w:sz w:val="24"/>
          <w:szCs w:val="19"/>
          <w:lang w:eastAsia="tr-TR"/>
        </w:rPr>
        <w:t>“…sonradan birleştirilmiş…”</w:t>
      </w:r>
      <w:r w:rsidRPr="006766B0">
        <w:rPr>
          <w:rFonts w:ascii="Times New Roman" w:eastAsia="Times New Roman" w:hAnsi="Times New Roman" w:cs="Times New Roman"/>
          <w:color w:val="000000"/>
          <w:sz w:val="24"/>
          <w:szCs w:val="19"/>
          <w:lang w:eastAsia="tr-TR"/>
        </w:rPr>
        <w:t> ibaresiyle sınırlı olarak yapılması gerekmektedir.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9. Açıklanan nedenlerle, 12.1.2011 tarihli ve 6100 sayılı Hukuk Muhakemeleri Kanunu’nun;</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A- 166. maddesinin (1) numaralı fıkrasının ikinci cümlesinde yer alan </w:t>
      </w:r>
      <w:r w:rsidRPr="006766B0">
        <w:rPr>
          <w:rFonts w:ascii="Times New Roman" w:eastAsia="Times New Roman" w:hAnsi="Times New Roman" w:cs="Times New Roman"/>
          <w:i/>
          <w:iCs/>
          <w:color w:val="000000"/>
          <w:sz w:val="24"/>
          <w:szCs w:val="19"/>
          <w:lang w:eastAsia="tr-TR"/>
        </w:rPr>
        <w:t>“…bu karar, diğer mahkemeyi bağlar”</w:t>
      </w:r>
      <w:r w:rsidRPr="006766B0">
        <w:rPr>
          <w:rFonts w:ascii="Times New Roman" w:eastAsia="Times New Roman" w:hAnsi="Times New Roman" w:cs="Times New Roman"/>
          <w:color w:val="000000"/>
          <w:sz w:val="24"/>
          <w:szCs w:val="19"/>
          <w:lang w:eastAsia="tr-TR"/>
        </w:rPr>
        <w:t> ibaresine ilişkin itiraz başvurusunun, Anayasa’nın 152. maddesinin son fıkrası ve 6216 sayılı Anayasa Mahkemesinin Kuruluşu ve Yargılama Usulleri Hakkında Kanun’un 41. maddesinin (1) numaralı fıkrası gereğince REDDİNE,</w:t>
      </w:r>
    </w:p>
    <w:p w:rsidR="006766B0" w:rsidRP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B- 167. maddesinin;     </w:t>
      </w:r>
    </w:p>
    <w:p w:rsidR="006766B0" w:rsidRP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 Birinci cümlesinde yer alan </w:t>
      </w:r>
      <w:r w:rsidRPr="006766B0">
        <w:rPr>
          <w:rFonts w:ascii="Times New Roman" w:eastAsia="Times New Roman" w:hAnsi="Times New Roman" w:cs="Times New Roman"/>
          <w:i/>
          <w:iCs/>
          <w:color w:val="000000"/>
          <w:sz w:val="24"/>
          <w:szCs w:val="19"/>
          <w:lang w:eastAsia="tr-TR"/>
        </w:rPr>
        <w:t>“…sonradan birleştirilmiş davaların…”</w:t>
      </w:r>
      <w:r w:rsidRPr="006766B0">
        <w:rPr>
          <w:rFonts w:ascii="Times New Roman" w:eastAsia="Times New Roman" w:hAnsi="Times New Roman" w:cs="Times New Roman"/>
          <w:color w:val="000000"/>
          <w:sz w:val="24"/>
          <w:szCs w:val="19"/>
          <w:lang w:eastAsia="tr-TR"/>
        </w:rPr>
        <w:t> ibaresinin esasının incelenmesine, esasa ilişkin incelemenin </w:t>
      </w:r>
      <w:r w:rsidRPr="006766B0">
        <w:rPr>
          <w:rFonts w:ascii="Times New Roman" w:eastAsia="Times New Roman" w:hAnsi="Times New Roman" w:cs="Times New Roman"/>
          <w:i/>
          <w:iCs/>
          <w:color w:val="000000"/>
          <w:sz w:val="24"/>
          <w:szCs w:val="19"/>
          <w:lang w:eastAsia="tr-TR"/>
        </w:rPr>
        <w:t>“…sonradan birleştirilmiş…” </w:t>
      </w:r>
      <w:r w:rsidRPr="006766B0">
        <w:rPr>
          <w:rFonts w:ascii="Times New Roman" w:eastAsia="Times New Roman" w:hAnsi="Times New Roman" w:cs="Times New Roman"/>
          <w:color w:val="000000"/>
          <w:sz w:val="24"/>
          <w:szCs w:val="19"/>
          <w:lang w:eastAsia="tr-TR"/>
        </w:rPr>
        <w:t>ibaresi ile sınırlı olarak yapılmasına,   </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2- İkinci cümlesinin esasının incelenmesine,</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OYBİRLİĞİYLE karar verilmiştir.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III- ESASIN İNCELENMESİ</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10. Başvuru kararı ve ekleri, Raportör Berrak YILMAZ tarafından hazırlanan işin esasına ilişkin rapor, itiraz konusu kanun hükümleri, dayanılan ve ilgili görülen Anayasa kuralları ile bunların gerekçeleri ve diğer yasama belgeleri okunup incelendikten sonra gereği görüşülüp düşünüldü.</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A- İtirazın Gerekçesi    </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11. Başvuru kararında özetle, itiraz konusu kurallarla, birleştirilmiş davaların daha sonra ayrılması halinde, birleştirilen davaya bakan mahkemenin ayrılmasına karar verilen davayı iade etmek yerine bu davaya bakmaya devam edecek olmasının, mahkemelerin usulsüz şekilde sübjektif nedenlerle birleştirme kararı vererek davasına bakacağı kişileri seçebilmesine ve davasına bakmak istemediği kişilere ilişkin davaları başka bir mahkemenin davasıyla birleştirmek suretiyle yargılamadan kaçınabilmesine sebep olabileceği, bu durumun tabiî hâkim ilkesine aykırı olduğu gibi adil yargılanma ilkesinin bir sonucu olan davaların makul sürede bitmesine engel oluşturacağı, birleşen dosyanın mahkemesine iade edilme imkânının bulunması gerektiği belirtilerek kuralların, Anayasa’nın 36</w:t>
      </w:r>
      <w:proofErr w:type="gramStart"/>
      <w:r w:rsidRPr="006766B0">
        <w:rPr>
          <w:rFonts w:ascii="Times New Roman" w:eastAsia="Times New Roman" w:hAnsi="Times New Roman" w:cs="Times New Roman"/>
          <w:color w:val="000000"/>
          <w:sz w:val="24"/>
          <w:szCs w:val="19"/>
          <w:lang w:eastAsia="tr-TR"/>
        </w:rPr>
        <w:t>.,</w:t>
      </w:r>
      <w:proofErr w:type="gramEnd"/>
      <w:r w:rsidRPr="006766B0">
        <w:rPr>
          <w:rFonts w:ascii="Times New Roman" w:eastAsia="Times New Roman" w:hAnsi="Times New Roman" w:cs="Times New Roman"/>
          <w:color w:val="000000"/>
          <w:sz w:val="24"/>
          <w:szCs w:val="19"/>
          <w:lang w:eastAsia="tr-TR"/>
        </w:rPr>
        <w:t xml:space="preserve"> 37. ve 141. maddelerine aykırı oldukları ileri sürülmüştür.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lastRenderedPageBreak/>
        <w:t>B- Anayasa’ya Aykırılık Sorunu</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12. 6216 sayılı Anayasa Mahkemesinin Kuruluşu ve Yargılama Usulleri Hakkında Kanun’un 43. maddesi uyarınca, ilgisi nedeniyle kural Anayasa’nın 142. maddesi yönünden de incelenmiştir.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13. İtiraz konusu kurallarla, </w:t>
      </w:r>
      <w:r w:rsidRPr="006766B0">
        <w:rPr>
          <w:rFonts w:ascii="Times New Roman" w:eastAsia="Times New Roman" w:hAnsi="Times New Roman" w:cs="Times New Roman"/>
          <w:i/>
          <w:iCs/>
          <w:color w:val="000000"/>
          <w:sz w:val="24"/>
          <w:szCs w:val="19"/>
          <w:lang w:eastAsia="tr-TR"/>
        </w:rPr>
        <w:t>“sonradan birleştirilmiş”</w:t>
      </w:r>
      <w:r w:rsidRPr="006766B0">
        <w:rPr>
          <w:rFonts w:ascii="Times New Roman" w:eastAsia="Times New Roman" w:hAnsi="Times New Roman" w:cs="Times New Roman"/>
          <w:color w:val="000000"/>
          <w:sz w:val="24"/>
          <w:szCs w:val="19"/>
          <w:lang w:eastAsia="tr-TR"/>
        </w:rPr>
        <w:t> davaların ayrılmasına davanın her aşamasında, talep üzerine veya kendiliğinden mahkemece karar verilebileceği ve bu durumda mahkemenin, ayrılmasına karar verilen davalara bakmaya devam edeceği öngörülmektedir.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14. Anayasa’nın hak arama hürriyetini düzenleyen 36. maddesinin birinci fıkrasında, “</w:t>
      </w:r>
      <w:r w:rsidRPr="006766B0">
        <w:rPr>
          <w:rFonts w:ascii="Times New Roman" w:eastAsia="Times New Roman" w:hAnsi="Times New Roman" w:cs="Times New Roman"/>
          <w:i/>
          <w:iCs/>
          <w:color w:val="000000"/>
          <w:sz w:val="24"/>
          <w:szCs w:val="19"/>
          <w:lang w:eastAsia="tr-TR"/>
        </w:rPr>
        <w:t xml:space="preserve">Herkes, </w:t>
      </w:r>
      <w:proofErr w:type="spellStart"/>
      <w:r w:rsidRPr="006766B0">
        <w:rPr>
          <w:rFonts w:ascii="Times New Roman" w:eastAsia="Times New Roman" w:hAnsi="Times New Roman" w:cs="Times New Roman"/>
          <w:i/>
          <w:iCs/>
          <w:color w:val="000000"/>
          <w:sz w:val="24"/>
          <w:szCs w:val="19"/>
          <w:lang w:eastAsia="tr-TR"/>
        </w:rPr>
        <w:t>meşrû</w:t>
      </w:r>
      <w:proofErr w:type="spellEnd"/>
      <w:r w:rsidRPr="006766B0">
        <w:rPr>
          <w:rFonts w:ascii="Times New Roman" w:eastAsia="Times New Roman" w:hAnsi="Times New Roman" w:cs="Times New Roman"/>
          <w:i/>
          <w:iCs/>
          <w:color w:val="000000"/>
          <w:sz w:val="24"/>
          <w:szCs w:val="19"/>
          <w:lang w:eastAsia="tr-TR"/>
        </w:rPr>
        <w:t xml:space="preserve"> vasıta ve yollardan faydalanmak suretiyle yargı mercileri önünde davacı veya davalı olarak iddia ve savunma ile adil yargılanma hakkına </w:t>
      </w:r>
      <w:proofErr w:type="spellStart"/>
      <w:r w:rsidRPr="006766B0">
        <w:rPr>
          <w:rFonts w:ascii="Times New Roman" w:eastAsia="Times New Roman" w:hAnsi="Times New Roman" w:cs="Times New Roman"/>
          <w:i/>
          <w:iCs/>
          <w:color w:val="000000"/>
          <w:sz w:val="24"/>
          <w:szCs w:val="19"/>
          <w:lang w:eastAsia="tr-TR"/>
        </w:rPr>
        <w:t>sahiptir.”</w:t>
      </w:r>
      <w:r w:rsidRPr="006766B0">
        <w:rPr>
          <w:rFonts w:ascii="Times New Roman" w:eastAsia="Times New Roman" w:hAnsi="Times New Roman" w:cs="Times New Roman"/>
          <w:color w:val="000000"/>
          <w:sz w:val="24"/>
          <w:szCs w:val="19"/>
          <w:lang w:eastAsia="tr-TR"/>
        </w:rPr>
        <w:t>denilmektedir</w:t>
      </w:r>
      <w:proofErr w:type="spellEnd"/>
      <w:r w:rsidRPr="006766B0">
        <w:rPr>
          <w:rFonts w:ascii="Times New Roman" w:eastAsia="Times New Roman" w:hAnsi="Times New Roman" w:cs="Times New Roman"/>
          <w:color w:val="000000"/>
          <w:sz w:val="24"/>
          <w:szCs w:val="19"/>
          <w:lang w:eastAsia="tr-TR"/>
        </w:rPr>
        <w:t>.</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15. Anayasanın 142. maddesinde, </w:t>
      </w:r>
      <w:r w:rsidRPr="006766B0">
        <w:rPr>
          <w:rFonts w:ascii="Times New Roman" w:eastAsia="Times New Roman" w:hAnsi="Times New Roman" w:cs="Times New Roman"/>
          <w:i/>
          <w:iCs/>
          <w:color w:val="000000"/>
          <w:sz w:val="24"/>
          <w:szCs w:val="19"/>
          <w:lang w:eastAsia="tr-TR"/>
        </w:rPr>
        <w:t>“Mahkemelerin kuruluşu, görev ve yetkileri, işleyişi ve yargılama usulleri kanunla düzenlenir.” </w:t>
      </w:r>
      <w:r w:rsidRPr="006766B0">
        <w:rPr>
          <w:rFonts w:ascii="Times New Roman" w:eastAsia="Times New Roman" w:hAnsi="Times New Roman" w:cs="Times New Roman"/>
          <w:color w:val="000000"/>
          <w:sz w:val="24"/>
          <w:szCs w:val="19"/>
          <w:lang w:eastAsia="tr-TR"/>
        </w:rPr>
        <w:t>hükmüne yer verilmiştir. Hukuk devletinde kanun koyucu, Anayasa’nın temel ilkelerine ve Anayasa’da öngörülen kurallara bağlı kalmak koşuluyla, yargılama usullerinin belirlenmesi konusunda takdir yetkisine sahiptir. Bu bağlamda getirilen usul kurallarının, Anayasa’nın 36. maddesinde öngörülen </w:t>
      </w:r>
      <w:r w:rsidRPr="006766B0">
        <w:rPr>
          <w:rFonts w:ascii="Times New Roman" w:eastAsia="Times New Roman" w:hAnsi="Times New Roman" w:cs="Times New Roman"/>
          <w:i/>
          <w:iCs/>
          <w:color w:val="000000"/>
          <w:sz w:val="24"/>
          <w:szCs w:val="19"/>
          <w:lang w:eastAsia="tr-TR"/>
        </w:rPr>
        <w:t xml:space="preserve">“adil yargılanma </w:t>
      </w:r>
      <w:proofErr w:type="spellStart"/>
      <w:r w:rsidRPr="006766B0">
        <w:rPr>
          <w:rFonts w:ascii="Times New Roman" w:eastAsia="Times New Roman" w:hAnsi="Times New Roman" w:cs="Times New Roman"/>
          <w:i/>
          <w:iCs/>
          <w:color w:val="000000"/>
          <w:sz w:val="24"/>
          <w:szCs w:val="19"/>
          <w:lang w:eastAsia="tr-TR"/>
        </w:rPr>
        <w:t>hakkı”</w:t>
      </w:r>
      <w:r w:rsidRPr="006766B0">
        <w:rPr>
          <w:rFonts w:ascii="Times New Roman" w:eastAsia="Times New Roman" w:hAnsi="Times New Roman" w:cs="Times New Roman"/>
          <w:color w:val="000000"/>
          <w:sz w:val="24"/>
          <w:szCs w:val="19"/>
          <w:lang w:eastAsia="tr-TR"/>
        </w:rPr>
        <w:t>na</w:t>
      </w:r>
      <w:proofErr w:type="spellEnd"/>
      <w:r w:rsidRPr="006766B0">
        <w:rPr>
          <w:rFonts w:ascii="Times New Roman" w:eastAsia="Times New Roman" w:hAnsi="Times New Roman" w:cs="Times New Roman"/>
          <w:color w:val="000000"/>
          <w:sz w:val="24"/>
          <w:szCs w:val="19"/>
          <w:lang w:eastAsia="tr-TR"/>
        </w:rPr>
        <w:t xml:space="preserve"> aykırılık taşımaması bir zorunluluktur.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16. Anayasa’nın 141. maddesinin son fıkrasında, “</w:t>
      </w:r>
      <w:r w:rsidRPr="006766B0">
        <w:rPr>
          <w:rFonts w:ascii="Times New Roman" w:eastAsia="Times New Roman" w:hAnsi="Times New Roman" w:cs="Times New Roman"/>
          <w:i/>
          <w:iCs/>
          <w:color w:val="000000"/>
          <w:sz w:val="24"/>
          <w:szCs w:val="19"/>
          <w:lang w:eastAsia="tr-TR"/>
        </w:rPr>
        <w:t>Davaların en az giderle ve mümkün olan süratle sonuçlandırılması, yargının görevidir.</w:t>
      </w:r>
      <w:r w:rsidRPr="006766B0">
        <w:rPr>
          <w:rFonts w:ascii="Times New Roman" w:eastAsia="Times New Roman" w:hAnsi="Times New Roman" w:cs="Times New Roman"/>
          <w:color w:val="000000"/>
          <w:sz w:val="24"/>
          <w:szCs w:val="19"/>
          <w:lang w:eastAsia="tr-TR"/>
        </w:rPr>
        <w:t>” denilmek suretiyle davaların makul bir süre içinde bitirilmesi gerekliliği açıkça ifade edilmiştir. Bu ilke gereğince Devlet, yargılamaların gereksiz  yere  uzamasını  engelleyecek  etkin  tedbirler almak zorundadır. Bu bağlamda, hukuk sisteminin ve özellikle yargılama usulünün, yargılamaların makul süre içerisinde bitirilmesini olanaklı kılacak şekilde düzenlenmesi ve bu düzenlemelerde davaların nedensiz olarak uzamasına yol açacak usul kurallarına yer verilmemesi, makul sürede yargılanma ilkesinin bir gereğidir. Ancak bu amaçla alınacak kanuni tedbirlerin yargılama sonucunda işin esasına yönelik adil ve hakkaniyete uygun bir karar verilmesine engel oluşturmaması gerektiği de tartışmasızdır. Bu ilkelere uygun olmak kaydıyla yargılama yöntemini belirlemek ise Anayasa’nın 142. maddesi gereğince kanun koyucunun takdir yetkisindedir.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17. 6100 sayılı Kanun, hukuk mahkemelerinde uygulanacak yargılama usullerini düzenlemektedir. Kanun’un itiraz konusu kuralların yer aldığı 167. maddesinde, sonradan birleştirilmiş hukuk davalarının ayrılma usulü ve ayrılan davaların görüleceği mahkeme belirlenmektedir.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18. İtiraz konusu kurallar kapsamında yer alan </w:t>
      </w:r>
      <w:r w:rsidRPr="006766B0">
        <w:rPr>
          <w:rFonts w:ascii="Times New Roman" w:eastAsia="Times New Roman" w:hAnsi="Times New Roman" w:cs="Times New Roman"/>
          <w:i/>
          <w:iCs/>
          <w:color w:val="000000"/>
          <w:sz w:val="24"/>
          <w:szCs w:val="19"/>
          <w:lang w:eastAsia="tr-TR"/>
        </w:rPr>
        <w:t>“sonradan birleştirilmiş davalar”</w:t>
      </w:r>
      <w:r w:rsidRPr="006766B0">
        <w:rPr>
          <w:rFonts w:ascii="Times New Roman" w:eastAsia="Times New Roman" w:hAnsi="Times New Roman" w:cs="Times New Roman"/>
          <w:color w:val="000000"/>
          <w:sz w:val="24"/>
          <w:szCs w:val="19"/>
          <w:lang w:eastAsia="tr-TR"/>
        </w:rPr>
        <w:t>, Kanun’un 166. maddesine göre birleştirilen davalardır. Maddeye göre</w:t>
      </w:r>
      <w:r w:rsidRPr="006766B0">
        <w:rPr>
          <w:rFonts w:ascii="Times New Roman" w:eastAsia="Times New Roman" w:hAnsi="Times New Roman" w:cs="Times New Roman"/>
          <w:b/>
          <w:bCs/>
          <w:color w:val="000000"/>
          <w:sz w:val="24"/>
          <w:szCs w:val="19"/>
          <w:lang w:eastAsia="tr-TR"/>
        </w:rPr>
        <w:t> </w:t>
      </w:r>
      <w:r w:rsidRPr="006766B0">
        <w:rPr>
          <w:rFonts w:ascii="Times New Roman" w:eastAsia="Times New Roman" w:hAnsi="Times New Roman" w:cs="Times New Roman"/>
          <w:color w:val="000000"/>
          <w:sz w:val="24"/>
          <w:szCs w:val="19"/>
          <w:lang w:eastAsia="tr-TR"/>
        </w:rPr>
        <w:t>“</w:t>
      </w:r>
      <w:r w:rsidRPr="006766B0">
        <w:rPr>
          <w:rFonts w:ascii="Times New Roman" w:eastAsia="Times New Roman" w:hAnsi="Times New Roman" w:cs="Times New Roman"/>
          <w:i/>
          <w:iCs/>
          <w:color w:val="000000"/>
          <w:sz w:val="24"/>
          <w:szCs w:val="19"/>
          <w:lang w:eastAsia="tr-TR"/>
        </w:rPr>
        <w:t>davaların aynı veya birbirine benzer sebeplerden doğması ya da biri hakkında verilecek hükmün diğerini etkileyecek nitelikte bulunması</w:t>
      </w:r>
      <w:r w:rsidRPr="006766B0">
        <w:rPr>
          <w:rFonts w:ascii="Times New Roman" w:eastAsia="Times New Roman" w:hAnsi="Times New Roman" w:cs="Times New Roman"/>
          <w:color w:val="000000"/>
          <w:sz w:val="24"/>
          <w:szCs w:val="19"/>
          <w:lang w:eastAsia="tr-TR"/>
        </w:rPr>
        <w:t xml:space="preserve">” durumunda, davalar arasında bağlantı var sayılacak ve ancak bu koşulların varlığı halinde davalar birleştirilebilecektir.  </w:t>
      </w:r>
      <w:proofErr w:type="gramStart"/>
      <w:r w:rsidRPr="006766B0">
        <w:rPr>
          <w:rFonts w:ascii="Times New Roman" w:eastAsia="Times New Roman" w:hAnsi="Times New Roman" w:cs="Times New Roman"/>
          <w:color w:val="000000"/>
          <w:sz w:val="24"/>
          <w:szCs w:val="19"/>
          <w:lang w:eastAsia="tr-TR"/>
        </w:rPr>
        <w:t>Dolayısıyla her ne kadar başvuru kararında, birleştirmenin usulsüz şekilde sübjektif nedenlerle yapılarak bakılmakta olan davaların başka bir mahkemenin davasıyla birleştirilmek suretiyle davası görülecek kişilerin seçilebileceği ve bu durumun adil yargılanma ilkesine aykırı olduğu ifade edilmişse de söz konusu maddede belirtilen koşullar gerçekleşmeksizin birleştirme kararı verildiğinin ileri sürülmesi halinde bu iddiaların yargı yerlerince inceleneceği açıktır.</w:t>
      </w:r>
      <w:proofErr w:type="gramEnd"/>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lastRenderedPageBreak/>
        <w:t>19. Sonradan birleştirilen davaların ayrılması, maddede belirtildiği üzere yargılamanın iyi bir şekilde yürütülmesini sağlamak için yapılmaktadır. Yargılamanın iyi bir şekilde yürütülmesi olanağının kalmadığı bir durumda davaların ayrılmasına karar verilmesi de adil yargılanma ilkesinin bir gereği olarak yargılama sonucunda işin esasına yönelik adil ve hakkaniyete uygun bir karar verilmesi amacını gerçekleştirmeye yöneliktir. Tarafların, sonradan birleştirilen davaların ayrılması halinde, davasını tüm yönleriyle mahkeme önüne getirmesine engel bir durum da bulunmamaktadır. Ayrıca birleştirilmiş davaların sonradan ayrılması halinde bu davalara bakacak mahkemenin kanunla belirlenmesinin hak arama hürriyetine aykırı bir yönü de bulunmamaktadır.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xml:space="preserve">20. Öte yandan, itiraz konusu kurallarla maddenin gerekçesinde de ifade edildiği gibi usul ekonomisinin bir gereği olarak sonradan birleştirilmiş davaların ayrılmasına karar verilmesi halinde mahkemenin, davaları başka bir mahkemeye göndermeyip bizzat bakmaya devam etmesi düzenlenmektedir. Kişiler arasındaki uyuşmazlıkların daha kısa süre içinde en az giderle çözümlenmesi, usul ekonomisi bakımından önemli olduğu gibi davanın taraflarını davanın uzaması nedeniyle oluşabilecek mağduriyetlere karşı korumak bakımından da önemlidir. Kanun koyucunun, itiraz konusu kurallarla, sonradan birleştirilmiş davaların ayrılması halinde mahkemenin ayrılmasına karar verdiği davalara bakmaya devam etmesini kabul etmek suretiyle davaların görülmesi ve sonuçlandırılmasının hızlandırılmasını amaçladığı anlaşılmaktadır. </w:t>
      </w:r>
      <w:proofErr w:type="gramStart"/>
      <w:r w:rsidRPr="006766B0">
        <w:rPr>
          <w:rFonts w:ascii="Times New Roman" w:eastAsia="Times New Roman" w:hAnsi="Times New Roman" w:cs="Times New Roman"/>
          <w:color w:val="000000"/>
          <w:sz w:val="24"/>
          <w:szCs w:val="19"/>
          <w:lang w:eastAsia="tr-TR"/>
        </w:rPr>
        <w:t>Zira sonradan birleştirilen davaların, yargılamanın iyi bir şekilde yürütülmesini sağlamak için ayrılmasına karar verilse dahi söz konusu davaların birleştirilme nedeni olan davaların aynı veya birbirine benzer sebeplerden doğması ya da biri hakkında verilecek hükmün diğerini etkileyecek nitelikte bulunması şeklindeki bağlantı nedenlerinin varlığını sürdürdüğü hallerde, mahkemenin ayrılmasına karar verilen davalara bakmaya devam etmesinin davaların adil ve hakkaniyete uygun olarak hızlı bir şekilde görülmesi ve sonuçlandırılması amacını sağlamaya yönelik olduğu açıktır. Sonradan birleştirilen davaya bakan mahkemenin, dosyaya daha kısa sürede vakıf olacağı ve davanın birleştirme kararını veren mahkemeye gönderilmesi halinde söz konusu mahkeme tarafından dosya için harcanacak emek ve zaman dikkate alındığında, birleştirilen davaların ayrılması durumunda dahi mahkemenin ayrılmasına karar verilen davalara bakmaya devam etmesinin kamu yararını sağlamaya yönelik olduğu anlaşıldığından itiraz konusu kuralda Anayasa’nın 141. maddesine aykırı bir yön bulunmamaktadır.</w:t>
      </w:r>
      <w:proofErr w:type="gramEnd"/>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21. Açıklanan nedenlerle itiraz konusu kurallar, Anayasa’nın 36</w:t>
      </w:r>
      <w:proofErr w:type="gramStart"/>
      <w:r w:rsidRPr="006766B0">
        <w:rPr>
          <w:rFonts w:ascii="Times New Roman" w:eastAsia="Times New Roman" w:hAnsi="Times New Roman" w:cs="Times New Roman"/>
          <w:color w:val="000000"/>
          <w:sz w:val="24"/>
          <w:szCs w:val="19"/>
          <w:lang w:eastAsia="tr-TR"/>
        </w:rPr>
        <w:t>.,</w:t>
      </w:r>
      <w:proofErr w:type="gramEnd"/>
      <w:r w:rsidRPr="006766B0">
        <w:rPr>
          <w:rFonts w:ascii="Times New Roman" w:eastAsia="Times New Roman" w:hAnsi="Times New Roman" w:cs="Times New Roman"/>
          <w:color w:val="000000"/>
          <w:sz w:val="24"/>
          <w:szCs w:val="19"/>
          <w:lang w:eastAsia="tr-TR"/>
        </w:rPr>
        <w:t xml:space="preserve"> 141. ve 142. maddelerine aykırı değildir. İptal taleplerinin reddi gerekir.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22. Kuralların, Anayasa’nın 37. maddesiyle ilgisi görülmemiştir.</w:t>
      </w:r>
    </w:p>
    <w:p w:rsid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b/>
          <w:bCs/>
          <w:color w:val="000000"/>
          <w:sz w:val="24"/>
          <w:lang w:eastAsia="tr-TR"/>
        </w:rPr>
        <w:t>IV- HÜKÜM</w:t>
      </w:r>
    </w:p>
    <w:p w:rsidR="006766B0" w:rsidRP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12.1.2011 tarihli ve 6100 sayılı Hukuk Muhakemeleri Kanunu’nun 167. maddesinin (1) numaralı fıkrasının birinci cümlesinde yer alan </w:t>
      </w:r>
      <w:r w:rsidRPr="006766B0">
        <w:rPr>
          <w:rFonts w:ascii="Times New Roman" w:eastAsia="Times New Roman" w:hAnsi="Times New Roman" w:cs="Times New Roman"/>
          <w:i/>
          <w:iCs/>
          <w:color w:val="000000"/>
          <w:sz w:val="24"/>
          <w:szCs w:val="19"/>
          <w:lang w:eastAsia="tr-TR"/>
        </w:rPr>
        <w:t>“…sonradan birleştirilmiş…”</w:t>
      </w:r>
      <w:r w:rsidRPr="006766B0">
        <w:rPr>
          <w:rFonts w:ascii="Times New Roman" w:eastAsia="Times New Roman" w:hAnsi="Times New Roman" w:cs="Times New Roman"/>
          <w:color w:val="000000"/>
          <w:sz w:val="24"/>
          <w:szCs w:val="19"/>
          <w:lang w:eastAsia="tr-TR"/>
        </w:rPr>
        <w:t> ibaresi ile ikinci cümlesinin Anayasa’ya aykırı olmadıklarına ve itirazın REDDİNE, 22.6.2016 tarihinde OYBİRLİĞİYLE karar verildi. </w:t>
      </w:r>
    </w:p>
    <w:p w:rsidR="006766B0" w:rsidRP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766B0" w:rsidRPr="006766B0" w:rsidTr="006766B0">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Başkan</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Başkanvekili</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Başkanvekili</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Engin YILDIRIM</w:t>
            </w:r>
          </w:p>
        </w:tc>
      </w:tr>
    </w:tbl>
    <w:p w:rsid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lastRenderedPageBreak/>
        <w:t> </w:t>
      </w:r>
    </w:p>
    <w:p w:rsidR="006766B0" w:rsidRP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766B0" w:rsidRPr="006766B0" w:rsidTr="006766B0">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766B0">
              <w:rPr>
                <w:rFonts w:ascii="Times New Roman" w:eastAsia="Times New Roman" w:hAnsi="Times New Roman" w:cs="Times New Roman"/>
                <w:sz w:val="24"/>
                <w:szCs w:val="19"/>
                <w:lang w:eastAsia="tr-TR"/>
              </w:rPr>
              <w:t>Serruh</w:t>
            </w:r>
            <w:proofErr w:type="spellEnd"/>
            <w:r w:rsidRPr="006766B0">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 xml:space="preserve"> Osman </w:t>
            </w:r>
            <w:proofErr w:type="spellStart"/>
            <w:r w:rsidRPr="006766B0">
              <w:rPr>
                <w:rFonts w:ascii="Times New Roman" w:eastAsia="Times New Roman" w:hAnsi="Times New Roman" w:cs="Times New Roman"/>
                <w:sz w:val="24"/>
                <w:szCs w:val="19"/>
                <w:lang w:eastAsia="tr-TR"/>
              </w:rPr>
              <w:t>Alifeyyaz</w:t>
            </w:r>
            <w:proofErr w:type="spellEnd"/>
            <w:r w:rsidRPr="006766B0">
              <w:rPr>
                <w:rFonts w:ascii="Times New Roman" w:eastAsia="Times New Roman" w:hAnsi="Times New Roman" w:cs="Times New Roman"/>
                <w:sz w:val="24"/>
                <w:szCs w:val="19"/>
                <w:lang w:eastAsia="tr-TR"/>
              </w:rPr>
              <w:t xml:space="preserve"> PAKSÜT</w:t>
            </w:r>
          </w:p>
        </w:tc>
      </w:tr>
    </w:tbl>
    <w:p w:rsid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p w:rsidR="006766B0" w:rsidRP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766B0" w:rsidRPr="006766B0" w:rsidTr="006766B0">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Alparslan ALTAN</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Nuri NECİPOĞLU    </w:t>
            </w:r>
          </w:p>
        </w:tc>
      </w:tr>
    </w:tbl>
    <w:p w:rsid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p w:rsidR="006766B0" w:rsidRP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766B0" w:rsidRPr="006766B0" w:rsidTr="006766B0">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766B0">
              <w:rPr>
                <w:rFonts w:ascii="Times New Roman" w:eastAsia="Times New Roman" w:hAnsi="Times New Roman" w:cs="Times New Roman"/>
                <w:sz w:val="24"/>
                <w:szCs w:val="19"/>
                <w:lang w:eastAsia="tr-TR"/>
              </w:rPr>
              <w:t>Hicabi</w:t>
            </w:r>
            <w:proofErr w:type="spellEnd"/>
            <w:r w:rsidRPr="006766B0">
              <w:rPr>
                <w:rFonts w:ascii="Times New Roman" w:eastAsia="Times New Roman" w:hAnsi="Times New Roman" w:cs="Times New Roman"/>
                <w:sz w:val="24"/>
                <w:szCs w:val="19"/>
                <w:lang w:eastAsia="tr-TR"/>
              </w:rPr>
              <w:t xml:space="preserve"> DURSUN</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Celal Mümtaz AKINCI</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Erdal TERCAN</w:t>
            </w:r>
          </w:p>
        </w:tc>
      </w:tr>
    </w:tbl>
    <w:p w:rsid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p w:rsidR="006766B0" w:rsidRP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766B0" w:rsidRPr="006766B0" w:rsidTr="006766B0">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Muammer TOPAL</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M. Emin KUZ</w:t>
            </w:r>
          </w:p>
        </w:tc>
        <w:tc>
          <w:tcPr>
            <w:tcW w:w="1667"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Hasan Tahsin GÖKCAN</w:t>
            </w:r>
          </w:p>
        </w:tc>
      </w:tr>
    </w:tbl>
    <w:p w:rsid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p w:rsidR="006766B0" w:rsidRPr="006766B0" w:rsidRDefault="006766B0" w:rsidP="006766B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6766B0" w:rsidRPr="006766B0" w:rsidTr="006766B0">
        <w:tc>
          <w:tcPr>
            <w:tcW w:w="2500"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Kadir ÖZKAYA</w:t>
            </w:r>
          </w:p>
        </w:tc>
        <w:tc>
          <w:tcPr>
            <w:tcW w:w="2500" w:type="pct"/>
            <w:shd w:val="clear" w:color="auto" w:fill="FFFFFF"/>
            <w:tcMar>
              <w:top w:w="0" w:type="dxa"/>
              <w:left w:w="70" w:type="dxa"/>
              <w:bottom w:w="0" w:type="dxa"/>
              <w:right w:w="70" w:type="dxa"/>
            </w:tcMar>
            <w:hideMark/>
          </w:tcPr>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Üye</w:t>
            </w:r>
          </w:p>
          <w:p w:rsidR="006766B0" w:rsidRPr="006766B0" w:rsidRDefault="006766B0" w:rsidP="006766B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66B0">
              <w:rPr>
                <w:rFonts w:ascii="Times New Roman" w:eastAsia="Times New Roman" w:hAnsi="Times New Roman" w:cs="Times New Roman"/>
                <w:sz w:val="24"/>
                <w:szCs w:val="19"/>
                <w:lang w:eastAsia="tr-TR"/>
              </w:rPr>
              <w:t>Rıdvan GÜLEÇ</w:t>
            </w:r>
          </w:p>
        </w:tc>
      </w:tr>
    </w:tbl>
    <w:bookmarkEnd w:id="0"/>
    <w:p w:rsidR="006766B0" w:rsidRPr="006766B0" w:rsidRDefault="006766B0" w:rsidP="006766B0">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66B0">
        <w:rPr>
          <w:rFonts w:ascii="Times New Roman" w:eastAsia="Times New Roman" w:hAnsi="Times New Roman" w:cs="Times New Roman"/>
          <w:color w:val="000000"/>
          <w:sz w:val="24"/>
          <w:szCs w:val="19"/>
          <w:lang w:eastAsia="tr-TR"/>
        </w:rPr>
        <w:t> </w:t>
      </w:r>
    </w:p>
    <w:p w:rsidR="00CE1FB9" w:rsidRPr="006766B0" w:rsidRDefault="00CE1FB9" w:rsidP="006766B0">
      <w:pPr>
        <w:spacing w:before="100" w:beforeAutospacing="1" w:after="100" w:afterAutospacing="1" w:line="240" w:lineRule="auto"/>
        <w:ind w:firstLine="709"/>
        <w:jc w:val="both"/>
        <w:rPr>
          <w:rFonts w:ascii="Times New Roman" w:hAnsi="Times New Roman" w:cs="Times New Roman"/>
          <w:sz w:val="24"/>
        </w:rPr>
      </w:pPr>
    </w:p>
    <w:sectPr w:rsidR="00CE1FB9" w:rsidRPr="006766B0" w:rsidSect="006766B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84E" w:rsidRDefault="0069284E" w:rsidP="006766B0">
      <w:pPr>
        <w:spacing w:after="0" w:line="240" w:lineRule="auto"/>
      </w:pPr>
      <w:r>
        <w:separator/>
      </w:r>
    </w:p>
  </w:endnote>
  <w:endnote w:type="continuationSeparator" w:id="0">
    <w:p w:rsidR="0069284E" w:rsidRDefault="0069284E" w:rsidP="006766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6B0" w:rsidRDefault="006766B0" w:rsidP="00CF780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766B0" w:rsidRDefault="006766B0" w:rsidP="006766B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6B0" w:rsidRPr="006766B0" w:rsidRDefault="006766B0" w:rsidP="00CF780C">
    <w:pPr>
      <w:pStyle w:val="Altbilgi"/>
      <w:framePr w:wrap="around" w:vAnchor="text" w:hAnchor="margin" w:xAlign="right" w:y="1"/>
      <w:rPr>
        <w:rStyle w:val="SayfaNumaras"/>
        <w:rFonts w:ascii="Times New Roman" w:hAnsi="Times New Roman" w:cs="Times New Roman"/>
      </w:rPr>
    </w:pPr>
    <w:r w:rsidRPr="006766B0">
      <w:rPr>
        <w:rStyle w:val="SayfaNumaras"/>
        <w:rFonts w:ascii="Times New Roman" w:hAnsi="Times New Roman" w:cs="Times New Roman"/>
      </w:rPr>
      <w:fldChar w:fldCharType="begin"/>
    </w:r>
    <w:r w:rsidRPr="006766B0">
      <w:rPr>
        <w:rStyle w:val="SayfaNumaras"/>
        <w:rFonts w:ascii="Times New Roman" w:hAnsi="Times New Roman" w:cs="Times New Roman"/>
      </w:rPr>
      <w:instrText xml:space="preserve">PAGE  </w:instrText>
    </w:r>
    <w:r w:rsidRPr="006766B0">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6766B0">
      <w:rPr>
        <w:rStyle w:val="SayfaNumaras"/>
        <w:rFonts w:ascii="Times New Roman" w:hAnsi="Times New Roman" w:cs="Times New Roman"/>
      </w:rPr>
      <w:fldChar w:fldCharType="end"/>
    </w:r>
  </w:p>
  <w:p w:rsidR="006766B0" w:rsidRPr="006766B0" w:rsidRDefault="006766B0" w:rsidP="006766B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6B0" w:rsidRDefault="006766B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84E" w:rsidRDefault="0069284E" w:rsidP="006766B0">
      <w:pPr>
        <w:spacing w:after="0" w:line="240" w:lineRule="auto"/>
      </w:pPr>
      <w:r>
        <w:separator/>
      </w:r>
    </w:p>
  </w:footnote>
  <w:footnote w:type="continuationSeparator" w:id="0">
    <w:p w:rsidR="0069284E" w:rsidRDefault="0069284E" w:rsidP="006766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6B0" w:rsidRDefault="006766B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6B0" w:rsidRDefault="006766B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/9</w:t>
    </w:r>
  </w:p>
  <w:p w:rsidR="006766B0" w:rsidRDefault="006766B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2016</w:t>
    </w:r>
    <w:proofErr w:type="gramEnd"/>
    <w:r>
      <w:rPr>
        <w:rFonts w:ascii="Times New Roman" w:hAnsi="Times New Roman" w:cs="Times New Roman"/>
        <w:b/>
      </w:rPr>
      <w:t>/125</w:t>
    </w:r>
  </w:p>
  <w:p w:rsidR="006766B0" w:rsidRPr="006766B0" w:rsidRDefault="006766B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6B0" w:rsidRDefault="006766B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7BFE"/>
    <w:rsid w:val="006766B0"/>
    <w:rsid w:val="0069284E"/>
    <w:rsid w:val="00CE1FB9"/>
    <w:rsid w:val="00E27B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4DB647-1425-435B-8FBF-9B163FB45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766B0"/>
    <w:rPr>
      <w:color w:val="0000FF"/>
      <w:u w:val="single"/>
    </w:rPr>
  </w:style>
  <w:style w:type="paragraph" w:styleId="stbilgi">
    <w:name w:val="header"/>
    <w:basedOn w:val="Normal"/>
    <w:link w:val="stbilgiChar"/>
    <w:uiPriority w:val="99"/>
    <w:unhideWhenUsed/>
    <w:rsid w:val="006766B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766B0"/>
  </w:style>
  <w:style w:type="paragraph" w:styleId="Altbilgi">
    <w:name w:val="footer"/>
    <w:basedOn w:val="Normal"/>
    <w:link w:val="AltbilgiChar"/>
    <w:uiPriority w:val="99"/>
    <w:unhideWhenUsed/>
    <w:rsid w:val="006766B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766B0"/>
  </w:style>
  <w:style w:type="character" w:styleId="SayfaNumaras">
    <w:name w:val="page number"/>
    <w:basedOn w:val="VarsaylanParagrafYazTipi"/>
    <w:uiPriority w:val="99"/>
    <w:semiHidden/>
    <w:unhideWhenUsed/>
    <w:rsid w:val="006766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7197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2109</Words>
  <Characters>12027</Characters>
  <Application>Microsoft Office Word</Application>
  <DocSecurity>0</DocSecurity>
  <Lines>100</Lines>
  <Paragraphs>28</Paragraphs>
  <ScaleCrop>false</ScaleCrop>
  <Company/>
  <LinksUpToDate>false</LinksUpToDate>
  <CharactersWithSpaces>14108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2019-03-12T08:04:00Z</dcterms:created>
  <dcterms:modified xsi:type="dcterms:W3CDTF">2019-03-12T08:07:00Z</dcterms:modified>
</cp:coreProperties>
</file>