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DAC" w:rsidRPr="00CC6DAC" w:rsidRDefault="00CC6DAC" w:rsidP="00CC6D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b/>
          <w:bCs/>
          <w:color w:val="000000"/>
          <w:sz w:val="24"/>
          <w:szCs w:val="30"/>
          <w:lang w:eastAsia="tr-TR"/>
        </w:rPr>
        <w:t>ANAYASA MAHKEMESİ KARARI</w:t>
      </w:r>
    </w:p>
    <w:p w:rsidR="00CC6DAC" w:rsidRP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b/>
          <w:bCs/>
          <w:color w:val="000000"/>
          <w:sz w:val="24"/>
          <w:szCs w:val="19"/>
          <w:lang w:eastAsia="tr-TR"/>
        </w:rPr>
        <w:t> </w:t>
      </w:r>
    </w:p>
    <w:p w:rsidR="00CC6DAC" w:rsidRPr="00CC6DAC" w:rsidRDefault="00CC6DAC" w:rsidP="00CC6DAC">
      <w:pPr>
        <w:shd w:val="clear" w:color="auto" w:fill="FFFFFF"/>
        <w:spacing w:after="0" w:line="240" w:lineRule="auto"/>
        <w:jc w:val="both"/>
        <w:rPr>
          <w:rFonts w:ascii="Times New Roman" w:eastAsia="Times New Roman" w:hAnsi="Times New Roman" w:cs="Times New Roman"/>
          <w:b/>
          <w:color w:val="000000"/>
          <w:sz w:val="24"/>
          <w:lang w:eastAsia="tr-TR"/>
        </w:rPr>
      </w:pPr>
      <w:r w:rsidRPr="00CC6DAC">
        <w:rPr>
          <w:rFonts w:ascii="Times New Roman" w:eastAsia="Times New Roman" w:hAnsi="Times New Roman" w:cs="Times New Roman"/>
          <w:b/>
          <w:color w:val="000000"/>
          <w:sz w:val="24"/>
          <w:lang w:eastAsia="tr-TR"/>
        </w:rPr>
        <w:t xml:space="preserve">Esas Sayısı </w:t>
      </w:r>
      <w:r w:rsidR="005A6D85">
        <w:rPr>
          <w:rFonts w:ascii="Times New Roman" w:eastAsia="Times New Roman" w:hAnsi="Times New Roman" w:cs="Times New Roman"/>
          <w:b/>
          <w:color w:val="000000"/>
          <w:sz w:val="24"/>
          <w:lang w:eastAsia="tr-TR"/>
        </w:rPr>
        <w:t xml:space="preserve">      </w:t>
      </w:r>
      <w:bookmarkStart w:id="0" w:name="_GoBack"/>
      <w:bookmarkEnd w:id="0"/>
      <w:r w:rsidRPr="00CC6DAC">
        <w:rPr>
          <w:rFonts w:ascii="Times New Roman" w:eastAsia="Times New Roman" w:hAnsi="Times New Roman" w:cs="Times New Roman"/>
          <w:b/>
          <w:color w:val="000000"/>
          <w:sz w:val="24"/>
          <w:lang w:eastAsia="tr-TR"/>
        </w:rPr>
        <w:t>:  2015/32</w:t>
      </w:r>
    </w:p>
    <w:p w:rsidR="00CC6DAC" w:rsidRPr="00CC6DAC" w:rsidRDefault="00CC6DAC" w:rsidP="00CC6DAC">
      <w:pPr>
        <w:shd w:val="clear" w:color="auto" w:fill="FFFFFF"/>
        <w:spacing w:after="0" w:line="240" w:lineRule="auto"/>
        <w:jc w:val="both"/>
        <w:rPr>
          <w:rFonts w:ascii="Times New Roman" w:eastAsia="Times New Roman" w:hAnsi="Times New Roman" w:cs="Times New Roman"/>
          <w:b/>
          <w:color w:val="000000"/>
          <w:sz w:val="24"/>
          <w:lang w:eastAsia="tr-TR"/>
        </w:rPr>
      </w:pPr>
      <w:r w:rsidRPr="00CC6DAC">
        <w:rPr>
          <w:rFonts w:ascii="Times New Roman" w:eastAsia="Times New Roman" w:hAnsi="Times New Roman" w:cs="Times New Roman"/>
          <w:b/>
          <w:color w:val="000000"/>
          <w:sz w:val="24"/>
          <w:lang w:eastAsia="tr-TR"/>
        </w:rPr>
        <w:t>Karar Sayısı</w:t>
      </w:r>
      <w:r w:rsidR="005A6D85">
        <w:rPr>
          <w:rFonts w:ascii="Times New Roman" w:eastAsia="Times New Roman" w:hAnsi="Times New Roman" w:cs="Times New Roman"/>
          <w:b/>
          <w:color w:val="000000"/>
          <w:sz w:val="24"/>
          <w:lang w:eastAsia="tr-TR"/>
        </w:rPr>
        <w:t xml:space="preserve">    </w:t>
      </w:r>
      <w:r w:rsidRPr="00CC6DAC">
        <w:rPr>
          <w:rFonts w:ascii="Times New Roman" w:eastAsia="Times New Roman" w:hAnsi="Times New Roman" w:cs="Times New Roman"/>
          <w:b/>
          <w:color w:val="000000"/>
          <w:sz w:val="24"/>
          <w:lang w:eastAsia="tr-TR"/>
        </w:rPr>
        <w:t>:  2015/102</w:t>
      </w:r>
    </w:p>
    <w:p w:rsidR="00CC6DAC" w:rsidRPr="00CC6DAC" w:rsidRDefault="00CC6DAC" w:rsidP="00CC6DAC">
      <w:pPr>
        <w:shd w:val="clear" w:color="auto" w:fill="FFFFFF"/>
        <w:spacing w:after="0" w:line="240" w:lineRule="auto"/>
        <w:jc w:val="both"/>
        <w:rPr>
          <w:rFonts w:ascii="Times New Roman" w:eastAsia="Times New Roman" w:hAnsi="Times New Roman" w:cs="Times New Roman"/>
          <w:b/>
          <w:color w:val="000000"/>
          <w:sz w:val="24"/>
          <w:lang w:eastAsia="tr-TR"/>
        </w:rPr>
      </w:pPr>
      <w:r w:rsidRPr="00CC6DAC">
        <w:rPr>
          <w:rFonts w:ascii="Times New Roman" w:eastAsia="Times New Roman" w:hAnsi="Times New Roman" w:cs="Times New Roman"/>
          <w:b/>
          <w:color w:val="000000"/>
          <w:sz w:val="24"/>
          <w:lang w:eastAsia="tr-TR"/>
        </w:rPr>
        <w:t>Karar Tarihi   :  12.11.2015</w:t>
      </w:r>
    </w:p>
    <w:p w:rsidR="00CC6DAC" w:rsidRDefault="00CC6DAC" w:rsidP="00CC6DAC">
      <w:pPr>
        <w:shd w:val="clear" w:color="auto" w:fill="FFFFFF"/>
        <w:spacing w:after="0" w:line="240" w:lineRule="auto"/>
        <w:jc w:val="both"/>
        <w:rPr>
          <w:rFonts w:ascii="Times New Roman" w:eastAsia="Times New Roman" w:hAnsi="Times New Roman" w:cs="Times New Roman"/>
          <w:b/>
          <w:color w:val="000000"/>
          <w:sz w:val="24"/>
          <w:lang w:eastAsia="tr-TR"/>
        </w:rPr>
      </w:pPr>
      <w:r w:rsidRPr="00CC6DAC">
        <w:rPr>
          <w:rFonts w:ascii="Times New Roman" w:eastAsia="Times New Roman" w:hAnsi="Times New Roman" w:cs="Times New Roman"/>
          <w:b/>
          <w:color w:val="000000"/>
          <w:sz w:val="24"/>
          <w:lang w:eastAsia="tr-TR"/>
        </w:rPr>
        <w:t>R.G. Tarih-Sayı   :  02.12.2015 - 29550</w:t>
      </w:r>
      <w:r w:rsidRPr="00CC6DAC">
        <w:rPr>
          <w:rFonts w:ascii="Times New Roman" w:eastAsia="Times New Roman" w:hAnsi="Times New Roman" w:cs="Times New Roman"/>
          <w:b/>
          <w:color w:val="000000"/>
          <w:sz w:val="24"/>
          <w:lang w:eastAsia="tr-TR"/>
        </w:rPr>
        <w:t> </w:t>
      </w:r>
    </w:p>
    <w:p w:rsidR="00CC6DAC" w:rsidRDefault="00CC6DAC" w:rsidP="00CC6DAC">
      <w:pPr>
        <w:shd w:val="clear" w:color="auto" w:fill="FFFFFF"/>
        <w:spacing w:after="0" w:line="240" w:lineRule="auto"/>
        <w:jc w:val="both"/>
        <w:rPr>
          <w:rFonts w:ascii="Times New Roman" w:eastAsia="Times New Roman" w:hAnsi="Times New Roman" w:cs="Times New Roman"/>
          <w:color w:val="000000"/>
          <w:sz w:val="24"/>
          <w:lang w:eastAsia="tr-TR"/>
        </w:rPr>
      </w:pP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b/>
          <w:bCs/>
          <w:color w:val="000000"/>
          <w:sz w:val="24"/>
          <w:lang w:eastAsia="tr-TR"/>
        </w:rPr>
        <w:t>İTİRAZ YOLUNA BAŞVURAN:</w:t>
      </w:r>
      <w:r w:rsidRPr="00CC6DAC">
        <w:rPr>
          <w:rFonts w:ascii="Times New Roman" w:eastAsia="Times New Roman" w:hAnsi="Times New Roman" w:cs="Times New Roman"/>
          <w:b/>
          <w:bCs/>
          <w:color w:val="000000"/>
          <w:sz w:val="24"/>
          <w:szCs w:val="19"/>
          <w:lang w:eastAsia="tr-TR"/>
        </w:rPr>
        <w:t> </w:t>
      </w:r>
      <w:r w:rsidRPr="00CC6DAC">
        <w:rPr>
          <w:rFonts w:ascii="Times New Roman" w:eastAsia="Times New Roman" w:hAnsi="Times New Roman" w:cs="Times New Roman"/>
          <w:color w:val="000000"/>
          <w:sz w:val="24"/>
          <w:szCs w:val="19"/>
          <w:lang w:eastAsia="tr-TR"/>
        </w:rPr>
        <w:t>Batman 2. Asliye Ceza Mahkemesi</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b/>
          <w:bCs/>
          <w:color w:val="000000"/>
          <w:sz w:val="24"/>
          <w:lang w:eastAsia="tr-TR"/>
        </w:rPr>
        <w:t>İTİRAZIN KONUSU:</w:t>
      </w:r>
      <w:r w:rsidRPr="00CC6DAC">
        <w:rPr>
          <w:rFonts w:ascii="Times New Roman" w:eastAsia="Times New Roman" w:hAnsi="Times New Roman" w:cs="Times New Roman"/>
          <w:b/>
          <w:bCs/>
          <w:color w:val="000000"/>
          <w:sz w:val="24"/>
          <w:szCs w:val="19"/>
          <w:lang w:eastAsia="tr-TR"/>
        </w:rPr>
        <w:t> </w:t>
      </w:r>
      <w:r w:rsidRPr="00CC6DAC">
        <w:rPr>
          <w:rFonts w:ascii="Times New Roman" w:eastAsia="Times New Roman" w:hAnsi="Times New Roman" w:cs="Times New Roman"/>
          <w:color w:val="000000"/>
          <w:sz w:val="24"/>
          <w:szCs w:val="19"/>
          <w:lang w:eastAsia="tr-TR"/>
        </w:rPr>
        <w:t>26.9.2004 tarihli ve 5237 sayılı Türk Ceza Kanunu'nun, 21.2.2014 tarihli ve 6526 sayılı Kanun'un 4. maddesiyle değişik 136. maddesinin (1) numaralı fıkrasının, Anayasa'nın 38. maddesine aykırılığı ileri sürülerek iptaline karar verilmesi talebidir.</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b/>
          <w:bCs/>
          <w:color w:val="000000"/>
          <w:sz w:val="24"/>
          <w:lang w:eastAsia="tr-TR"/>
        </w:rPr>
        <w:t>OLAY:</w:t>
      </w:r>
      <w:r w:rsidRPr="00CC6DAC">
        <w:rPr>
          <w:rFonts w:ascii="Times New Roman" w:eastAsia="Times New Roman" w:hAnsi="Times New Roman" w:cs="Times New Roman"/>
          <w:color w:val="000000"/>
          <w:sz w:val="24"/>
          <w:szCs w:val="19"/>
          <w:lang w:eastAsia="tr-TR"/>
        </w:rPr>
        <w:t> Sanık hakkında kişisel verileri hukuka aykırı olarak ele geçirme ve yayma suçundan açılan kamu davasında, itiraz konusu kuralın Anayasa'ya aykırı olduğu kanısına varan Mahkeme, iptali için başvurmuştur.</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b/>
          <w:bCs/>
          <w:color w:val="000000"/>
          <w:sz w:val="24"/>
          <w:lang w:eastAsia="tr-TR"/>
        </w:rPr>
        <w:t>I- İPTALİ İSTENİLEN KANUN HÜKMÜ</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Kanun'un itiraz konusu 136. maddesi şöyledir:</w:t>
      </w:r>
    </w:p>
    <w:p w:rsidR="00CC6DAC" w:rsidRP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b/>
          <w:bCs/>
          <w:i/>
          <w:iCs/>
          <w:color w:val="000000"/>
          <w:sz w:val="24"/>
          <w:lang w:eastAsia="tr-TR"/>
        </w:rPr>
        <w:t>"Madde 136-</w:t>
      </w:r>
      <w:r w:rsidRPr="00CC6DAC">
        <w:rPr>
          <w:rFonts w:ascii="Times New Roman" w:eastAsia="Times New Roman" w:hAnsi="Times New Roman" w:cs="Times New Roman"/>
          <w:b/>
          <w:bCs/>
          <w:i/>
          <w:iCs/>
          <w:color w:val="000000"/>
          <w:sz w:val="24"/>
          <w:szCs w:val="19"/>
          <w:lang w:eastAsia="tr-TR"/>
        </w:rPr>
        <w:t> (1) Kişisel verileri, hukuka aykırı olarak bir başkasına veren, yayan veya ele geçiren kişi, iki yıldan dört yıla kadar hapis cezası ile cezalandırılır."</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b/>
          <w:bCs/>
          <w:color w:val="000000"/>
          <w:sz w:val="24"/>
          <w:lang w:eastAsia="tr-TR"/>
        </w:rPr>
        <w:t>II- İLK İNCELEME</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1. Anayasa Mahkemesi İçtüzüğü hükümleri gereğince Zühtü ARSLAN, Serruh KALELİ, Alparslan ALTAN, Serdar ÖZGÜLDÜR, Osman Alifeyyaz PAKSÜT, Recep KÖMÜRCÜ, Burhan ÜSTÜN, Engin YILDIRIM, Nuri NECİPOĞLU, Hicabi DURSUN, Celal Mümtaz AKINCI, Erdal TERCAN, Muammer TOPAL, M. Emin KUZ, Hasan Tahsin GÖKCAN ve Kadir ÖZKAYA'nın katılımlarıyla 1.4.2015 tarihinde yapılan ilk inceleme toplantısında, dosyada eksiklik bulunmadığından işin esasının incelenmesine OYBİRLİĞİYLE karar verilmiştir.</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b/>
          <w:bCs/>
          <w:color w:val="000000"/>
          <w:sz w:val="24"/>
          <w:lang w:eastAsia="tr-TR"/>
        </w:rPr>
        <w:t>III- ESASIN İNCELENMESİ</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2. Başvuru kararı ve ekleri, Raportör Berrak YILMAZ tarafından hazırlanan işin esasına ilişkin rapor, itiraz konusu kanun hükmü, dayanılan ve ilgili görülen Anayasa kuralları ve bunların gerekçeleri ile diğer yasama belgeleri okunup incelendikten sonra gereği görüşülüp düşünüldü.</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b/>
          <w:bCs/>
          <w:color w:val="000000"/>
          <w:sz w:val="24"/>
          <w:lang w:eastAsia="tr-TR"/>
        </w:rPr>
        <w:t>A- İtirazın Gerekçesi </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3. Başvuru kararında özetle, ceza mevzuatında kişisel verilerle ilgili bir tanım ve sınırlandırma yapılmadığından, itiraz konusu kuralın suçta ve cezada kanunilik ve belirlilik ilkelerine ve Anayasa'nın 38. maddesine aykırı olduğu ileri sürülmüştür.</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b/>
          <w:bCs/>
          <w:color w:val="000000"/>
          <w:sz w:val="24"/>
          <w:lang w:eastAsia="tr-TR"/>
        </w:rPr>
        <w:lastRenderedPageBreak/>
        <w:t>B- Anayasa'ya Aykırılık Sorunu</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4. 6216 sayılı Anayasa Mahkemesinin Kuruluşu ve Yargılama Usulleri Hakkında Kanun'un 43. maddesi uyarınca, kural Anayasa'nın 20. maddesi yönünden de incelenmiştir.</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5. İtiraz konusu kuralla, kişisel verileri, hukuka aykırı olarak bir başkasına veren, yayan veya ele geçiren kişinin, iki yıldan dört yıla kadar hapis cezası ile cezalandırılması öngörülmektedir.</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6. Anayasa'nın 20. maddesinin birinci fıkrasında, herkesin, özel hayatına ve aile hayatına saygı gösterilmesini isteme hakkına sahip olduğu, özel hayatın ve aile hayatının gizliliğine dokunulamayacağı belirtilmiş; üçüncü fıkrasında da "</w:t>
      </w:r>
      <w:r w:rsidRPr="00CC6DAC">
        <w:rPr>
          <w:rFonts w:ascii="Times New Roman" w:eastAsia="Times New Roman" w:hAnsi="Times New Roman" w:cs="Times New Roman"/>
          <w:i/>
          <w:iCs/>
          <w:color w:val="000000"/>
          <w:sz w:val="24"/>
          <w:szCs w:val="19"/>
          <w:lang w:eastAsia="tr-TR"/>
        </w:rPr>
        <w:t>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r w:rsidRPr="00CC6DAC">
        <w:rPr>
          <w:rFonts w:ascii="Times New Roman" w:eastAsia="Times New Roman" w:hAnsi="Times New Roman" w:cs="Times New Roman"/>
          <w:color w:val="000000"/>
          <w:sz w:val="24"/>
          <w:szCs w:val="19"/>
          <w:lang w:eastAsia="tr-TR"/>
        </w:rPr>
        <w:t>" denilerek kişisel verilerin korunması, özel hayatın gizliliğinin korunması kapsamında güvenceye kavuşturulmuştur.</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7. Anayasa'nın 38. maddesinin ilk fıkrasında "</w:t>
      </w:r>
      <w:r w:rsidRPr="00CC6DAC">
        <w:rPr>
          <w:rFonts w:ascii="Times New Roman" w:eastAsia="Times New Roman" w:hAnsi="Times New Roman" w:cs="Times New Roman"/>
          <w:i/>
          <w:iCs/>
          <w:color w:val="000000"/>
          <w:sz w:val="24"/>
          <w:szCs w:val="19"/>
          <w:lang w:eastAsia="tr-TR"/>
        </w:rPr>
        <w:t>Kimse, işlendiği zaman yürürlükte bulunan kanunun suç saymadığı bir fiilden dolayı cezalandırılamaz...</w:t>
      </w:r>
      <w:r w:rsidRPr="00CC6DAC">
        <w:rPr>
          <w:rFonts w:ascii="Times New Roman" w:eastAsia="Times New Roman" w:hAnsi="Times New Roman" w:cs="Times New Roman"/>
          <w:color w:val="000000"/>
          <w:sz w:val="24"/>
          <w:szCs w:val="19"/>
          <w:lang w:eastAsia="tr-TR"/>
        </w:rPr>
        <w:t>" denilerek "</w:t>
      </w:r>
      <w:r w:rsidRPr="00CC6DAC">
        <w:rPr>
          <w:rFonts w:ascii="Times New Roman" w:eastAsia="Times New Roman" w:hAnsi="Times New Roman" w:cs="Times New Roman"/>
          <w:i/>
          <w:iCs/>
          <w:color w:val="000000"/>
          <w:sz w:val="24"/>
          <w:szCs w:val="19"/>
          <w:lang w:eastAsia="tr-TR"/>
        </w:rPr>
        <w:t>suçun kanuniliği</w:t>
      </w:r>
      <w:r w:rsidRPr="00CC6DAC">
        <w:rPr>
          <w:rFonts w:ascii="Times New Roman" w:eastAsia="Times New Roman" w:hAnsi="Times New Roman" w:cs="Times New Roman"/>
          <w:color w:val="000000"/>
          <w:sz w:val="24"/>
          <w:szCs w:val="19"/>
          <w:lang w:eastAsia="tr-TR"/>
        </w:rPr>
        <w:t>"; üçüncü fıkrasında da "</w:t>
      </w:r>
      <w:r w:rsidRPr="00CC6DAC">
        <w:rPr>
          <w:rFonts w:ascii="Times New Roman" w:eastAsia="Times New Roman" w:hAnsi="Times New Roman" w:cs="Times New Roman"/>
          <w:i/>
          <w:iCs/>
          <w:color w:val="000000"/>
          <w:sz w:val="24"/>
          <w:szCs w:val="19"/>
          <w:lang w:eastAsia="tr-TR"/>
        </w:rPr>
        <w:t>Ceza ve ceza yerine geçen güvenlik tedbirleri ancak kanunla konulur.</w:t>
      </w:r>
      <w:r w:rsidRPr="00CC6DAC">
        <w:rPr>
          <w:rFonts w:ascii="Times New Roman" w:eastAsia="Times New Roman" w:hAnsi="Times New Roman" w:cs="Times New Roman"/>
          <w:color w:val="000000"/>
          <w:sz w:val="24"/>
          <w:szCs w:val="19"/>
          <w:lang w:eastAsia="tr-TR"/>
        </w:rPr>
        <w:t>" denilerek, "</w:t>
      </w:r>
      <w:r w:rsidRPr="00CC6DAC">
        <w:rPr>
          <w:rFonts w:ascii="Times New Roman" w:eastAsia="Times New Roman" w:hAnsi="Times New Roman" w:cs="Times New Roman"/>
          <w:i/>
          <w:iCs/>
          <w:color w:val="000000"/>
          <w:sz w:val="24"/>
          <w:szCs w:val="19"/>
          <w:lang w:eastAsia="tr-TR"/>
        </w:rPr>
        <w:t>cezanın kanuniliği</w:t>
      </w:r>
      <w:r w:rsidRPr="00CC6DAC">
        <w:rPr>
          <w:rFonts w:ascii="Times New Roman" w:eastAsia="Times New Roman" w:hAnsi="Times New Roman" w:cs="Times New Roman"/>
          <w:color w:val="000000"/>
          <w:sz w:val="24"/>
          <w:szCs w:val="19"/>
          <w:lang w:eastAsia="tr-TR"/>
        </w:rPr>
        <w:t>" ilkesi getirilmiştir. Aynı şekilde 5237 sayılı Türk Ceza Kanunu'nun 2. maddesinde yer alan </w:t>
      </w:r>
      <w:r w:rsidRPr="00CC6DAC">
        <w:rPr>
          <w:rFonts w:ascii="Times New Roman" w:eastAsia="Times New Roman" w:hAnsi="Times New Roman" w:cs="Times New Roman"/>
          <w:i/>
          <w:iCs/>
          <w:color w:val="000000"/>
          <w:sz w:val="24"/>
          <w:szCs w:val="19"/>
          <w:lang w:eastAsia="tr-TR"/>
        </w:rPr>
        <w:t>"Kanunun açıkça suç saymadığı bir fiil için kimseye ceza verilemez ve güvenlik tedbiri uygulanamaz. Kanunda yazılı cezalardan ve güvenlik tedbirlerinden başka bir ceza ve güvenlik tedbirine hükmolunamaz."</w:t>
      </w:r>
      <w:r w:rsidRPr="00CC6DAC">
        <w:rPr>
          <w:rFonts w:ascii="Times New Roman" w:eastAsia="Times New Roman" w:hAnsi="Times New Roman" w:cs="Times New Roman"/>
          <w:color w:val="000000"/>
          <w:sz w:val="24"/>
          <w:szCs w:val="19"/>
          <w:lang w:eastAsia="tr-TR"/>
        </w:rPr>
        <w:t> hükmü ile ceza hukukumuzda da  </w:t>
      </w:r>
      <w:r w:rsidRPr="00CC6DAC">
        <w:rPr>
          <w:rFonts w:ascii="Times New Roman" w:eastAsia="Times New Roman" w:hAnsi="Times New Roman" w:cs="Times New Roman"/>
          <w:i/>
          <w:iCs/>
          <w:color w:val="000000"/>
          <w:sz w:val="24"/>
          <w:szCs w:val="19"/>
          <w:lang w:eastAsia="tr-TR"/>
        </w:rPr>
        <w:t>"suçta ve cezada kanunilik"</w:t>
      </w:r>
      <w:r w:rsidRPr="00CC6DAC">
        <w:rPr>
          <w:rFonts w:ascii="Times New Roman" w:eastAsia="Times New Roman" w:hAnsi="Times New Roman" w:cs="Times New Roman"/>
          <w:color w:val="000000"/>
          <w:sz w:val="24"/>
          <w:szCs w:val="19"/>
          <w:lang w:eastAsia="tr-TR"/>
        </w:rPr>
        <w:t> ilkesi kabul edilmiştir. Bu ilke uyarınca hangi eylemlerin yasaklandığı ve bu yasak eylemlere verilecek cezaların hiçbir kuşkuya yer bırakmayacak biçimde yasada gösterilmesi, kuralın açık, anlaşılır ve sınırlarının belli olması gerekmektedir. Kişilerin suç sayılan eylemleri önceden bilmeleri gerektiği düşüncesine dayanan bu ilke, aynı zamanda temel hak ve özgürlükleri en geniş biçimiyle gerçekleştirip güvence altına almakla yükümlü olan hukuk devletinin esas aldığı değerlerden olup, uluslararası hukukta ve insan hakları belgelerinde de özel bir yere ve öneme sahip bulunmaktadır. Kanunilik ilkesi, özgürlüğün sınırlarının önceden bilinerek, insanın davranışlarını bu çerçevede düzenlemesini temin için getirilmiştir. Kanunilik ilkesi aynı zamanda kıyas yoluyla yeni bir suç ihdasına ve ceza normlarının genişletilmesine engel oluşturur.</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8. 5237 sayılı Kanun'un </w:t>
      </w:r>
      <w:r w:rsidRPr="00CC6DAC">
        <w:rPr>
          <w:rFonts w:ascii="Times New Roman" w:eastAsia="Times New Roman" w:hAnsi="Times New Roman" w:cs="Times New Roman"/>
          <w:i/>
          <w:iCs/>
          <w:color w:val="000000"/>
          <w:sz w:val="24"/>
          <w:szCs w:val="19"/>
          <w:lang w:eastAsia="tr-TR"/>
        </w:rPr>
        <w:t>"Kişisel verilerin kaydedilmesi"</w:t>
      </w:r>
      <w:r w:rsidRPr="00CC6DAC">
        <w:rPr>
          <w:rFonts w:ascii="Times New Roman" w:eastAsia="Times New Roman" w:hAnsi="Times New Roman" w:cs="Times New Roman"/>
          <w:color w:val="000000"/>
          <w:sz w:val="24"/>
          <w:szCs w:val="19"/>
          <w:lang w:eastAsia="tr-TR"/>
        </w:rPr>
        <w:t> başlıklı 135. maddesinin gerekçesinde, gerçek kişiyle ilgili her türlü bilginin kişisel veri olarak kabul edilmesi gerektiği belirtilmiştir. Ayrıca, Kanun'un 134. ilâ 139. maddeleri arasında kişisel verilerin korunmasına yönelik hükümler yer almaktadır. Söz konusu maddelerde kişisel verilerin açık bir tanımı yer almamakla birlikte kişisel verilere yönelik olarak </w:t>
      </w:r>
      <w:r w:rsidRPr="00CC6DAC">
        <w:rPr>
          <w:rFonts w:ascii="Times New Roman" w:eastAsia="Times New Roman" w:hAnsi="Times New Roman" w:cs="Times New Roman"/>
          <w:i/>
          <w:iCs/>
          <w:color w:val="000000"/>
          <w:sz w:val="24"/>
          <w:szCs w:val="19"/>
          <w:lang w:eastAsia="tr-TR"/>
        </w:rPr>
        <w:t>"kişilerin özel hayatına ilişkin görüntü veya sesler</w:t>
      </w:r>
      <w:r w:rsidRPr="00CC6DAC">
        <w:rPr>
          <w:rFonts w:ascii="Times New Roman" w:eastAsia="Times New Roman" w:hAnsi="Times New Roman" w:cs="Times New Roman"/>
          <w:color w:val="000000"/>
          <w:sz w:val="24"/>
          <w:szCs w:val="19"/>
          <w:lang w:eastAsia="tr-TR"/>
        </w:rPr>
        <w:t>", "</w:t>
      </w:r>
      <w:r w:rsidRPr="00CC6DAC">
        <w:rPr>
          <w:rFonts w:ascii="Times New Roman" w:eastAsia="Times New Roman" w:hAnsi="Times New Roman" w:cs="Times New Roman"/>
          <w:i/>
          <w:iCs/>
          <w:color w:val="000000"/>
          <w:sz w:val="24"/>
          <w:szCs w:val="19"/>
          <w:lang w:eastAsia="tr-TR"/>
        </w:rPr>
        <w:t>siyasi, felsefi veya dini görüş", "ırki köken", "ahlaki eğilim", "cinsel yaşam", "sağlık durumu" </w:t>
      </w:r>
      <w:r w:rsidRPr="00CC6DAC">
        <w:rPr>
          <w:rFonts w:ascii="Times New Roman" w:eastAsia="Times New Roman" w:hAnsi="Times New Roman" w:cs="Times New Roman"/>
          <w:color w:val="000000"/>
          <w:sz w:val="24"/>
          <w:szCs w:val="19"/>
          <w:lang w:eastAsia="tr-TR"/>
        </w:rPr>
        <w:t>ve</w:t>
      </w:r>
      <w:r w:rsidRPr="00CC6DAC">
        <w:rPr>
          <w:rFonts w:ascii="Times New Roman" w:eastAsia="Times New Roman" w:hAnsi="Times New Roman" w:cs="Times New Roman"/>
          <w:i/>
          <w:iCs/>
          <w:color w:val="000000"/>
          <w:sz w:val="24"/>
          <w:szCs w:val="19"/>
          <w:lang w:eastAsia="tr-TR"/>
        </w:rPr>
        <w:t> "sendikal bağlantılar</w:t>
      </w:r>
      <w:r w:rsidRPr="00CC6DAC">
        <w:rPr>
          <w:rFonts w:ascii="Times New Roman" w:eastAsia="Times New Roman" w:hAnsi="Times New Roman" w:cs="Times New Roman"/>
          <w:color w:val="000000"/>
          <w:sz w:val="24"/>
          <w:szCs w:val="19"/>
          <w:lang w:eastAsia="tr-TR"/>
        </w:rPr>
        <w:t>" gibi kavramlara yer verilmektedir.</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9. Anayasa Mahkemesinin kararlarında da belirtildiği üzere, </w:t>
      </w:r>
      <w:r w:rsidRPr="00CC6DAC">
        <w:rPr>
          <w:rFonts w:ascii="Times New Roman" w:eastAsia="Times New Roman" w:hAnsi="Times New Roman" w:cs="Times New Roman"/>
          <w:i/>
          <w:iCs/>
          <w:color w:val="000000"/>
          <w:sz w:val="24"/>
          <w:szCs w:val="19"/>
          <w:lang w:eastAsia="tr-TR"/>
        </w:rPr>
        <w:t>"kişisel veri</w:t>
      </w:r>
      <w:r w:rsidRPr="00CC6DAC">
        <w:rPr>
          <w:rFonts w:ascii="Times New Roman" w:eastAsia="Times New Roman" w:hAnsi="Times New Roman" w:cs="Times New Roman"/>
          <w:color w:val="000000"/>
          <w:sz w:val="24"/>
          <w:szCs w:val="19"/>
          <w:lang w:eastAsia="tr-TR"/>
        </w:rPr>
        <w:t>", </w:t>
      </w:r>
      <w:r w:rsidRPr="00CC6DAC">
        <w:rPr>
          <w:rFonts w:ascii="Times New Roman" w:eastAsia="Times New Roman" w:hAnsi="Times New Roman" w:cs="Times New Roman"/>
          <w:i/>
          <w:iCs/>
          <w:color w:val="000000"/>
          <w:sz w:val="24"/>
          <w:szCs w:val="19"/>
          <w:lang w:eastAsia="tr-TR"/>
        </w:rPr>
        <w:t xml:space="preserve">"belirli veya kimliği belirlenebilir olmak şartıyla, bir kişiye ilişkin bütün bilgileri ifade etmektedir. Bu bağlamda adı, soyadı, doğum tarihi ve doğum yeri gibi bireyin sadece kimliğini ortaya koyan bilgiler değil; telefon numarası, motorlu taşıt plakası, sosyal güvenlik numarası, pasaport </w:t>
      </w:r>
      <w:r w:rsidRPr="00CC6DAC">
        <w:rPr>
          <w:rFonts w:ascii="Times New Roman" w:eastAsia="Times New Roman" w:hAnsi="Times New Roman" w:cs="Times New Roman"/>
          <w:i/>
          <w:iCs/>
          <w:color w:val="000000"/>
          <w:sz w:val="24"/>
          <w:szCs w:val="19"/>
          <w:lang w:eastAsia="tr-TR"/>
        </w:rPr>
        <w:lastRenderedPageBreak/>
        <w:t>numarası, özgeçmiş, resim, görüntü ve ses kayıtları, parmak izleri, IP adresi, e-posta adresi, hobiler, tercihler, etkileşimde bulunulan kişiler, grup üyelikleri, aile bilgileri, sağlık bilgileri gibi kişiyi doğrudan veya dolaylı olarak belirlenebilir kılan tüm veriler" </w:t>
      </w:r>
      <w:r w:rsidRPr="00CC6DAC">
        <w:rPr>
          <w:rFonts w:ascii="Times New Roman" w:eastAsia="Times New Roman" w:hAnsi="Times New Roman" w:cs="Times New Roman"/>
          <w:color w:val="000000"/>
          <w:sz w:val="24"/>
          <w:szCs w:val="19"/>
          <w:lang w:eastAsia="tr-TR"/>
        </w:rPr>
        <w:t>kişisel veri olarak</w:t>
      </w:r>
      <w:r w:rsidRPr="00CC6DAC">
        <w:rPr>
          <w:rFonts w:ascii="Times New Roman" w:eastAsia="Times New Roman" w:hAnsi="Times New Roman" w:cs="Times New Roman"/>
          <w:i/>
          <w:iCs/>
          <w:color w:val="000000"/>
          <w:sz w:val="24"/>
          <w:szCs w:val="19"/>
          <w:lang w:eastAsia="tr-TR"/>
        </w:rPr>
        <w:t> </w:t>
      </w:r>
      <w:r w:rsidRPr="00CC6DAC">
        <w:rPr>
          <w:rFonts w:ascii="Times New Roman" w:eastAsia="Times New Roman" w:hAnsi="Times New Roman" w:cs="Times New Roman"/>
          <w:color w:val="000000"/>
          <w:sz w:val="24"/>
          <w:szCs w:val="19"/>
          <w:lang w:eastAsia="tr-TR"/>
        </w:rPr>
        <w:t> kabul edilmektedir (E.2013/122, K.2014/74, 9.4.2014; E.2014/149, K.2014/151, 2.10.2014; E.2013/84, K.2014/183, 4.12.2014; E.2014/74, K.2014/201, 25.12.2014; E.2014/180, K.2015/30, 19.3.2015).</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10. Türkiye'nin imzaladığı ancak uygulama kanununun yürürlüğe konmaması nedeniyle henüz taraf olmadığı 1981 tarihli ve 108 sayılı Kişisel Verilerin Otomatik İşleme Tabi Tutulması Karşısında Kişilerin Korunmasına Dair Avrupa Konseyi Sözleşmesi'nin 2. maddesinde </w:t>
      </w:r>
      <w:r w:rsidRPr="00CC6DAC">
        <w:rPr>
          <w:rFonts w:ascii="Times New Roman" w:eastAsia="Times New Roman" w:hAnsi="Times New Roman" w:cs="Times New Roman"/>
          <w:i/>
          <w:iCs/>
          <w:color w:val="000000"/>
          <w:sz w:val="24"/>
          <w:szCs w:val="19"/>
          <w:lang w:eastAsia="tr-TR"/>
        </w:rPr>
        <w:t>"kişisel veri"</w:t>
      </w:r>
      <w:r w:rsidRPr="00CC6DAC">
        <w:rPr>
          <w:rFonts w:ascii="Times New Roman" w:eastAsia="Times New Roman" w:hAnsi="Times New Roman" w:cs="Times New Roman"/>
          <w:color w:val="000000"/>
          <w:sz w:val="24"/>
          <w:szCs w:val="19"/>
          <w:lang w:eastAsia="tr-TR"/>
        </w:rPr>
        <w:t>, </w:t>
      </w:r>
      <w:r w:rsidRPr="00CC6DAC">
        <w:rPr>
          <w:rFonts w:ascii="Times New Roman" w:eastAsia="Times New Roman" w:hAnsi="Times New Roman" w:cs="Times New Roman"/>
          <w:i/>
          <w:iCs/>
          <w:color w:val="000000"/>
          <w:sz w:val="24"/>
          <w:szCs w:val="19"/>
          <w:lang w:eastAsia="tr-TR"/>
        </w:rPr>
        <w:t>"kimliği belirli veya belirlenebilecek verinin öznesi olan gerçek kişiyle ilgili tüm bilgiler" </w:t>
      </w:r>
      <w:r w:rsidRPr="00CC6DAC">
        <w:rPr>
          <w:rFonts w:ascii="Times New Roman" w:eastAsia="Times New Roman" w:hAnsi="Times New Roman" w:cs="Times New Roman"/>
          <w:color w:val="000000"/>
          <w:sz w:val="24"/>
          <w:szCs w:val="19"/>
          <w:lang w:eastAsia="tr-TR"/>
        </w:rPr>
        <w:t>şeklinde tanımlanmaktadır. Sözleşme'nin </w:t>
      </w:r>
      <w:r w:rsidRPr="00CC6DAC">
        <w:rPr>
          <w:rFonts w:ascii="Times New Roman" w:eastAsia="Times New Roman" w:hAnsi="Times New Roman" w:cs="Times New Roman"/>
          <w:i/>
          <w:iCs/>
          <w:color w:val="000000"/>
          <w:sz w:val="24"/>
          <w:szCs w:val="19"/>
          <w:lang w:eastAsia="tr-TR"/>
        </w:rPr>
        <w:t>"özellikli veri kategorileri" </w:t>
      </w:r>
      <w:r w:rsidRPr="00CC6DAC">
        <w:rPr>
          <w:rFonts w:ascii="Times New Roman" w:eastAsia="Times New Roman" w:hAnsi="Times New Roman" w:cs="Times New Roman"/>
          <w:color w:val="000000"/>
          <w:sz w:val="24"/>
          <w:szCs w:val="19"/>
          <w:lang w:eastAsia="tr-TR"/>
        </w:rPr>
        <w:t>başlıklı</w:t>
      </w:r>
      <w:r w:rsidRPr="00CC6DAC">
        <w:rPr>
          <w:rFonts w:ascii="Times New Roman" w:eastAsia="Times New Roman" w:hAnsi="Times New Roman" w:cs="Times New Roman"/>
          <w:i/>
          <w:iCs/>
          <w:color w:val="000000"/>
          <w:sz w:val="24"/>
          <w:szCs w:val="19"/>
          <w:lang w:eastAsia="tr-TR"/>
        </w:rPr>
        <w:t> </w:t>
      </w:r>
      <w:r w:rsidRPr="00CC6DAC">
        <w:rPr>
          <w:rFonts w:ascii="Times New Roman" w:eastAsia="Times New Roman" w:hAnsi="Times New Roman" w:cs="Times New Roman"/>
          <w:color w:val="000000"/>
          <w:sz w:val="24"/>
          <w:szCs w:val="19"/>
          <w:lang w:eastAsia="tr-TR"/>
        </w:rPr>
        <w:t>6. maddesinde ise "</w:t>
      </w:r>
      <w:r w:rsidRPr="00CC6DAC">
        <w:rPr>
          <w:rFonts w:ascii="Times New Roman" w:eastAsia="Times New Roman" w:hAnsi="Times New Roman" w:cs="Times New Roman"/>
          <w:i/>
          <w:iCs/>
          <w:color w:val="000000"/>
          <w:sz w:val="24"/>
          <w:szCs w:val="19"/>
          <w:lang w:eastAsia="tr-TR"/>
        </w:rPr>
        <w:t>iç hukukta uygun güvenceler sağlanmadıkça, ırk menşeini, politik düşünceleri, dinî veya diğer inançları ortaya koyan kişisel nitelikteki verilerle sağlık veya cinsel yaşamla ilgili kişisel nitelikteki veriler ve ceza mahkûmiyetleri, otomatik bilgi işlemine tâbi tutulamazlar</w:t>
      </w:r>
      <w:r w:rsidRPr="00CC6DAC">
        <w:rPr>
          <w:rFonts w:ascii="Times New Roman" w:eastAsia="Times New Roman" w:hAnsi="Times New Roman" w:cs="Times New Roman"/>
          <w:color w:val="000000"/>
          <w:sz w:val="24"/>
          <w:szCs w:val="19"/>
          <w:lang w:eastAsia="tr-TR"/>
        </w:rPr>
        <w:t>" demek suretiyle söz konusu verilerin kişisel veri kapsamında olduğunu belirlemektedir. Ekonomik Kalkınma ve İşbirliği Örgütü'nün (OECD)</w:t>
      </w:r>
      <w:r w:rsidRPr="00CC6DAC">
        <w:rPr>
          <w:rFonts w:ascii="Times New Roman" w:eastAsia="Times New Roman" w:hAnsi="Times New Roman" w:cs="Times New Roman"/>
          <w:b/>
          <w:bCs/>
          <w:color w:val="000000"/>
          <w:sz w:val="24"/>
          <w:szCs w:val="19"/>
          <w:lang w:eastAsia="tr-TR"/>
        </w:rPr>
        <w:t> </w:t>
      </w:r>
      <w:r w:rsidRPr="00CC6DAC">
        <w:rPr>
          <w:rFonts w:ascii="Times New Roman" w:eastAsia="Times New Roman" w:hAnsi="Times New Roman" w:cs="Times New Roman"/>
          <w:color w:val="000000"/>
          <w:sz w:val="24"/>
          <w:szCs w:val="19"/>
          <w:lang w:eastAsia="tr-TR"/>
        </w:rPr>
        <w:t>yayınladığı Kişisel Verilerin Korunması Rehber İlkeleri'nde </w:t>
      </w:r>
      <w:r w:rsidRPr="00CC6DAC">
        <w:rPr>
          <w:rFonts w:ascii="Times New Roman" w:eastAsia="Times New Roman" w:hAnsi="Times New Roman" w:cs="Times New Roman"/>
          <w:i/>
          <w:iCs/>
          <w:color w:val="000000"/>
          <w:sz w:val="24"/>
          <w:szCs w:val="19"/>
          <w:lang w:eastAsia="tr-TR"/>
        </w:rPr>
        <w:t>"kişisel veri", </w:t>
      </w:r>
      <w:r w:rsidRPr="00CC6DAC">
        <w:rPr>
          <w:rFonts w:ascii="Times New Roman" w:eastAsia="Times New Roman" w:hAnsi="Times New Roman" w:cs="Times New Roman"/>
          <w:color w:val="000000"/>
          <w:sz w:val="24"/>
          <w:szCs w:val="19"/>
          <w:lang w:eastAsia="tr-TR"/>
        </w:rPr>
        <w:t> "</w:t>
      </w:r>
      <w:r w:rsidRPr="00CC6DAC">
        <w:rPr>
          <w:rFonts w:ascii="Times New Roman" w:eastAsia="Times New Roman" w:hAnsi="Times New Roman" w:cs="Times New Roman"/>
          <w:i/>
          <w:iCs/>
          <w:color w:val="000000"/>
          <w:sz w:val="24"/>
          <w:szCs w:val="19"/>
          <w:lang w:eastAsia="tr-TR"/>
        </w:rPr>
        <w:t>belirli veya belirlenebilir bir gerçek kişiye ilişkin tüm bilgiler</w:t>
      </w:r>
      <w:r w:rsidRPr="00CC6DAC">
        <w:rPr>
          <w:rFonts w:ascii="Times New Roman" w:eastAsia="Times New Roman" w:hAnsi="Times New Roman" w:cs="Times New Roman"/>
          <w:color w:val="000000"/>
          <w:sz w:val="24"/>
          <w:szCs w:val="19"/>
          <w:lang w:eastAsia="tr-TR"/>
        </w:rPr>
        <w:t>" şeklinde tanımlanmaktadır. Avrupa Birliği'nin 95/46/EC sayılı Veri Koruma Direktifi'nin 2. maddesinde de </w:t>
      </w:r>
      <w:r w:rsidRPr="00CC6DAC">
        <w:rPr>
          <w:rFonts w:ascii="Times New Roman" w:eastAsia="Times New Roman" w:hAnsi="Times New Roman" w:cs="Times New Roman"/>
          <w:i/>
          <w:iCs/>
          <w:color w:val="000000"/>
          <w:sz w:val="24"/>
          <w:szCs w:val="19"/>
          <w:lang w:eastAsia="tr-TR"/>
        </w:rPr>
        <w:t>"kişisel veri",</w:t>
      </w:r>
      <w:r w:rsidRPr="00CC6DAC">
        <w:rPr>
          <w:rFonts w:ascii="Times New Roman" w:eastAsia="Times New Roman" w:hAnsi="Times New Roman" w:cs="Times New Roman"/>
          <w:color w:val="000000"/>
          <w:sz w:val="24"/>
          <w:szCs w:val="19"/>
          <w:lang w:eastAsia="tr-TR"/>
        </w:rPr>
        <w:t> "</w:t>
      </w:r>
      <w:r w:rsidRPr="00CC6DAC">
        <w:rPr>
          <w:rFonts w:ascii="Times New Roman" w:eastAsia="Times New Roman" w:hAnsi="Times New Roman" w:cs="Times New Roman"/>
          <w:i/>
          <w:iCs/>
          <w:color w:val="000000"/>
          <w:sz w:val="24"/>
          <w:szCs w:val="19"/>
          <w:lang w:eastAsia="tr-TR"/>
        </w:rPr>
        <w:t>belirli ya da kimliği belirlenebilir gerçek kişi ile ilişkilendirilebilen her türlü bilgi</w:t>
      </w:r>
      <w:r w:rsidRPr="00CC6DAC">
        <w:rPr>
          <w:rFonts w:ascii="Times New Roman" w:eastAsia="Times New Roman" w:hAnsi="Times New Roman" w:cs="Times New Roman"/>
          <w:color w:val="000000"/>
          <w:sz w:val="24"/>
          <w:szCs w:val="19"/>
          <w:lang w:eastAsia="tr-TR"/>
        </w:rPr>
        <w:t>" şeklinde tanımlandıktan sonra </w:t>
      </w:r>
      <w:r w:rsidRPr="00CC6DAC">
        <w:rPr>
          <w:rFonts w:ascii="Times New Roman" w:eastAsia="Times New Roman" w:hAnsi="Times New Roman" w:cs="Times New Roman"/>
          <w:i/>
          <w:iCs/>
          <w:color w:val="000000"/>
          <w:sz w:val="24"/>
          <w:szCs w:val="19"/>
          <w:lang w:eastAsia="tr-TR"/>
        </w:rPr>
        <w:t>"bir kişinin doğrudan veya dolaylı olarak tanımlanabilmesine imkân sağlayan kişinin kimlik numarası, fiziksel, psikolojik, duygusal, ekonomik ve kültürel kimliği veya sosyal kimliğin"</w:t>
      </w:r>
      <w:r w:rsidRPr="00CC6DAC">
        <w:rPr>
          <w:rFonts w:ascii="Times New Roman" w:eastAsia="Times New Roman" w:hAnsi="Times New Roman" w:cs="Times New Roman"/>
          <w:color w:val="000000"/>
          <w:sz w:val="24"/>
          <w:szCs w:val="19"/>
          <w:lang w:eastAsia="tr-TR"/>
        </w:rPr>
        <w:t>nin bu kapsamda değerlendirildiği ifade edilmektedir.</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11. </w:t>
      </w:r>
      <w:r w:rsidRPr="00CC6DAC">
        <w:rPr>
          <w:rFonts w:ascii="Times New Roman" w:eastAsia="Times New Roman" w:hAnsi="Times New Roman" w:cs="Times New Roman"/>
          <w:i/>
          <w:iCs/>
          <w:color w:val="000000"/>
          <w:sz w:val="24"/>
          <w:szCs w:val="19"/>
          <w:lang w:eastAsia="tr-TR"/>
        </w:rPr>
        <w:t>"Kişisel veri"</w:t>
      </w:r>
      <w:r w:rsidRPr="00CC6DAC">
        <w:rPr>
          <w:rFonts w:ascii="Times New Roman" w:eastAsia="Times New Roman" w:hAnsi="Times New Roman" w:cs="Times New Roman"/>
          <w:color w:val="000000"/>
          <w:sz w:val="24"/>
          <w:szCs w:val="19"/>
          <w:lang w:eastAsia="tr-TR"/>
        </w:rPr>
        <w:t> kavramı tarafı olduğumuz Avrupa İnsan Hakları Sözleşmesi'nde (AİHS) açık bir şekilde düzenlenmemekle birlikte, Sözleşme'nin uygulanmasına ilişkin Avrupa İnsan Hakları Mahkemesi (AİHM) kararlarında Kişisel Verilerin Otomatik İşleme Tabi Tutulması Karşısında Bireylerin Korunmasına Dair Sözleşme'ye atıfta bulunulmakta ve bu verilerin özel yaşamın gizliliğinin bir parçası olduğu kabul edilmektedir. AİHM kararlarında kişilere ait </w:t>
      </w:r>
      <w:r w:rsidRPr="00CC6DAC">
        <w:rPr>
          <w:rFonts w:ascii="Times New Roman" w:eastAsia="Times New Roman" w:hAnsi="Times New Roman" w:cs="Times New Roman"/>
          <w:i/>
          <w:iCs/>
          <w:color w:val="000000"/>
          <w:sz w:val="24"/>
          <w:szCs w:val="19"/>
          <w:lang w:eastAsia="tr-TR"/>
        </w:rPr>
        <w:t>"görüntü"</w:t>
      </w:r>
      <w:r w:rsidRPr="00CC6DAC">
        <w:rPr>
          <w:rFonts w:ascii="Times New Roman" w:eastAsia="Times New Roman" w:hAnsi="Times New Roman" w:cs="Times New Roman"/>
          <w:color w:val="000000"/>
          <w:sz w:val="24"/>
          <w:szCs w:val="19"/>
          <w:lang w:eastAsia="tr-TR"/>
        </w:rPr>
        <w:t>, "</w:t>
      </w:r>
      <w:r w:rsidRPr="00CC6DAC">
        <w:rPr>
          <w:rFonts w:ascii="Times New Roman" w:eastAsia="Times New Roman" w:hAnsi="Times New Roman" w:cs="Times New Roman"/>
          <w:i/>
          <w:iCs/>
          <w:color w:val="000000"/>
          <w:sz w:val="24"/>
          <w:szCs w:val="19"/>
          <w:lang w:eastAsia="tr-TR"/>
        </w:rPr>
        <w:t>fotoğraf"</w:t>
      </w:r>
      <w:r w:rsidRPr="00CC6DAC">
        <w:rPr>
          <w:rFonts w:ascii="Times New Roman" w:eastAsia="Times New Roman" w:hAnsi="Times New Roman" w:cs="Times New Roman"/>
          <w:color w:val="000000"/>
          <w:sz w:val="24"/>
          <w:szCs w:val="19"/>
          <w:lang w:eastAsia="tr-TR"/>
        </w:rPr>
        <w:t>, </w:t>
      </w:r>
      <w:r w:rsidRPr="00CC6DAC">
        <w:rPr>
          <w:rFonts w:ascii="Times New Roman" w:eastAsia="Times New Roman" w:hAnsi="Times New Roman" w:cs="Times New Roman"/>
          <w:i/>
          <w:iCs/>
          <w:color w:val="000000"/>
          <w:sz w:val="24"/>
          <w:szCs w:val="19"/>
          <w:lang w:eastAsia="tr-TR"/>
        </w:rPr>
        <w:t>"parmak izi"</w:t>
      </w:r>
      <w:r w:rsidRPr="00CC6DAC">
        <w:rPr>
          <w:rFonts w:ascii="Times New Roman" w:eastAsia="Times New Roman" w:hAnsi="Times New Roman" w:cs="Times New Roman"/>
          <w:color w:val="000000"/>
          <w:sz w:val="24"/>
          <w:szCs w:val="19"/>
          <w:lang w:eastAsia="tr-TR"/>
        </w:rPr>
        <w:t>, </w:t>
      </w:r>
      <w:r w:rsidRPr="00CC6DAC">
        <w:rPr>
          <w:rFonts w:ascii="Times New Roman" w:eastAsia="Times New Roman" w:hAnsi="Times New Roman" w:cs="Times New Roman"/>
          <w:i/>
          <w:iCs/>
          <w:color w:val="000000"/>
          <w:sz w:val="24"/>
          <w:szCs w:val="19"/>
          <w:lang w:eastAsia="tr-TR"/>
        </w:rPr>
        <w:t>"DNA profili"</w:t>
      </w:r>
      <w:r w:rsidRPr="00CC6DAC">
        <w:rPr>
          <w:rFonts w:ascii="Times New Roman" w:eastAsia="Times New Roman" w:hAnsi="Times New Roman" w:cs="Times New Roman"/>
          <w:color w:val="000000"/>
          <w:sz w:val="24"/>
          <w:szCs w:val="19"/>
          <w:lang w:eastAsia="tr-TR"/>
        </w:rPr>
        <w:t>, </w:t>
      </w:r>
      <w:r w:rsidRPr="00CC6DAC">
        <w:rPr>
          <w:rFonts w:ascii="Times New Roman" w:eastAsia="Times New Roman" w:hAnsi="Times New Roman" w:cs="Times New Roman"/>
          <w:i/>
          <w:iCs/>
          <w:color w:val="000000"/>
          <w:sz w:val="24"/>
          <w:szCs w:val="19"/>
          <w:lang w:eastAsia="tr-TR"/>
        </w:rPr>
        <w:t>"hücre örnekleri"</w:t>
      </w:r>
      <w:r w:rsidRPr="00CC6DAC">
        <w:rPr>
          <w:rFonts w:ascii="Times New Roman" w:eastAsia="Times New Roman" w:hAnsi="Times New Roman" w:cs="Times New Roman"/>
          <w:color w:val="000000"/>
          <w:sz w:val="24"/>
          <w:szCs w:val="19"/>
          <w:lang w:eastAsia="tr-TR"/>
        </w:rPr>
        <w:t>, </w:t>
      </w:r>
      <w:r w:rsidRPr="00CC6DAC">
        <w:rPr>
          <w:rFonts w:ascii="Times New Roman" w:eastAsia="Times New Roman" w:hAnsi="Times New Roman" w:cs="Times New Roman"/>
          <w:i/>
          <w:iCs/>
          <w:color w:val="000000"/>
          <w:sz w:val="24"/>
          <w:szCs w:val="19"/>
          <w:lang w:eastAsia="tr-TR"/>
        </w:rPr>
        <w:t>"ev adresi"</w:t>
      </w:r>
      <w:r w:rsidRPr="00CC6DAC">
        <w:rPr>
          <w:rFonts w:ascii="Times New Roman" w:eastAsia="Times New Roman" w:hAnsi="Times New Roman" w:cs="Times New Roman"/>
          <w:color w:val="000000"/>
          <w:sz w:val="24"/>
          <w:szCs w:val="19"/>
          <w:lang w:eastAsia="tr-TR"/>
        </w:rPr>
        <w:t>ve </w:t>
      </w:r>
      <w:r w:rsidRPr="00CC6DAC">
        <w:rPr>
          <w:rFonts w:ascii="Times New Roman" w:eastAsia="Times New Roman" w:hAnsi="Times New Roman" w:cs="Times New Roman"/>
          <w:i/>
          <w:iCs/>
          <w:color w:val="000000"/>
          <w:sz w:val="24"/>
          <w:szCs w:val="19"/>
          <w:lang w:eastAsia="tr-TR"/>
        </w:rPr>
        <w:t>"yaş, doğum tarihi ve fiziksel özellikler</w:t>
      </w:r>
      <w:r w:rsidRPr="00CC6DAC">
        <w:rPr>
          <w:rFonts w:ascii="Times New Roman" w:eastAsia="Times New Roman" w:hAnsi="Times New Roman" w:cs="Times New Roman"/>
          <w:color w:val="000000"/>
          <w:sz w:val="24"/>
          <w:szCs w:val="19"/>
          <w:lang w:eastAsia="tr-TR"/>
        </w:rPr>
        <w:t>" </w:t>
      </w:r>
      <w:r w:rsidRPr="00CC6DAC">
        <w:rPr>
          <w:rFonts w:ascii="Times New Roman" w:eastAsia="Times New Roman" w:hAnsi="Times New Roman" w:cs="Times New Roman"/>
          <w:i/>
          <w:iCs/>
          <w:color w:val="000000"/>
          <w:sz w:val="24"/>
          <w:szCs w:val="19"/>
          <w:lang w:eastAsia="tr-TR"/>
        </w:rPr>
        <w:t>"kişisel veri" </w:t>
      </w:r>
      <w:r w:rsidRPr="00CC6DAC">
        <w:rPr>
          <w:rFonts w:ascii="Times New Roman" w:eastAsia="Times New Roman" w:hAnsi="Times New Roman" w:cs="Times New Roman"/>
          <w:color w:val="000000"/>
          <w:sz w:val="24"/>
          <w:szCs w:val="19"/>
          <w:lang w:eastAsia="tr-TR"/>
        </w:rPr>
        <w:t>kapsamında değerlendirilmektedir (</w:t>
      </w:r>
      <w:r w:rsidRPr="00CC6DAC">
        <w:rPr>
          <w:rFonts w:ascii="Times New Roman" w:eastAsia="Times New Roman" w:hAnsi="Times New Roman" w:cs="Times New Roman"/>
          <w:i/>
          <w:iCs/>
          <w:color w:val="000000"/>
          <w:sz w:val="24"/>
          <w:szCs w:val="19"/>
          <w:lang w:eastAsia="tr-TR"/>
        </w:rPr>
        <w:t>Peck/Birleşik Krallık, </w:t>
      </w:r>
      <w:r w:rsidRPr="00CC6DAC">
        <w:rPr>
          <w:rFonts w:ascii="Times New Roman" w:eastAsia="Times New Roman" w:hAnsi="Times New Roman" w:cs="Times New Roman"/>
          <w:color w:val="000000"/>
          <w:sz w:val="24"/>
          <w:szCs w:val="19"/>
          <w:lang w:eastAsia="tr-TR"/>
        </w:rPr>
        <w:t>B.No: 44647/98, 28.01.2003; </w:t>
      </w:r>
      <w:r w:rsidRPr="00CC6DAC">
        <w:rPr>
          <w:rFonts w:ascii="Times New Roman" w:eastAsia="Times New Roman" w:hAnsi="Times New Roman" w:cs="Times New Roman"/>
          <w:i/>
          <w:iCs/>
          <w:color w:val="000000"/>
          <w:sz w:val="24"/>
          <w:szCs w:val="19"/>
          <w:lang w:eastAsia="tr-TR"/>
        </w:rPr>
        <w:t>Sciacca/İtalya,</w:t>
      </w:r>
      <w:r w:rsidRPr="00CC6DAC">
        <w:rPr>
          <w:rFonts w:ascii="Times New Roman" w:eastAsia="Times New Roman" w:hAnsi="Times New Roman" w:cs="Times New Roman"/>
          <w:color w:val="000000"/>
          <w:sz w:val="24"/>
          <w:szCs w:val="19"/>
          <w:lang w:eastAsia="tr-TR"/>
        </w:rPr>
        <w:t> B.No:50774/99, 11.01.2005; </w:t>
      </w:r>
      <w:r w:rsidRPr="00CC6DAC">
        <w:rPr>
          <w:rFonts w:ascii="Times New Roman" w:eastAsia="Times New Roman" w:hAnsi="Times New Roman" w:cs="Times New Roman"/>
          <w:i/>
          <w:iCs/>
          <w:color w:val="000000"/>
          <w:sz w:val="24"/>
          <w:szCs w:val="19"/>
          <w:lang w:eastAsia="tr-TR"/>
        </w:rPr>
        <w:t>S. ve Marper/Birleşik Krallık</w:t>
      </w:r>
      <w:r w:rsidRPr="00CC6DAC">
        <w:rPr>
          <w:rFonts w:ascii="Times New Roman" w:eastAsia="Times New Roman" w:hAnsi="Times New Roman" w:cs="Times New Roman"/>
          <w:color w:val="000000"/>
          <w:sz w:val="24"/>
          <w:szCs w:val="19"/>
          <w:lang w:eastAsia="tr-TR"/>
        </w:rPr>
        <w:t>, (Büyük Daire), B.No: 30562/04, 30566/04, 04.12.2008; </w:t>
      </w:r>
      <w:r w:rsidRPr="00CC6DAC">
        <w:rPr>
          <w:rFonts w:ascii="Times New Roman" w:eastAsia="Times New Roman" w:hAnsi="Times New Roman" w:cs="Times New Roman"/>
          <w:i/>
          <w:iCs/>
          <w:color w:val="000000"/>
          <w:sz w:val="24"/>
          <w:szCs w:val="19"/>
          <w:lang w:eastAsia="tr-TR"/>
        </w:rPr>
        <w:t>Alkaya/Türkiye,</w:t>
      </w:r>
      <w:r w:rsidRPr="00CC6DAC">
        <w:rPr>
          <w:rFonts w:ascii="Times New Roman" w:eastAsia="Times New Roman" w:hAnsi="Times New Roman" w:cs="Times New Roman"/>
          <w:color w:val="000000"/>
          <w:sz w:val="24"/>
          <w:szCs w:val="19"/>
          <w:lang w:eastAsia="tr-TR"/>
        </w:rPr>
        <w:t> B.No:42811/06, 09.10.2012; </w:t>
      </w:r>
      <w:r w:rsidRPr="00CC6DAC">
        <w:rPr>
          <w:rFonts w:ascii="Times New Roman" w:eastAsia="Times New Roman" w:hAnsi="Times New Roman" w:cs="Times New Roman"/>
          <w:i/>
          <w:iCs/>
          <w:color w:val="000000"/>
          <w:sz w:val="24"/>
          <w:szCs w:val="19"/>
          <w:lang w:eastAsia="tr-TR"/>
        </w:rPr>
        <w:t>K.U./Finlandiya, </w:t>
      </w:r>
      <w:r w:rsidRPr="00CC6DAC">
        <w:rPr>
          <w:rFonts w:ascii="Times New Roman" w:eastAsia="Times New Roman" w:hAnsi="Times New Roman" w:cs="Times New Roman"/>
          <w:color w:val="000000"/>
          <w:sz w:val="24"/>
          <w:szCs w:val="19"/>
          <w:lang w:eastAsia="tr-TR"/>
        </w:rPr>
        <w:t>B.No:2872/02,</w:t>
      </w:r>
      <w:r w:rsidRPr="00CC6DAC">
        <w:rPr>
          <w:rFonts w:ascii="Times New Roman" w:eastAsia="Times New Roman" w:hAnsi="Times New Roman" w:cs="Times New Roman"/>
          <w:i/>
          <w:iCs/>
          <w:color w:val="000000"/>
          <w:sz w:val="24"/>
          <w:szCs w:val="19"/>
          <w:lang w:eastAsia="tr-TR"/>
        </w:rPr>
        <w:t> </w:t>
      </w:r>
      <w:r w:rsidRPr="00CC6DAC">
        <w:rPr>
          <w:rFonts w:ascii="Times New Roman" w:eastAsia="Times New Roman" w:hAnsi="Times New Roman" w:cs="Times New Roman"/>
          <w:color w:val="000000"/>
          <w:sz w:val="24"/>
          <w:szCs w:val="19"/>
          <w:lang w:eastAsia="tr-TR"/>
        </w:rPr>
        <w:t>02.12.2008).</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12. İtiraz konusu kuralla, kişisel verileri, hukuka aykırı olarak bir başkasına veren, yayan veya ele geçiren kişinin iki yıldan dört yıla kadar hapis cezası ile cezalandırılacağı düzenlenmiştir. Kanun koyucunun kuralla, gerekçede de ifade edildiği gibi Anayasa'nın 20. maddesi ile güvence altına alınan kişisel verilerin ve özel hayatın daha etkin bir şekilde korunmasını sağlamayı amaçladığı anlaşılmaktadır. Zira kişisel verilerin korunması hakkı, kişinin insan onurunun korunması ve kişiliğini serbestçe geliştirebilmesi hakkının özel bir biçimi olarak, kişisel verilerin işlenmesi sırasında bireyin hak ve özgürlüklerini korumayı amaçlamaktadır.</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13. Kuralda yer alan "</w:t>
      </w:r>
      <w:r w:rsidRPr="00CC6DAC">
        <w:rPr>
          <w:rFonts w:ascii="Times New Roman" w:eastAsia="Times New Roman" w:hAnsi="Times New Roman" w:cs="Times New Roman"/>
          <w:i/>
          <w:iCs/>
          <w:color w:val="000000"/>
          <w:sz w:val="24"/>
          <w:szCs w:val="19"/>
          <w:lang w:eastAsia="tr-TR"/>
        </w:rPr>
        <w:t>kişisel veri"</w:t>
      </w:r>
      <w:r w:rsidRPr="00CC6DAC">
        <w:rPr>
          <w:rFonts w:ascii="Times New Roman" w:eastAsia="Times New Roman" w:hAnsi="Times New Roman" w:cs="Times New Roman"/>
          <w:color w:val="000000"/>
          <w:sz w:val="24"/>
          <w:szCs w:val="19"/>
          <w:lang w:eastAsia="tr-TR"/>
        </w:rPr>
        <w:t> kavramı teknolojik gelişmelere bağlı olarak çok farklı şekillerde ortaya çıkabileceğinden bu kapsama giren tüm verilerin kanun koyucu tarafından önceden öngörülebilmesi ve tek tek sayılabilmesi mümkün değildir. Bununla birlikte gerek ulusal ve uluslararası mevzuat gerekse yargı içtihatları</w:t>
      </w:r>
      <w:r w:rsidRPr="00CC6DAC">
        <w:rPr>
          <w:rFonts w:ascii="Times New Roman" w:eastAsia="Times New Roman" w:hAnsi="Times New Roman" w:cs="Times New Roman"/>
          <w:b/>
          <w:bCs/>
          <w:color w:val="000000"/>
          <w:sz w:val="24"/>
          <w:szCs w:val="19"/>
          <w:lang w:eastAsia="tr-TR"/>
        </w:rPr>
        <w:t> </w:t>
      </w:r>
      <w:r w:rsidRPr="00CC6DAC">
        <w:rPr>
          <w:rFonts w:ascii="Times New Roman" w:eastAsia="Times New Roman" w:hAnsi="Times New Roman" w:cs="Times New Roman"/>
          <w:color w:val="000000"/>
          <w:sz w:val="24"/>
          <w:szCs w:val="19"/>
          <w:lang w:eastAsia="tr-TR"/>
        </w:rPr>
        <w:t>çerçevesinde "</w:t>
      </w:r>
      <w:r w:rsidRPr="00CC6DAC">
        <w:rPr>
          <w:rFonts w:ascii="Times New Roman" w:eastAsia="Times New Roman" w:hAnsi="Times New Roman" w:cs="Times New Roman"/>
          <w:i/>
          <w:iCs/>
          <w:color w:val="000000"/>
          <w:sz w:val="24"/>
          <w:szCs w:val="19"/>
          <w:lang w:eastAsia="tr-TR"/>
        </w:rPr>
        <w:t>kişisel veri"</w:t>
      </w:r>
      <w:r w:rsidRPr="00CC6DAC">
        <w:rPr>
          <w:rFonts w:ascii="Times New Roman" w:eastAsia="Times New Roman" w:hAnsi="Times New Roman" w:cs="Times New Roman"/>
          <w:color w:val="000000"/>
          <w:sz w:val="24"/>
          <w:szCs w:val="19"/>
          <w:lang w:eastAsia="tr-TR"/>
        </w:rPr>
        <w:t xml:space="preserve"> kavramının, </w:t>
      </w:r>
      <w:r w:rsidRPr="00CC6DAC">
        <w:rPr>
          <w:rFonts w:ascii="Times New Roman" w:eastAsia="Times New Roman" w:hAnsi="Times New Roman" w:cs="Times New Roman"/>
          <w:color w:val="000000"/>
          <w:sz w:val="24"/>
          <w:szCs w:val="19"/>
          <w:lang w:eastAsia="tr-TR"/>
        </w:rPr>
        <w:lastRenderedPageBreak/>
        <w:t>belirli veya kimliği belirlenebilir olmak şartıyla, bir kişiye ilişkin bütün bilgileri ifade ettiği kabul edilmektedir.</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14. </w:t>
      </w:r>
      <w:r w:rsidRPr="00CC6DAC">
        <w:rPr>
          <w:rFonts w:ascii="Times New Roman" w:eastAsia="Times New Roman" w:hAnsi="Times New Roman" w:cs="Times New Roman"/>
          <w:i/>
          <w:iCs/>
          <w:color w:val="000000"/>
          <w:sz w:val="24"/>
          <w:szCs w:val="19"/>
          <w:lang w:eastAsia="tr-TR"/>
        </w:rPr>
        <w:t>"Kişisel veri"</w:t>
      </w:r>
      <w:r w:rsidRPr="00CC6DAC">
        <w:rPr>
          <w:rFonts w:ascii="Times New Roman" w:eastAsia="Times New Roman" w:hAnsi="Times New Roman" w:cs="Times New Roman"/>
          <w:color w:val="000000"/>
          <w:sz w:val="24"/>
          <w:szCs w:val="19"/>
          <w:lang w:eastAsia="tr-TR"/>
        </w:rPr>
        <w:t> kavramının bu çerçevede doktrin, uygulama ve yargı kararlarında belirlenerek anlam ve içeriğinin gelişip değişeceğinde kuşku yoktur. Dolayısıyla başvuru kararında her ne kadar ceza mevzuatında </w:t>
      </w:r>
      <w:r w:rsidRPr="00CC6DAC">
        <w:rPr>
          <w:rFonts w:ascii="Times New Roman" w:eastAsia="Times New Roman" w:hAnsi="Times New Roman" w:cs="Times New Roman"/>
          <w:i/>
          <w:iCs/>
          <w:color w:val="000000"/>
          <w:sz w:val="24"/>
          <w:szCs w:val="19"/>
          <w:lang w:eastAsia="tr-TR"/>
        </w:rPr>
        <w:t>"kişisel veri"</w:t>
      </w:r>
      <w:r w:rsidRPr="00CC6DAC">
        <w:rPr>
          <w:rFonts w:ascii="Times New Roman" w:eastAsia="Times New Roman" w:hAnsi="Times New Roman" w:cs="Times New Roman"/>
          <w:color w:val="000000"/>
          <w:sz w:val="24"/>
          <w:szCs w:val="19"/>
          <w:lang w:eastAsia="tr-TR"/>
        </w:rPr>
        <w:t> ile ilgili bir tanım ve sınırlandırmanın yapılmadığı, bu nedenle itiraz konusu kuralın belirsiz olduğu ileri sürülmüş ise de ulusal ve uluslararası mevzuat ile yargı içtihatları dikkate alındığında kuralın belirsiz olduğundan söz edilemeyeceği açıktır. Ayrıca itiraz konusu kuralla </w:t>
      </w:r>
      <w:r w:rsidRPr="00CC6DAC">
        <w:rPr>
          <w:rFonts w:ascii="Times New Roman" w:eastAsia="Times New Roman" w:hAnsi="Times New Roman" w:cs="Times New Roman"/>
          <w:i/>
          <w:iCs/>
          <w:color w:val="000000"/>
          <w:sz w:val="24"/>
          <w:szCs w:val="19"/>
          <w:lang w:eastAsia="tr-TR"/>
        </w:rPr>
        <w:t>"kişisel verileri, hukuka aykırı olarak bir başkasına verme, yayma veya ele geçirme" </w:t>
      </w:r>
      <w:r w:rsidRPr="00CC6DAC">
        <w:rPr>
          <w:rFonts w:ascii="Times New Roman" w:eastAsia="Times New Roman" w:hAnsi="Times New Roman" w:cs="Times New Roman"/>
          <w:color w:val="000000"/>
          <w:sz w:val="24"/>
          <w:szCs w:val="19"/>
          <w:lang w:eastAsia="tr-TR"/>
        </w:rPr>
        <w:t>eylemi suç olarak kabul edilmekte ve bu eylem nedeniyle verilecek ceza kuralda açıkça belirlendiğinden kuralla hangi somut eylem ve olguya hangi hukuksal yaptırımın bağlandığı açıkça ortaya konulmaktadır. Dolayısıyla itiraz konusu kuralda suçta ve cezada kanunilik ilkesi ile özel hayatın gizliliği ilkesine aykırılık bulunmamaktadır.</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15. Açıklanan nedenlerle kural, Anayasa'nın 20. ve 38. maddelerine aykırı değildir. İptal talebinin reddi gerekir.  </w:t>
      </w:r>
    </w:p>
    <w:p w:rsid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b/>
          <w:bCs/>
          <w:color w:val="000000"/>
          <w:sz w:val="24"/>
          <w:lang w:eastAsia="tr-TR"/>
        </w:rPr>
        <w:t>IV- HÜKÜM</w:t>
      </w:r>
    </w:p>
    <w:p w:rsidR="00CC6DAC" w:rsidRP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26.9.2004 tarihli ve 5237 sayılı Türk Ceza Kanunu'nun, 21.2.2014 tarihli ve 6526 sayılı Kanun'un 4. maddesiyle değiştirilen 136. maddesinin (1) numaralı fıkrasının Anayasa'ya aykırı olmadığına ve itirazın REDDİNE, 12.11.2015 tarihinde OYBİRLİĞİYLE karar verildi.   </w:t>
      </w:r>
    </w:p>
    <w:p w:rsidR="00CC6DAC" w:rsidRPr="00CC6DAC" w:rsidRDefault="00CC6DAC" w:rsidP="00CC6DA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C6DAC" w:rsidRPr="00CC6DAC" w:rsidTr="00CC6DAC">
        <w:tc>
          <w:tcPr>
            <w:tcW w:w="1667" w:type="pct"/>
            <w:shd w:val="clear" w:color="auto" w:fill="FFFFFF"/>
            <w:tcMar>
              <w:top w:w="0" w:type="dxa"/>
              <w:left w:w="70" w:type="dxa"/>
              <w:bottom w:w="0" w:type="dxa"/>
              <w:right w:w="70" w:type="dxa"/>
            </w:tcMar>
            <w:hideMark/>
          </w:tcPr>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Başkan</w:t>
            </w:r>
          </w:p>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Başkanvekili</w:t>
            </w:r>
          </w:p>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Başkanvekili</w:t>
            </w:r>
          </w:p>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Engin YILDIRIM</w:t>
            </w:r>
          </w:p>
        </w:tc>
      </w:tr>
    </w:tbl>
    <w:p w:rsidR="00CC6DAC" w:rsidRPr="00CC6DAC" w:rsidRDefault="00CC6DAC" w:rsidP="00CC6D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 </w:t>
      </w:r>
    </w:p>
    <w:p w:rsidR="00CC6DAC" w:rsidRPr="00CC6DAC" w:rsidRDefault="00CC6DAC" w:rsidP="00CC6D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C6DAC" w:rsidRPr="00CC6DAC" w:rsidTr="00CC6DAC">
        <w:tc>
          <w:tcPr>
            <w:tcW w:w="1667" w:type="pct"/>
            <w:shd w:val="clear" w:color="auto" w:fill="FFFFFF"/>
            <w:tcMar>
              <w:top w:w="0" w:type="dxa"/>
              <w:left w:w="70" w:type="dxa"/>
              <w:bottom w:w="0" w:type="dxa"/>
              <w:right w:w="70" w:type="dxa"/>
            </w:tcMar>
            <w:hideMark/>
          </w:tcPr>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Üye</w:t>
            </w:r>
          </w:p>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Üye</w:t>
            </w:r>
          </w:p>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Serruh KALELİ</w:t>
            </w:r>
          </w:p>
        </w:tc>
        <w:tc>
          <w:tcPr>
            <w:tcW w:w="1667" w:type="pct"/>
            <w:shd w:val="clear" w:color="auto" w:fill="FFFFFF"/>
            <w:tcMar>
              <w:top w:w="0" w:type="dxa"/>
              <w:left w:w="70" w:type="dxa"/>
              <w:bottom w:w="0" w:type="dxa"/>
              <w:right w:w="70" w:type="dxa"/>
            </w:tcMar>
            <w:hideMark/>
          </w:tcPr>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Üye</w:t>
            </w:r>
          </w:p>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 Osman Alifeyyaz PAKSÜT</w:t>
            </w:r>
          </w:p>
        </w:tc>
      </w:tr>
    </w:tbl>
    <w:p w:rsidR="00CC6DAC" w:rsidRPr="00CC6DAC" w:rsidRDefault="00CC6DAC" w:rsidP="00CC6D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 </w:t>
      </w:r>
    </w:p>
    <w:p w:rsidR="00CC6DAC" w:rsidRPr="00CC6DAC" w:rsidRDefault="00CC6DAC" w:rsidP="00CC6D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C6DAC" w:rsidRPr="00CC6DAC" w:rsidTr="00CC6DAC">
        <w:tc>
          <w:tcPr>
            <w:tcW w:w="1667" w:type="pct"/>
            <w:shd w:val="clear" w:color="auto" w:fill="FFFFFF"/>
            <w:tcMar>
              <w:top w:w="0" w:type="dxa"/>
              <w:left w:w="70" w:type="dxa"/>
              <w:bottom w:w="0" w:type="dxa"/>
              <w:right w:w="70" w:type="dxa"/>
            </w:tcMar>
            <w:hideMark/>
          </w:tcPr>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Üye</w:t>
            </w:r>
          </w:p>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Üye</w:t>
            </w:r>
          </w:p>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  Alparslan ALTAN</w:t>
            </w:r>
          </w:p>
        </w:tc>
        <w:tc>
          <w:tcPr>
            <w:tcW w:w="1667" w:type="pct"/>
            <w:shd w:val="clear" w:color="auto" w:fill="FFFFFF"/>
            <w:tcMar>
              <w:top w:w="0" w:type="dxa"/>
              <w:left w:w="70" w:type="dxa"/>
              <w:bottom w:w="0" w:type="dxa"/>
              <w:right w:w="70" w:type="dxa"/>
            </w:tcMar>
            <w:hideMark/>
          </w:tcPr>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Üye</w:t>
            </w:r>
          </w:p>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Nuri NECİPOĞLU</w:t>
            </w:r>
          </w:p>
        </w:tc>
      </w:tr>
    </w:tbl>
    <w:p w:rsidR="00CC6DAC" w:rsidRPr="00CC6DAC" w:rsidRDefault="00CC6DAC" w:rsidP="00CC6D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 </w:t>
      </w:r>
    </w:p>
    <w:p w:rsidR="00CC6DAC" w:rsidRPr="00CC6DAC" w:rsidRDefault="00CC6DAC" w:rsidP="00CC6D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C6DAC" w:rsidRPr="00CC6DAC" w:rsidTr="00CC6DAC">
        <w:tc>
          <w:tcPr>
            <w:tcW w:w="1667" w:type="pct"/>
            <w:shd w:val="clear" w:color="auto" w:fill="FFFFFF"/>
            <w:tcMar>
              <w:top w:w="0" w:type="dxa"/>
              <w:left w:w="70" w:type="dxa"/>
              <w:bottom w:w="0" w:type="dxa"/>
              <w:right w:w="70" w:type="dxa"/>
            </w:tcMar>
            <w:hideMark/>
          </w:tcPr>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lastRenderedPageBreak/>
              <w:t>Üye</w:t>
            </w:r>
          </w:p>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Hicabi DURSUN</w:t>
            </w:r>
          </w:p>
        </w:tc>
        <w:tc>
          <w:tcPr>
            <w:tcW w:w="1667" w:type="pct"/>
            <w:shd w:val="clear" w:color="auto" w:fill="FFFFFF"/>
            <w:tcMar>
              <w:top w:w="0" w:type="dxa"/>
              <w:left w:w="70" w:type="dxa"/>
              <w:bottom w:w="0" w:type="dxa"/>
              <w:right w:w="70" w:type="dxa"/>
            </w:tcMar>
            <w:hideMark/>
          </w:tcPr>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Üye</w:t>
            </w:r>
          </w:p>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Üye</w:t>
            </w:r>
          </w:p>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Erdal TERCAN</w:t>
            </w:r>
          </w:p>
        </w:tc>
      </w:tr>
    </w:tbl>
    <w:p w:rsidR="00CC6DAC" w:rsidRPr="00CC6DAC" w:rsidRDefault="00CC6DAC" w:rsidP="00CC6D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 </w:t>
      </w:r>
    </w:p>
    <w:p w:rsidR="00CC6DAC" w:rsidRPr="00CC6DAC" w:rsidRDefault="00CC6DAC" w:rsidP="00CC6D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C6DAC" w:rsidRPr="00CC6DAC" w:rsidTr="00CC6DAC">
        <w:tc>
          <w:tcPr>
            <w:tcW w:w="1667" w:type="pct"/>
            <w:shd w:val="clear" w:color="auto" w:fill="FFFFFF"/>
            <w:tcMar>
              <w:top w:w="0" w:type="dxa"/>
              <w:left w:w="70" w:type="dxa"/>
              <w:bottom w:w="0" w:type="dxa"/>
              <w:right w:w="70" w:type="dxa"/>
            </w:tcMar>
            <w:hideMark/>
          </w:tcPr>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Üye</w:t>
            </w:r>
          </w:p>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Üye</w:t>
            </w:r>
          </w:p>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Üye</w:t>
            </w:r>
          </w:p>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Hasan Tahsin GÖKCAN</w:t>
            </w:r>
          </w:p>
        </w:tc>
      </w:tr>
    </w:tbl>
    <w:p w:rsidR="00CC6DAC" w:rsidRPr="00CC6DAC" w:rsidRDefault="00CC6DAC" w:rsidP="00CC6D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 </w:t>
      </w:r>
    </w:p>
    <w:p w:rsidR="00CC6DAC" w:rsidRPr="00CC6DAC" w:rsidRDefault="00CC6DAC" w:rsidP="00CC6DA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DA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C6DAC" w:rsidRPr="00CC6DAC" w:rsidTr="00CC6DAC">
        <w:tc>
          <w:tcPr>
            <w:tcW w:w="2500" w:type="pct"/>
            <w:shd w:val="clear" w:color="auto" w:fill="FFFFFF"/>
            <w:tcMar>
              <w:top w:w="0" w:type="dxa"/>
              <w:left w:w="70" w:type="dxa"/>
              <w:bottom w:w="0" w:type="dxa"/>
              <w:right w:w="70" w:type="dxa"/>
            </w:tcMar>
            <w:hideMark/>
          </w:tcPr>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Üye</w:t>
            </w:r>
          </w:p>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Üye</w:t>
            </w:r>
          </w:p>
          <w:p w:rsidR="00CC6DAC" w:rsidRPr="00CC6DAC" w:rsidRDefault="00CC6DAC" w:rsidP="00CC6DA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DAC">
              <w:rPr>
                <w:rFonts w:ascii="Times New Roman" w:eastAsia="Times New Roman" w:hAnsi="Times New Roman" w:cs="Times New Roman"/>
                <w:sz w:val="24"/>
                <w:szCs w:val="19"/>
                <w:lang w:eastAsia="tr-TR"/>
              </w:rPr>
              <w:t>Rıdvan GÜLEÇ</w:t>
            </w:r>
          </w:p>
        </w:tc>
      </w:tr>
    </w:tbl>
    <w:p w:rsidR="00CE1FB9" w:rsidRPr="00CC6DAC" w:rsidRDefault="00CE1FB9" w:rsidP="00CC6DAC">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CC6DAC" w:rsidSect="00CC6DA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EAF" w:rsidRDefault="00930EAF" w:rsidP="00CC6DAC">
      <w:pPr>
        <w:spacing w:after="0" w:line="240" w:lineRule="auto"/>
      </w:pPr>
      <w:r>
        <w:separator/>
      </w:r>
    </w:p>
  </w:endnote>
  <w:endnote w:type="continuationSeparator" w:id="0">
    <w:p w:rsidR="00930EAF" w:rsidRDefault="00930EAF" w:rsidP="00CC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AC" w:rsidRDefault="00CC6DAC" w:rsidP="005E2D6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C6DAC" w:rsidRDefault="00CC6DAC" w:rsidP="00CC6DA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AC" w:rsidRPr="00CC6DAC" w:rsidRDefault="00CC6DAC" w:rsidP="005E2D6F">
    <w:pPr>
      <w:pStyle w:val="Altbilgi"/>
      <w:framePr w:wrap="around" w:vAnchor="text" w:hAnchor="margin" w:xAlign="right" w:y="1"/>
      <w:rPr>
        <w:rStyle w:val="SayfaNumaras"/>
        <w:rFonts w:ascii="Times New Roman" w:hAnsi="Times New Roman" w:cs="Times New Roman"/>
      </w:rPr>
    </w:pPr>
    <w:r w:rsidRPr="00CC6DAC">
      <w:rPr>
        <w:rStyle w:val="SayfaNumaras"/>
        <w:rFonts w:ascii="Times New Roman" w:hAnsi="Times New Roman" w:cs="Times New Roman"/>
      </w:rPr>
      <w:fldChar w:fldCharType="begin"/>
    </w:r>
    <w:r w:rsidRPr="00CC6DAC">
      <w:rPr>
        <w:rStyle w:val="SayfaNumaras"/>
        <w:rFonts w:ascii="Times New Roman" w:hAnsi="Times New Roman" w:cs="Times New Roman"/>
      </w:rPr>
      <w:instrText xml:space="preserve">PAGE  </w:instrText>
    </w:r>
    <w:r w:rsidRPr="00CC6DAC">
      <w:rPr>
        <w:rStyle w:val="SayfaNumaras"/>
        <w:rFonts w:ascii="Times New Roman" w:hAnsi="Times New Roman" w:cs="Times New Roman"/>
      </w:rPr>
      <w:fldChar w:fldCharType="separate"/>
    </w:r>
    <w:r w:rsidR="005A6D85">
      <w:rPr>
        <w:rStyle w:val="SayfaNumaras"/>
        <w:rFonts w:ascii="Times New Roman" w:hAnsi="Times New Roman" w:cs="Times New Roman"/>
        <w:noProof/>
      </w:rPr>
      <w:t>5</w:t>
    </w:r>
    <w:r w:rsidRPr="00CC6DAC">
      <w:rPr>
        <w:rStyle w:val="SayfaNumaras"/>
        <w:rFonts w:ascii="Times New Roman" w:hAnsi="Times New Roman" w:cs="Times New Roman"/>
      </w:rPr>
      <w:fldChar w:fldCharType="end"/>
    </w:r>
  </w:p>
  <w:p w:rsidR="00CC6DAC" w:rsidRPr="00CC6DAC" w:rsidRDefault="00CC6DAC" w:rsidP="00CC6DA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AC" w:rsidRDefault="00CC6DA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EAF" w:rsidRDefault="00930EAF" w:rsidP="00CC6DAC">
      <w:pPr>
        <w:spacing w:after="0" w:line="240" w:lineRule="auto"/>
      </w:pPr>
      <w:r>
        <w:separator/>
      </w:r>
    </w:p>
  </w:footnote>
  <w:footnote w:type="continuationSeparator" w:id="0">
    <w:p w:rsidR="00930EAF" w:rsidRDefault="00930EAF" w:rsidP="00CC6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AC" w:rsidRDefault="00CC6DA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AC" w:rsidRDefault="00CC6DAC">
    <w:pPr>
      <w:pStyle w:val="stbilgi"/>
      <w:rPr>
        <w:rFonts w:ascii="Times New Roman" w:hAnsi="Times New Roman" w:cs="Times New Roman"/>
        <w:b/>
      </w:rPr>
    </w:pPr>
    <w:r>
      <w:rPr>
        <w:rFonts w:ascii="Times New Roman" w:hAnsi="Times New Roman" w:cs="Times New Roman"/>
        <w:b/>
      </w:rPr>
      <w:t>Esas Sayısı       :  2015/32</w:t>
    </w:r>
  </w:p>
  <w:p w:rsidR="00CC6DAC" w:rsidRDefault="00CC6DAC">
    <w:pPr>
      <w:pStyle w:val="stbilgi"/>
      <w:rPr>
        <w:rFonts w:ascii="Times New Roman" w:hAnsi="Times New Roman" w:cs="Times New Roman"/>
        <w:b/>
      </w:rPr>
    </w:pPr>
    <w:r>
      <w:rPr>
        <w:rFonts w:ascii="Times New Roman" w:hAnsi="Times New Roman" w:cs="Times New Roman"/>
        <w:b/>
      </w:rPr>
      <w:t>Karar Sayısı    :  2015/102</w:t>
    </w:r>
  </w:p>
  <w:p w:rsidR="00CC6DAC" w:rsidRPr="00CC6DAC" w:rsidRDefault="00CC6DA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AC" w:rsidRDefault="00CC6DA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CC"/>
    <w:rsid w:val="005A6D85"/>
    <w:rsid w:val="00930EAF"/>
    <w:rsid w:val="00BD6244"/>
    <w:rsid w:val="00CC6DAC"/>
    <w:rsid w:val="00CE1FB9"/>
    <w:rsid w:val="00EA33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89F2A-8182-4ADF-B0D2-8BB807BE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C6DAC"/>
    <w:rPr>
      <w:color w:val="0000FF"/>
      <w:u w:val="single"/>
    </w:rPr>
  </w:style>
  <w:style w:type="paragraph" w:styleId="stbilgi">
    <w:name w:val="header"/>
    <w:basedOn w:val="Normal"/>
    <w:link w:val="stbilgiChar"/>
    <w:uiPriority w:val="99"/>
    <w:unhideWhenUsed/>
    <w:rsid w:val="00CC6D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6DAC"/>
  </w:style>
  <w:style w:type="paragraph" w:styleId="Altbilgi">
    <w:name w:val="footer"/>
    <w:basedOn w:val="Normal"/>
    <w:link w:val="AltbilgiChar"/>
    <w:uiPriority w:val="99"/>
    <w:unhideWhenUsed/>
    <w:rsid w:val="00CC6D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6DAC"/>
  </w:style>
  <w:style w:type="character" w:styleId="SayfaNumaras">
    <w:name w:val="page number"/>
    <w:basedOn w:val="VarsaylanParagrafYazTipi"/>
    <w:uiPriority w:val="99"/>
    <w:semiHidden/>
    <w:unhideWhenUsed/>
    <w:rsid w:val="00CC6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95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1708</Words>
  <Characters>9736</Characters>
  <Application>Microsoft Office Word</Application>
  <DocSecurity>0</DocSecurity>
  <Lines>81</Lines>
  <Paragraphs>22</Paragraphs>
  <ScaleCrop>false</ScaleCrop>
  <Company/>
  <LinksUpToDate>false</LinksUpToDate>
  <CharactersWithSpaces>11422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2019-02-25T07:52:00Z</dcterms:created>
  <dcterms:modified xsi:type="dcterms:W3CDTF">2019-02-25T07:56:00Z</dcterms:modified>
</cp:coreProperties>
</file>