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945" w:rsidRPr="00625945" w:rsidRDefault="00625945" w:rsidP="00625945">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ANAYASA MAHKEMESİ KARARI</w:t>
      </w:r>
      <w:r w:rsidRPr="00625945">
        <w:rPr>
          <w:rFonts w:ascii="Times New Roman" w:eastAsia="Times New Roman" w:hAnsi="Times New Roman" w:cs="Times New Roman"/>
          <w:color w:val="000000"/>
          <w:sz w:val="24"/>
          <w:szCs w:val="26"/>
          <w:lang w:eastAsia="tr-TR"/>
        </w:rPr>
        <w:t> </w:t>
      </w:r>
    </w:p>
    <w:p w:rsidR="00625945" w:rsidRP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Pr="00625945" w:rsidRDefault="00625945" w:rsidP="0062594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625945">
        <w:rPr>
          <w:rFonts w:ascii="Times New Roman" w:eastAsia="Times New Roman" w:hAnsi="Times New Roman" w:cs="Times New Roman"/>
          <w:b/>
          <w:bCs/>
          <w:color w:val="000000"/>
          <w:sz w:val="24"/>
          <w:szCs w:val="26"/>
          <w:lang w:eastAsia="tr-TR"/>
        </w:rPr>
        <w:t>: 2014</w:t>
      </w:r>
      <w:proofErr w:type="gramEnd"/>
      <w:r w:rsidRPr="00625945">
        <w:rPr>
          <w:rFonts w:ascii="Times New Roman" w:eastAsia="Times New Roman" w:hAnsi="Times New Roman" w:cs="Times New Roman"/>
          <w:b/>
          <w:bCs/>
          <w:color w:val="000000"/>
          <w:sz w:val="24"/>
          <w:szCs w:val="26"/>
          <w:lang w:eastAsia="tr-TR"/>
        </w:rPr>
        <w:t>/163</w:t>
      </w:r>
    </w:p>
    <w:p w:rsidR="00625945" w:rsidRPr="00625945" w:rsidRDefault="00625945" w:rsidP="0062594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25945">
        <w:rPr>
          <w:rFonts w:ascii="Times New Roman" w:eastAsia="Times New Roman" w:hAnsi="Times New Roman" w:cs="Times New Roman"/>
          <w:b/>
          <w:bCs/>
          <w:color w:val="000000"/>
          <w:sz w:val="24"/>
          <w:szCs w:val="26"/>
          <w:lang w:eastAsia="tr-TR"/>
        </w:rPr>
        <w:t xml:space="preserve">Karar </w:t>
      </w:r>
      <w:proofErr w:type="gramStart"/>
      <w:r w:rsidRPr="00625945">
        <w:rPr>
          <w:rFonts w:ascii="Times New Roman" w:eastAsia="Times New Roman" w:hAnsi="Times New Roman" w:cs="Times New Roman"/>
          <w:b/>
          <w:bCs/>
          <w:color w:val="000000"/>
          <w:sz w:val="24"/>
          <w:szCs w:val="26"/>
          <w:lang w:eastAsia="tr-TR"/>
        </w:rPr>
        <w:t>Sayısı : 2014</w:t>
      </w:r>
      <w:proofErr w:type="gramEnd"/>
      <w:r w:rsidRPr="00625945">
        <w:rPr>
          <w:rFonts w:ascii="Times New Roman" w:eastAsia="Times New Roman" w:hAnsi="Times New Roman" w:cs="Times New Roman"/>
          <w:b/>
          <w:bCs/>
          <w:color w:val="000000"/>
          <w:sz w:val="24"/>
          <w:szCs w:val="26"/>
          <w:lang w:eastAsia="tr-TR"/>
        </w:rPr>
        <w:t>/157</w:t>
      </w:r>
    </w:p>
    <w:p w:rsidR="00625945" w:rsidRPr="00625945" w:rsidRDefault="00625945" w:rsidP="0062594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25945">
        <w:rPr>
          <w:rFonts w:ascii="Times New Roman" w:eastAsia="Times New Roman" w:hAnsi="Times New Roman" w:cs="Times New Roman"/>
          <w:b/>
          <w:bCs/>
          <w:color w:val="000000"/>
          <w:sz w:val="24"/>
          <w:szCs w:val="26"/>
          <w:lang w:eastAsia="tr-TR"/>
        </w:rPr>
        <w:t xml:space="preserve">Karar </w:t>
      </w:r>
      <w:proofErr w:type="gramStart"/>
      <w:r w:rsidRPr="00625945">
        <w:rPr>
          <w:rFonts w:ascii="Times New Roman" w:eastAsia="Times New Roman" w:hAnsi="Times New Roman" w:cs="Times New Roman"/>
          <w:b/>
          <w:bCs/>
          <w:color w:val="000000"/>
          <w:sz w:val="24"/>
          <w:szCs w:val="26"/>
          <w:lang w:eastAsia="tr-TR"/>
        </w:rPr>
        <w:t>Günü  : 22</w:t>
      </w:r>
      <w:proofErr w:type="gramEnd"/>
      <w:r w:rsidRPr="00625945">
        <w:rPr>
          <w:rFonts w:ascii="Times New Roman" w:eastAsia="Times New Roman" w:hAnsi="Times New Roman" w:cs="Times New Roman"/>
          <w:b/>
          <w:bCs/>
          <w:color w:val="000000"/>
          <w:sz w:val="24"/>
          <w:szCs w:val="26"/>
          <w:lang w:eastAsia="tr-TR"/>
        </w:rPr>
        <w:t>.10.2014</w:t>
      </w:r>
    </w:p>
    <w:p w:rsidR="00625945" w:rsidRDefault="00625945" w:rsidP="0062594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25945">
        <w:rPr>
          <w:rFonts w:ascii="Times New Roman" w:eastAsia="Times New Roman" w:hAnsi="Times New Roman" w:cs="Times New Roman"/>
          <w:b/>
          <w:bCs/>
          <w:color w:val="000000"/>
          <w:sz w:val="24"/>
          <w:szCs w:val="26"/>
          <w:lang w:eastAsia="tr-TR"/>
        </w:rPr>
        <w:t>R.G. Tarih-</w:t>
      </w:r>
      <w:proofErr w:type="gramStart"/>
      <w:r w:rsidRPr="00625945">
        <w:rPr>
          <w:rFonts w:ascii="Times New Roman" w:eastAsia="Times New Roman" w:hAnsi="Times New Roman" w:cs="Times New Roman"/>
          <w:b/>
          <w:bCs/>
          <w:color w:val="000000"/>
          <w:sz w:val="24"/>
          <w:szCs w:val="26"/>
          <w:lang w:eastAsia="tr-TR"/>
        </w:rPr>
        <w:t>Sayı : Tebliğ</w:t>
      </w:r>
      <w:proofErr w:type="gramEnd"/>
      <w:r w:rsidRPr="00625945">
        <w:rPr>
          <w:rFonts w:ascii="Times New Roman" w:eastAsia="Times New Roman" w:hAnsi="Times New Roman" w:cs="Times New Roman"/>
          <w:b/>
          <w:bCs/>
          <w:color w:val="000000"/>
          <w:sz w:val="24"/>
          <w:szCs w:val="26"/>
          <w:lang w:eastAsia="tr-TR"/>
        </w:rPr>
        <w:t xml:space="preserve"> edildi</w:t>
      </w:r>
    </w:p>
    <w:p w:rsidR="00625945" w:rsidRPr="00625945" w:rsidRDefault="00625945" w:rsidP="00625945">
      <w:pPr>
        <w:shd w:val="clear" w:color="auto" w:fill="FFFFFF"/>
        <w:spacing w:after="0" w:line="240" w:lineRule="auto"/>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 </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 xml:space="preserve">İTİRAZ YOLUNA </w:t>
      </w:r>
      <w:proofErr w:type="gramStart"/>
      <w:r w:rsidRPr="00625945">
        <w:rPr>
          <w:rFonts w:ascii="Times New Roman" w:eastAsia="Times New Roman" w:hAnsi="Times New Roman" w:cs="Times New Roman"/>
          <w:b/>
          <w:bCs/>
          <w:color w:val="000000"/>
          <w:sz w:val="24"/>
          <w:szCs w:val="26"/>
          <w:lang w:eastAsia="tr-TR"/>
        </w:rPr>
        <w:t>BAŞVURAN : </w:t>
      </w:r>
      <w:r w:rsidRPr="00625945">
        <w:rPr>
          <w:rFonts w:ascii="Times New Roman" w:eastAsia="Times New Roman" w:hAnsi="Times New Roman" w:cs="Times New Roman"/>
          <w:color w:val="000000"/>
          <w:sz w:val="24"/>
          <w:szCs w:val="26"/>
          <w:lang w:eastAsia="tr-TR"/>
        </w:rPr>
        <w:t>Ankara</w:t>
      </w:r>
      <w:proofErr w:type="gramEnd"/>
      <w:r w:rsidRPr="00625945">
        <w:rPr>
          <w:rFonts w:ascii="Times New Roman" w:eastAsia="Times New Roman" w:hAnsi="Times New Roman" w:cs="Times New Roman"/>
          <w:color w:val="000000"/>
          <w:sz w:val="24"/>
          <w:szCs w:val="26"/>
          <w:lang w:eastAsia="tr-TR"/>
        </w:rPr>
        <w:t xml:space="preserve"> 3. İdare Mahkemesi</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 xml:space="preserve">İTİRAZIN </w:t>
      </w:r>
      <w:proofErr w:type="gramStart"/>
      <w:r w:rsidRPr="00625945">
        <w:rPr>
          <w:rFonts w:ascii="Times New Roman" w:eastAsia="Times New Roman" w:hAnsi="Times New Roman" w:cs="Times New Roman"/>
          <w:b/>
          <w:bCs/>
          <w:color w:val="000000"/>
          <w:sz w:val="24"/>
          <w:szCs w:val="26"/>
          <w:lang w:eastAsia="tr-TR"/>
        </w:rPr>
        <w:t>KONUSU :</w:t>
      </w:r>
      <w:r w:rsidRPr="00625945">
        <w:rPr>
          <w:rFonts w:ascii="Times New Roman" w:eastAsia="Times New Roman" w:hAnsi="Times New Roman" w:cs="Times New Roman"/>
          <w:color w:val="000000"/>
          <w:sz w:val="24"/>
          <w:szCs w:val="26"/>
          <w:lang w:eastAsia="tr-TR"/>
        </w:rPr>
        <w:t> 27</w:t>
      </w:r>
      <w:proofErr w:type="gramEnd"/>
      <w:r w:rsidRPr="00625945">
        <w:rPr>
          <w:rFonts w:ascii="Times New Roman" w:eastAsia="Times New Roman" w:hAnsi="Times New Roman" w:cs="Times New Roman"/>
          <w:color w:val="000000"/>
          <w:sz w:val="24"/>
          <w:szCs w:val="26"/>
          <w:lang w:eastAsia="tr-TR"/>
        </w:rPr>
        <w:t>.1.1967 günlü, 926 sayılı Türk Silahlı Kuvvetleri Personel Kanunu’nun ek 17. maddesine, 21.1.2010 günlü, 5947 sayılı Kanun’un 12. maddesiyle eklenen (Ç) fıkrasının Anayasa’nın 10. maddesine aykırılığı ileri sürülerek iptaline karar verilmesi istemidir.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I- OLAY</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25945">
        <w:rPr>
          <w:rFonts w:ascii="Times New Roman" w:eastAsia="Times New Roman" w:hAnsi="Times New Roman" w:cs="Times New Roman"/>
          <w:color w:val="000000"/>
          <w:sz w:val="24"/>
          <w:szCs w:val="26"/>
          <w:lang w:eastAsia="tr-TR"/>
        </w:rPr>
        <w:t>Gülhane Askeri Tıp Akademisi Komutanlığında sivil memur (hemşire) olarak görev yapan davacının, 5947 sayılı Kanun’un 12. maddesi ile 926 sayılı Türk Silahlı Kuvvetleri Personel Kanunu’na eklenen ek 17. madde uyarınca sağlık hizmetleri tazminatı ödenmesi talebiyle yaptığı başvurunun reddine ilişkin işlemin iptali istemiyle açılan davada, itiraz konusu kuralın Anayasa’ya aykırı olduğu kanısına varan Mahkeme, iptali için başvurmuştur.</w:t>
      </w:r>
      <w:proofErr w:type="gramEnd"/>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II- İTİRAZ KONUSU YASA KURALI</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Kanun’un ek 17. maddesine, 5947 sayılı Kanun’un 12. maddesiyle eklenen (Ç) fıkrası şöyledir: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i/>
          <w:iCs/>
          <w:color w:val="000000"/>
          <w:sz w:val="24"/>
          <w:szCs w:val="26"/>
          <w:lang w:eastAsia="tr-TR"/>
        </w:rPr>
        <w:t>“</w:t>
      </w:r>
      <w:r w:rsidRPr="00625945">
        <w:rPr>
          <w:rFonts w:ascii="Times New Roman" w:eastAsia="Times New Roman" w:hAnsi="Times New Roman" w:cs="Times New Roman"/>
          <w:b/>
          <w:bCs/>
          <w:i/>
          <w:iCs/>
          <w:color w:val="000000"/>
          <w:sz w:val="24"/>
          <w:szCs w:val="26"/>
          <w:lang w:eastAsia="tr-TR"/>
        </w:rPr>
        <w:t xml:space="preserve">Ç) (Ek: 21/1/2010-5947/12 </w:t>
      </w:r>
      <w:proofErr w:type="spellStart"/>
      <w:r w:rsidRPr="00625945">
        <w:rPr>
          <w:rFonts w:ascii="Times New Roman" w:eastAsia="Times New Roman" w:hAnsi="Times New Roman" w:cs="Times New Roman"/>
          <w:b/>
          <w:bCs/>
          <w:i/>
          <w:iCs/>
          <w:color w:val="000000"/>
          <w:sz w:val="24"/>
          <w:szCs w:val="26"/>
          <w:lang w:eastAsia="tr-TR"/>
        </w:rPr>
        <w:t>md.</w:t>
      </w:r>
      <w:proofErr w:type="spellEnd"/>
      <w:r w:rsidRPr="00625945">
        <w:rPr>
          <w:rFonts w:ascii="Times New Roman" w:eastAsia="Times New Roman" w:hAnsi="Times New Roman" w:cs="Times New Roman"/>
          <w:b/>
          <w:bCs/>
          <w:i/>
          <w:iCs/>
          <w:color w:val="000000"/>
          <w:sz w:val="24"/>
          <w:szCs w:val="26"/>
          <w:lang w:eastAsia="tr-TR"/>
        </w:rPr>
        <w:t xml:space="preserve">) Türk Silahlı Kuvvetleri kadrolarında bulunan ve aşağıda rütbeleri belirtilen personelden öğretim üyesi tabip, öğretim üyesi diş tabibi, uzman tabip, uzman diş tabibi, tabip, diş tabibi ve tıpta uzmanlık mevzuatında belirtilen dallarda bu mevzuat hükümlerine göre uzman olanlara hizalarında gösterilen oranları geçmemek üzere orgeneral aylığının (ek gösterge </w:t>
      </w:r>
      <w:proofErr w:type="gramStart"/>
      <w:r w:rsidRPr="00625945">
        <w:rPr>
          <w:rFonts w:ascii="Times New Roman" w:eastAsia="Times New Roman" w:hAnsi="Times New Roman" w:cs="Times New Roman"/>
          <w:b/>
          <w:bCs/>
          <w:i/>
          <w:iCs/>
          <w:color w:val="000000"/>
          <w:sz w:val="24"/>
          <w:szCs w:val="26"/>
          <w:lang w:eastAsia="tr-TR"/>
        </w:rPr>
        <w:t>dahil</w:t>
      </w:r>
      <w:proofErr w:type="gramEnd"/>
      <w:r w:rsidRPr="00625945">
        <w:rPr>
          <w:rFonts w:ascii="Times New Roman" w:eastAsia="Times New Roman" w:hAnsi="Times New Roman" w:cs="Times New Roman"/>
          <w:b/>
          <w:bCs/>
          <w:i/>
          <w:iCs/>
          <w:color w:val="000000"/>
          <w:sz w:val="24"/>
          <w:szCs w:val="26"/>
          <w:lang w:eastAsia="tr-TR"/>
        </w:rPr>
        <w:t>) brüt tutarı ile çarpımı sonucu bulunan miktarda sağlık hizmetleri tazminatı ayrıca ödenir.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i/>
          <w:iCs/>
          <w:color w:val="000000"/>
          <w:sz w:val="24"/>
          <w:szCs w:val="26"/>
          <w:lang w:eastAsia="tr-TR"/>
        </w:rPr>
        <w:t>(Ek paragraf:</w:t>
      </w:r>
      <w:proofErr w:type="gramStart"/>
      <w:r w:rsidRPr="00625945">
        <w:rPr>
          <w:rFonts w:ascii="Times New Roman" w:eastAsia="Times New Roman" w:hAnsi="Times New Roman" w:cs="Times New Roman"/>
          <w:b/>
          <w:bCs/>
          <w:i/>
          <w:iCs/>
          <w:color w:val="000000"/>
          <w:sz w:val="24"/>
          <w:szCs w:val="26"/>
          <w:lang w:eastAsia="tr-TR"/>
        </w:rPr>
        <w:t>2/1/2014</w:t>
      </w:r>
      <w:proofErr w:type="gramEnd"/>
      <w:r w:rsidRPr="00625945">
        <w:rPr>
          <w:rFonts w:ascii="Times New Roman" w:eastAsia="Times New Roman" w:hAnsi="Times New Roman" w:cs="Times New Roman"/>
          <w:b/>
          <w:bCs/>
          <w:i/>
          <w:iCs/>
          <w:color w:val="000000"/>
          <w:sz w:val="24"/>
          <w:szCs w:val="26"/>
          <w:lang w:eastAsia="tr-TR"/>
        </w:rPr>
        <w:t xml:space="preserve">-6514/16 </w:t>
      </w:r>
      <w:proofErr w:type="spellStart"/>
      <w:r w:rsidRPr="00625945">
        <w:rPr>
          <w:rFonts w:ascii="Times New Roman" w:eastAsia="Times New Roman" w:hAnsi="Times New Roman" w:cs="Times New Roman"/>
          <w:b/>
          <w:bCs/>
          <w:i/>
          <w:iCs/>
          <w:color w:val="000000"/>
          <w:sz w:val="24"/>
          <w:szCs w:val="26"/>
          <w:lang w:eastAsia="tr-TR"/>
        </w:rPr>
        <w:t>md.</w:t>
      </w:r>
      <w:proofErr w:type="spellEnd"/>
      <w:r w:rsidRPr="00625945">
        <w:rPr>
          <w:rFonts w:ascii="Times New Roman" w:eastAsia="Times New Roman" w:hAnsi="Times New Roman" w:cs="Times New Roman"/>
          <w:b/>
          <w:bCs/>
          <w:i/>
          <w:iCs/>
          <w:color w:val="000000"/>
          <w:sz w:val="24"/>
          <w:szCs w:val="26"/>
          <w:lang w:eastAsia="tr-TR"/>
        </w:rPr>
        <w:t>) Öğretim üyesi tabip ve öğretim üyesi diş tabipleri için rütbe ve dereceleri itibarıyla belirlenmiş olan sağlık hizmetleri tazminatı oranları, 100 puan artırılmak suretiyle uygulanır. </w:t>
      </w:r>
    </w:p>
    <w:p w:rsidR="00625945" w:rsidRP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 </w:t>
      </w:r>
    </w:p>
    <w:tbl>
      <w:tblPr>
        <w:tblW w:w="8677" w:type="dxa"/>
        <w:jc w:val="center"/>
        <w:tblCellMar>
          <w:left w:w="0" w:type="dxa"/>
          <w:right w:w="0" w:type="dxa"/>
        </w:tblCellMar>
        <w:tblLook w:val="04A0" w:firstRow="1" w:lastRow="0" w:firstColumn="1" w:lastColumn="0" w:noHBand="0" w:noVBand="1"/>
      </w:tblPr>
      <w:tblGrid>
        <w:gridCol w:w="1907"/>
        <w:gridCol w:w="2531"/>
        <w:gridCol w:w="1476"/>
        <w:gridCol w:w="1354"/>
        <w:gridCol w:w="1409"/>
      </w:tblGrid>
      <w:tr w:rsidR="00625945" w:rsidRPr="00625945" w:rsidTr="00625945">
        <w:trPr>
          <w:trHeight w:val="21"/>
          <w:jc w:val="center"/>
        </w:trPr>
        <w:tc>
          <w:tcPr>
            <w:tcW w:w="190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RÜTBELER</w:t>
            </w:r>
          </w:p>
        </w:tc>
        <w:tc>
          <w:tcPr>
            <w:tcW w:w="677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TAZMİNAT ORANLARI (%)</w:t>
            </w:r>
          </w:p>
        </w:tc>
      </w:tr>
      <w:tr w:rsidR="00625945" w:rsidRPr="00625945" w:rsidTr="00625945">
        <w:trPr>
          <w:trHeight w:val="2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p>
        </w:tc>
        <w:tc>
          <w:tcPr>
            <w:tcW w:w="2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Öğretim Üyesi Tabip-Diş Tabibi/Uzman Tabip</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Tabip/Tıpta uzmanlık mevzuatına göre uzman olanlar</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Uzman Diş Tabibi</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Diş Tabibi</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lastRenderedPageBreak/>
              <w:t>General/Amiral</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585</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455</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390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260</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Kıdemli Albay</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550</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425</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365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230</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Albay</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545</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415</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360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220</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Yarbay</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515</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380</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345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215</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Kıdemli Binbaşı</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500</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370</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340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210</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Binbaşı</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500</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370</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340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210</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Kıdemli Yüzbaşı</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460</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320</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305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175</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Yüzbaşı</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460</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320</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305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175</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Kıdemli Üsteğmen</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420</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280</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285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165</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Üsteğmen</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420</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280</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285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165</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Teğmen</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380</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250</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280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160</w:t>
            </w:r>
          </w:p>
        </w:tc>
      </w:tr>
      <w:tr w:rsidR="00625945" w:rsidRPr="00625945" w:rsidTr="00625945">
        <w:trPr>
          <w:trHeight w:val="2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Asteğmen</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370</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240</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270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130</w:t>
            </w:r>
          </w:p>
        </w:tc>
      </w:tr>
    </w:tbl>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 </w:t>
      </w:r>
    </w:p>
    <w:p w:rsidR="00625945" w:rsidRP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i/>
          <w:iCs/>
          <w:color w:val="000000"/>
          <w:sz w:val="24"/>
          <w:szCs w:val="26"/>
          <w:lang w:eastAsia="tr-TR"/>
        </w:rPr>
        <w:t xml:space="preserve">Türk Silahlı Kuvvetleri kadrolarında görevli sivil öğretim üyesi tabiplere ve 657 sayılı Devlet Memurları Kanununa tabi olarak görev yapan uzman tabip, uzman diş tabibi, tabip ve diş tabiplerine aşağıda belirtilen oranları geçmemek üzere en yüksek devlet memuru aylığının (ek gösterge </w:t>
      </w:r>
      <w:proofErr w:type="gramStart"/>
      <w:r w:rsidRPr="00625945">
        <w:rPr>
          <w:rFonts w:ascii="Times New Roman" w:eastAsia="Times New Roman" w:hAnsi="Times New Roman" w:cs="Times New Roman"/>
          <w:b/>
          <w:bCs/>
          <w:i/>
          <w:iCs/>
          <w:color w:val="000000"/>
          <w:sz w:val="24"/>
          <w:szCs w:val="26"/>
          <w:lang w:eastAsia="tr-TR"/>
        </w:rPr>
        <w:t>dahil</w:t>
      </w:r>
      <w:proofErr w:type="gramEnd"/>
      <w:r w:rsidRPr="00625945">
        <w:rPr>
          <w:rFonts w:ascii="Times New Roman" w:eastAsia="Times New Roman" w:hAnsi="Times New Roman" w:cs="Times New Roman"/>
          <w:b/>
          <w:bCs/>
          <w:i/>
          <w:iCs/>
          <w:color w:val="000000"/>
          <w:sz w:val="24"/>
          <w:szCs w:val="26"/>
          <w:lang w:eastAsia="tr-TR"/>
        </w:rPr>
        <w:t>) brüt tutarı ile çarpımı sonucu bulunan miktarda sağlık hizmetleri tazminatı ayrıca ödenir.</w:t>
      </w:r>
    </w:p>
    <w:p w:rsidR="00625945" w:rsidRP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i/>
          <w:iCs/>
          <w:color w:val="000000"/>
          <w:sz w:val="24"/>
          <w:szCs w:val="26"/>
          <w:lang w:eastAsia="tr-TR"/>
        </w:rPr>
        <w:t> </w:t>
      </w:r>
    </w:p>
    <w:tbl>
      <w:tblPr>
        <w:tblW w:w="8316" w:type="dxa"/>
        <w:jc w:val="center"/>
        <w:tblCellMar>
          <w:left w:w="0" w:type="dxa"/>
          <w:right w:w="0" w:type="dxa"/>
        </w:tblCellMar>
        <w:tblLook w:val="04A0" w:firstRow="1" w:lastRow="0" w:firstColumn="1" w:lastColumn="0" w:noHBand="0" w:noVBand="1"/>
      </w:tblPr>
      <w:tblGrid>
        <w:gridCol w:w="1272"/>
        <w:gridCol w:w="2290"/>
        <w:gridCol w:w="1869"/>
        <w:gridCol w:w="1778"/>
        <w:gridCol w:w="1107"/>
      </w:tblGrid>
      <w:tr w:rsidR="00625945" w:rsidRPr="00625945" w:rsidTr="00625945">
        <w:trPr>
          <w:trHeight w:val="20"/>
          <w:jc w:val="center"/>
        </w:trPr>
        <w:tc>
          <w:tcPr>
            <w:tcW w:w="1272"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DERECE</w:t>
            </w:r>
          </w:p>
        </w:tc>
        <w:tc>
          <w:tcPr>
            <w:tcW w:w="704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TAZMİNAT ORANLARI (%)</w:t>
            </w:r>
          </w:p>
        </w:tc>
      </w:tr>
      <w:tr w:rsidR="00625945" w:rsidRPr="00625945" w:rsidTr="00625945">
        <w:trPr>
          <w:trHeight w:val="20"/>
          <w:jc w:val="center"/>
        </w:trPr>
        <w:tc>
          <w:tcPr>
            <w:tcW w:w="0" w:type="auto"/>
            <w:vMerge/>
            <w:tcBorders>
              <w:top w:val="single" w:sz="8" w:space="0" w:color="000000"/>
              <w:left w:val="single" w:sz="8" w:space="0" w:color="000000"/>
              <w:bottom w:val="single" w:sz="8" w:space="0" w:color="000000"/>
              <w:right w:val="nil"/>
            </w:tcBorders>
            <w:vAlign w:val="cente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p>
        </w:tc>
        <w:tc>
          <w:tcPr>
            <w:tcW w:w="229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Öğretim Üyesi</w:t>
            </w:r>
          </w:p>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Tabip/Uzman Tabip</w:t>
            </w:r>
          </w:p>
        </w:tc>
        <w:tc>
          <w:tcPr>
            <w:tcW w:w="186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Tabip/Tıpta uzmanlık</w:t>
            </w:r>
          </w:p>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proofErr w:type="gramStart"/>
            <w:r w:rsidRPr="00625945">
              <w:rPr>
                <w:rFonts w:ascii="Times New Roman" w:eastAsia="Times New Roman" w:hAnsi="Times New Roman" w:cs="Times New Roman"/>
                <w:b/>
                <w:bCs/>
                <w:i/>
                <w:iCs/>
                <w:color w:val="000000"/>
                <w:sz w:val="24"/>
                <w:szCs w:val="26"/>
                <w:lang w:eastAsia="tr-TR"/>
              </w:rPr>
              <w:t>mevzuatına</w:t>
            </w:r>
            <w:proofErr w:type="gramEnd"/>
            <w:r w:rsidRPr="00625945">
              <w:rPr>
                <w:rFonts w:ascii="Times New Roman" w:eastAsia="Times New Roman" w:hAnsi="Times New Roman" w:cs="Times New Roman"/>
                <w:b/>
                <w:bCs/>
                <w:i/>
                <w:iCs/>
                <w:color w:val="000000"/>
                <w:sz w:val="24"/>
                <w:szCs w:val="26"/>
                <w:lang w:eastAsia="tr-TR"/>
              </w:rPr>
              <w:t xml:space="preserve"> göre</w:t>
            </w:r>
          </w:p>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proofErr w:type="gramStart"/>
            <w:r w:rsidRPr="00625945">
              <w:rPr>
                <w:rFonts w:ascii="Times New Roman" w:eastAsia="Times New Roman" w:hAnsi="Times New Roman" w:cs="Times New Roman"/>
                <w:b/>
                <w:bCs/>
                <w:i/>
                <w:iCs/>
                <w:color w:val="000000"/>
                <w:sz w:val="24"/>
                <w:szCs w:val="26"/>
                <w:lang w:eastAsia="tr-TR"/>
              </w:rPr>
              <w:t>uzman</w:t>
            </w:r>
            <w:proofErr w:type="gramEnd"/>
            <w:r w:rsidRPr="00625945">
              <w:rPr>
                <w:rFonts w:ascii="Times New Roman" w:eastAsia="Times New Roman" w:hAnsi="Times New Roman" w:cs="Times New Roman"/>
                <w:b/>
                <w:bCs/>
                <w:i/>
                <w:iCs/>
                <w:color w:val="000000"/>
                <w:sz w:val="24"/>
                <w:szCs w:val="26"/>
                <w:lang w:eastAsia="tr-TR"/>
              </w:rPr>
              <w:t xml:space="preserve"> olanlar</w:t>
            </w:r>
          </w:p>
        </w:tc>
        <w:tc>
          <w:tcPr>
            <w:tcW w:w="177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Uzman Diş Tabibi</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Diş Tabibi</w:t>
            </w:r>
          </w:p>
        </w:tc>
      </w:tr>
      <w:tr w:rsidR="00625945" w:rsidRPr="00625945" w:rsidTr="00625945">
        <w:trPr>
          <w:trHeight w:val="20"/>
          <w:jc w:val="center"/>
        </w:trPr>
        <w:tc>
          <w:tcPr>
            <w:tcW w:w="1272"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1</w:t>
            </w:r>
          </w:p>
        </w:tc>
        <w:tc>
          <w:tcPr>
            <w:tcW w:w="2290"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535</w:t>
            </w:r>
          </w:p>
        </w:tc>
        <w:tc>
          <w:tcPr>
            <w:tcW w:w="1869"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400</w:t>
            </w:r>
          </w:p>
        </w:tc>
        <w:tc>
          <w:tcPr>
            <w:tcW w:w="1778"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365</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235</w:t>
            </w:r>
          </w:p>
        </w:tc>
      </w:tr>
      <w:tr w:rsidR="00625945" w:rsidRPr="00625945" w:rsidTr="00625945">
        <w:trPr>
          <w:trHeight w:val="20"/>
          <w:jc w:val="center"/>
        </w:trPr>
        <w:tc>
          <w:tcPr>
            <w:tcW w:w="1272"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2-3</w:t>
            </w:r>
          </w:p>
        </w:tc>
        <w:tc>
          <w:tcPr>
            <w:tcW w:w="2290"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520</w:t>
            </w:r>
          </w:p>
        </w:tc>
        <w:tc>
          <w:tcPr>
            <w:tcW w:w="1869"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390</w:t>
            </w:r>
          </w:p>
        </w:tc>
        <w:tc>
          <w:tcPr>
            <w:tcW w:w="1778"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360</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230</w:t>
            </w:r>
          </w:p>
        </w:tc>
      </w:tr>
      <w:tr w:rsidR="00625945" w:rsidRPr="00625945" w:rsidTr="00625945">
        <w:trPr>
          <w:trHeight w:val="20"/>
          <w:jc w:val="center"/>
        </w:trPr>
        <w:tc>
          <w:tcPr>
            <w:tcW w:w="1272"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4-5</w:t>
            </w:r>
          </w:p>
        </w:tc>
        <w:tc>
          <w:tcPr>
            <w:tcW w:w="2290"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480</w:t>
            </w:r>
          </w:p>
        </w:tc>
        <w:tc>
          <w:tcPr>
            <w:tcW w:w="1869"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340</w:t>
            </w:r>
          </w:p>
        </w:tc>
        <w:tc>
          <w:tcPr>
            <w:tcW w:w="1778"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325</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195</w:t>
            </w:r>
          </w:p>
        </w:tc>
      </w:tr>
      <w:tr w:rsidR="00625945" w:rsidRPr="00625945" w:rsidTr="00625945">
        <w:trPr>
          <w:trHeight w:val="20"/>
          <w:jc w:val="center"/>
        </w:trPr>
        <w:tc>
          <w:tcPr>
            <w:tcW w:w="1272"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6-7</w:t>
            </w:r>
          </w:p>
        </w:tc>
        <w:tc>
          <w:tcPr>
            <w:tcW w:w="2290"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440</w:t>
            </w:r>
          </w:p>
        </w:tc>
        <w:tc>
          <w:tcPr>
            <w:tcW w:w="1869"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300</w:t>
            </w:r>
          </w:p>
        </w:tc>
        <w:tc>
          <w:tcPr>
            <w:tcW w:w="1778"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305</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185</w:t>
            </w:r>
          </w:p>
        </w:tc>
      </w:tr>
      <w:tr w:rsidR="00625945" w:rsidRPr="00625945" w:rsidTr="00625945">
        <w:trPr>
          <w:trHeight w:val="20"/>
          <w:jc w:val="center"/>
        </w:trPr>
        <w:tc>
          <w:tcPr>
            <w:tcW w:w="1272"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both"/>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8-9</w:t>
            </w:r>
          </w:p>
        </w:tc>
        <w:tc>
          <w:tcPr>
            <w:tcW w:w="2290"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400</w:t>
            </w:r>
          </w:p>
        </w:tc>
        <w:tc>
          <w:tcPr>
            <w:tcW w:w="1869"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270</w:t>
            </w:r>
          </w:p>
        </w:tc>
        <w:tc>
          <w:tcPr>
            <w:tcW w:w="1778" w:type="dxa"/>
            <w:tcBorders>
              <w:top w:val="nil"/>
              <w:left w:val="single" w:sz="8" w:space="0" w:color="000000"/>
              <w:bottom w:val="single" w:sz="8" w:space="0" w:color="000000"/>
              <w:right w:val="nil"/>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300</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5945" w:rsidRPr="00625945" w:rsidRDefault="00625945" w:rsidP="00625945">
            <w:pPr>
              <w:spacing w:before="100" w:beforeAutospacing="1" w:after="100" w:afterAutospacing="1" w:line="240" w:lineRule="auto"/>
              <w:ind w:firstLine="24"/>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b/>
                <w:bCs/>
                <w:i/>
                <w:iCs/>
                <w:color w:val="000000"/>
                <w:sz w:val="24"/>
                <w:szCs w:val="26"/>
                <w:lang w:eastAsia="tr-TR"/>
              </w:rPr>
              <w:t>180</w:t>
            </w:r>
          </w:p>
        </w:tc>
      </w:tr>
    </w:tbl>
    <w:p w:rsidR="00625945" w:rsidRP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i/>
          <w:iCs/>
          <w:color w:val="000000"/>
          <w:sz w:val="24"/>
          <w:szCs w:val="26"/>
          <w:lang w:eastAsia="tr-TR"/>
        </w:rPr>
        <w:t> </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25945">
        <w:rPr>
          <w:rFonts w:ascii="Times New Roman" w:eastAsia="Times New Roman" w:hAnsi="Times New Roman" w:cs="Times New Roman"/>
          <w:b/>
          <w:bCs/>
          <w:i/>
          <w:iCs/>
          <w:color w:val="000000"/>
          <w:sz w:val="24"/>
          <w:szCs w:val="26"/>
          <w:lang w:eastAsia="tr-TR"/>
        </w:rPr>
        <w:t>Sağlık hizmetleri tazminatının oranları ile usul ve esasları, personelin rütbesi, unvanı, görevi, çalışma şartları ve süresi, görev yeri ve özellikleri, eğitim-öğretim ve araştırma faaliyetleri ve mesleki uygulamaları ve özellik arz eden riskli bölümlerde çalışma gibi hizmete katkı unsurları esas alınarak Maliye Bakanlığının görüşü, Genelkurmay Başkanlığının uygun görüşü üzerine Milli Savunma Bakanlığınca belirlenir.</w:t>
      </w:r>
      <w:proofErr w:type="gramEnd"/>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i/>
          <w:iCs/>
          <w:color w:val="000000"/>
          <w:sz w:val="24"/>
          <w:szCs w:val="26"/>
          <w:lang w:eastAsia="tr-TR"/>
        </w:rPr>
        <w:t>Sağlık hizmetleri tazminatından yararlanan personele, (…)</w:t>
      </w:r>
      <w:proofErr w:type="gramStart"/>
      <w:r w:rsidRPr="00625945">
        <w:rPr>
          <w:rFonts w:ascii="Times New Roman" w:eastAsia="Times New Roman" w:hAnsi="Times New Roman" w:cs="Times New Roman"/>
          <w:b/>
          <w:bCs/>
          <w:i/>
          <w:iCs/>
          <w:color w:val="000000"/>
          <w:sz w:val="24"/>
          <w:szCs w:val="26"/>
          <w:lang w:eastAsia="tr-TR"/>
        </w:rPr>
        <w:t>17/11/1983</w:t>
      </w:r>
      <w:proofErr w:type="gramEnd"/>
      <w:r w:rsidRPr="00625945">
        <w:rPr>
          <w:rFonts w:ascii="Times New Roman" w:eastAsia="Times New Roman" w:hAnsi="Times New Roman" w:cs="Times New Roman"/>
          <w:b/>
          <w:bCs/>
          <w:i/>
          <w:iCs/>
          <w:color w:val="000000"/>
          <w:sz w:val="24"/>
          <w:szCs w:val="26"/>
          <w:lang w:eastAsia="tr-TR"/>
        </w:rPr>
        <w:t xml:space="preserve"> tarihli ve 2957 sayılı Kanunun 6 </w:t>
      </w:r>
      <w:proofErr w:type="spellStart"/>
      <w:r w:rsidRPr="00625945">
        <w:rPr>
          <w:rFonts w:ascii="Times New Roman" w:eastAsia="Times New Roman" w:hAnsi="Times New Roman" w:cs="Times New Roman"/>
          <w:b/>
          <w:bCs/>
          <w:i/>
          <w:iCs/>
          <w:color w:val="000000"/>
          <w:sz w:val="24"/>
          <w:szCs w:val="26"/>
          <w:lang w:eastAsia="tr-TR"/>
        </w:rPr>
        <w:t>ncı</w:t>
      </w:r>
      <w:proofErr w:type="spellEnd"/>
      <w:r w:rsidRPr="00625945">
        <w:rPr>
          <w:rFonts w:ascii="Times New Roman" w:eastAsia="Times New Roman" w:hAnsi="Times New Roman" w:cs="Times New Roman"/>
          <w:b/>
          <w:bCs/>
          <w:i/>
          <w:iCs/>
          <w:color w:val="000000"/>
          <w:sz w:val="24"/>
          <w:szCs w:val="26"/>
          <w:lang w:eastAsia="tr-TR"/>
        </w:rPr>
        <w:t xml:space="preserve"> maddesi, 10/6/1985 tarihli ve 3225 sayılı Kanunun 14 üncü maddesi ve </w:t>
      </w:r>
      <w:r w:rsidRPr="00625945">
        <w:rPr>
          <w:rFonts w:ascii="Times New Roman" w:eastAsia="Times New Roman" w:hAnsi="Times New Roman" w:cs="Times New Roman"/>
          <w:b/>
          <w:bCs/>
          <w:i/>
          <w:iCs/>
          <w:color w:val="000000"/>
          <w:sz w:val="24"/>
          <w:szCs w:val="26"/>
          <w:lang w:eastAsia="tr-TR"/>
        </w:rPr>
        <w:lastRenderedPageBreak/>
        <w:t>27/6/1989 tarihli ve 375 sayılı Kanun Hükmünde Kararnamenin ek 9 uncu maddesi hükümlerine göre ödeme yapılmaz.</w:t>
      </w:r>
      <w:r w:rsidRPr="00625945">
        <w:rPr>
          <w:rFonts w:ascii="Times New Roman" w:eastAsia="Times New Roman" w:hAnsi="Times New Roman" w:cs="Times New Roman"/>
          <w:i/>
          <w:iCs/>
          <w:color w:val="000000"/>
          <w:sz w:val="24"/>
          <w:szCs w:val="26"/>
          <w:lang w:eastAsia="tr-TR"/>
        </w:rPr>
        <w:t>”</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III- İLK İNCELEME</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Başvuru kararı ve ekleri, Raportör Yunus Emre YILMAZOĞLU tarafından hazırlanan ilk inceleme raporu, itiraz konusu yasa kuralları, dayanılan Anayasa kuralı ve bunların gerekçeleri ile diğer yasama belgeleri okunup incelendikten sonra </w:t>
      </w:r>
      <w:r w:rsidRPr="00625945">
        <w:rPr>
          <w:rFonts w:ascii="Times New Roman" w:eastAsia="Times New Roman" w:hAnsi="Times New Roman" w:cs="Times New Roman"/>
          <w:color w:val="000000"/>
          <w:sz w:val="24"/>
          <w:szCs w:val="26"/>
          <w:shd w:val="clear" w:color="auto" w:fill="FFFFFF"/>
          <w:lang w:eastAsia="tr-TR"/>
        </w:rPr>
        <w:t>öncelikle uygulanacak kural, on yıllık süre ve </w:t>
      </w:r>
      <w:r w:rsidRPr="00625945">
        <w:rPr>
          <w:rFonts w:ascii="Times New Roman" w:eastAsia="Times New Roman" w:hAnsi="Times New Roman" w:cs="Times New Roman"/>
          <w:color w:val="000000"/>
          <w:sz w:val="24"/>
          <w:szCs w:val="26"/>
          <w:lang w:eastAsia="tr-TR"/>
        </w:rPr>
        <w:t>yöntemine uygun bir başvuru yapılıp yapılmadığı sorunları üzerinde görüşülüp düşünüldü:</w:t>
      </w:r>
    </w:p>
    <w:p w:rsidR="00625945" w:rsidRP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shd w:val="clear" w:color="auto" w:fill="FFFFFF"/>
          <w:lang w:eastAsia="tr-TR"/>
        </w:rPr>
        <w:t>A-</w:t>
      </w:r>
      <w:r w:rsidRPr="00625945">
        <w:rPr>
          <w:rFonts w:ascii="Times New Roman" w:eastAsia="Times New Roman" w:hAnsi="Times New Roman" w:cs="Times New Roman"/>
          <w:b/>
          <w:bCs/>
          <w:color w:val="000000"/>
          <w:sz w:val="24"/>
          <w:szCs w:val="26"/>
          <w:lang w:eastAsia="tr-TR"/>
        </w:rPr>
        <w:t> Kanun’un Ek 17. Maddesine, 5947 Sayılı Kanun’un 12. Maddesiyle Eklenen (Ç) Fıkrasının Birinci ve İkinci Paragraflarının İncelenmesi</w:t>
      </w:r>
      <w:r w:rsidRPr="00625945">
        <w:rPr>
          <w:rFonts w:ascii="Times New Roman" w:eastAsia="Times New Roman" w:hAnsi="Times New Roman" w:cs="Times New Roman"/>
          <w:color w:val="000000"/>
          <w:sz w:val="24"/>
          <w:szCs w:val="26"/>
          <w:shd w:val="clear" w:color="auto" w:fill="FFFFFF"/>
          <w:lang w:eastAsia="tr-TR"/>
        </w:rPr>
        <w:t>    </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Anayasa’nın 152. ve 6216 sayılı Kanun’un 40. maddesine göre, bir davaya bakmakta olan mahkeme, o dava sebebiyle uygulanacak</w:t>
      </w:r>
      <w:r w:rsidRPr="00625945">
        <w:rPr>
          <w:rFonts w:ascii="Times New Roman" w:eastAsia="Times New Roman" w:hAnsi="Times New Roman" w:cs="Times New Roman"/>
          <w:color w:val="000000"/>
          <w:spacing w:val="-1"/>
          <w:sz w:val="24"/>
          <w:szCs w:val="26"/>
          <w:lang w:eastAsia="tr-TR"/>
        </w:rPr>
        <w:t> bir kanun veya kanun hükmünde kararnamenin hükümlerini Anayasa’ya aykırı </w:t>
      </w:r>
      <w:r w:rsidRPr="00625945">
        <w:rPr>
          <w:rFonts w:ascii="Times New Roman" w:eastAsia="Times New Roman" w:hAnsi="Times New Roman" w:cs="Times New Roman"/>
          <w:color w:val="000000"/>
          <w:sz w:val="24"/>
          <w:szCs w:val="26"/>
          <w:lang w:eastAsia="tr-TR"/>
        </w:rPr>
        <w:t>görürse</w:t>
      </w:r>
      <w:r w:rsidRPr="00625945">
        <w:rPr>
          <w:rFonts w:ascii="Times New Roman" w:eastAsia="Times New Roman" w:hAnsi="Times New Roman" w:cs="Times New Roman"/>
          <w:color w:val="000000"/>
          <w:spacing w:val="-1"/>
          <w:sz w:val="24"/>
          <w:szCs w:val="26"/>
          <w:lang w:eastAsia="tr-TR"/>
        </w:rPr>
        <w:t> veya taraflardan birinin ileri sürdüğü aykırılık iddiasının ciddi olduğu kanısına varırsa o hükmün iptali için Anayasa Mahkemesine başvurmaya yetkilidir. Ancak, bu kurallar uyarınca bir mahkemenin Anayasa Mahkemesine başvurabilmesi için elinde yöntemince açılmış ve görevine giren bir dava bulunması ve iptali istenen kuralın da o davada uygulanacak olması gerekmektedir. Uygulanacak yasa kuralları, davanın değişik evrelerinde ortaya çıkan sorunların çözümünde ve davayı sonuçlandırmada olumlu ya da olumsuz yönde etki yapacak nitelikte bulunan kurallardır.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Başvuru kararında, Kanun’un ek 17. maddesine, 5947 sayılı Kanun’un 12. maddesiyle eklenen (Ç) fıkrasının tamamının iptali istenilmektedir.</w:t>
      </w:r>
    </w:p>
    <w:p w:rsidR="00625945" w:rsidRP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shd w:val="clear" w:color="auto" w:fill="FFFFFF"/>
          <w:lang w:eastAsia="tr-TR"/>
        </w:rPr>
        <w:t>Fıkranın birinci paragrafında, </w:t>
      </w:r>
      <w:r w:rsidRPr="00625945">
        <w:rPr>
          <w:rFonts w:ascii="Times New Roman" w:eastAsia="Times New Roman" w:hAnsi="Times New Roman" w:cs="Times New Roman"/>
          <w:color w:val="000000"/>
          <w:sz w:val="24"/>
          <w:szCs w:val="26"/>
          <w:lang w:eastAsia="tr-TR"/>
        </w:rPr>
        <w:t>Türk Silahlı Kuvvetleri kadrolarında bulunan ve rütbeleri belirtilen personelden öğretim üyesi tabip, öğretim üyesi diş tabibi, uzman tabip, uzman diş tabibi, tabip, diş tabibi ve tıpta uzmanlık mevzuatında belirtilen dallarda bu mevzuat hükümlerine göre uzman olanlara tabloda gösterilen sağlık hizmetleri tazminatının ödeneceği hükme bağlanmıştır. Fıkraya, 6514 sayılı Kanun’un 16. maddesiyle</w:t>
      </w:r>
      <w:r w:rsidRPr="00625945">
        <w:rPr>
          <w:rFonts w:ascii="Times New Roman" w:eastAsia="Times New Roman" w:hAnsi="Times New Roman" w:cs="Times New Roman"/>
          <w:color w:val="000000"/>
          <w:sz w:val="24"/>
          <w:szCs w:val="26"/>
          <w:shd w:val="clear" w:color="auto" w:fill="FFFFFF"/>
          <w:lang w:eastAsia="tr-TR"/>
        </w:rPr>
        <w:t> eklenen</w:t>
      </w:r>
      <w:r w:rsidRPr="00625945">
        <w:rPr>
          <w:rFonts w:ascii="Times New Roman" w:eastAsia="Times New Roman" w:hAnsi="Times New Roman" w:cs="Times New Roman"/>
          <w:color w:val="000000"/>
          <w:sz w:val="24"/>
          <w:szCs w:val="26"/>
          <w:lang w:eastAsia="tr-TR"/>
        </w:rPr>
        <w:t> ikinci paragrafta ise birinci paragrafta sayılan kişilerden öğretim üyesi tabip ve öğretim üyesi diş tabiplerine ödenecek tazminatın artırımlı olarak uygulanacağı hükmüne yer verilmiştir.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shd w:val="clear" w:color="auto" w:fill="FFFFFF"/>
          <w:lang w:eastAsia="tr-TR"/>
        </w:rPr>
        <w:t>Başvuran mahkemede bakılmakta olan davada davacı, 657 sayılı Devlet Memurları Kanunu’na göre hizmet veren sivil memur statüsündeki bir hemşire olup kuralın birinci ve ikinci paragrafında sayılan personel kapsamında değerlendirilmesi olanaklı değildir. </w:t>
      </w:r>
      <w:r w:rsidRPr="00625945">
        <w:rPr>
          <w:rFonts w:ascii="Times New Roman" w:eastAsia="Times New Roman" w:hAnsi="Times New Roman" w:cs="Times New Roman"/>
          <w:color w:val="000000"/>
          <w:sz w:val="24"/>
          <w:szCs w:val="26"/>
          <w:lang w:eastAsia="tr-TR"/>
        </w:rPr>
        <w:t>Dolayısıyla, Kanun’un ek 17. maddesine, 5947 sayılı Kanun’un 12. maddesiyle eklenen (Ç) fıkrasının birinci ve ikinci paragraflarının, bakılmakta olan davada uygulanma olanağı bulunmadığından, bu paragraflara ilişkin başvurunun Mahkemenin yetkisizliği nedeniyle reddi gerekir.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B- Kanun’un Ek 17. Maddesine, 5947 Sayılı Kanun’un 12. Maddesiyle Eklenen (Ç) Fıkrasının Üçüncü ve Dördüncü Paragraflarının İncelenmesi</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25945">
        <w:rPr>
          <w:rFonts w:ascii="Times New Roman" w:eastAsia="Times New Roman" w:hAnsi="Times New Roman" w:cs="Times New Roman"/>
          <w:color w:val="000000"/>
          <w:sz w:val="24"/>
          <w:szCs w:val="26"/>
          <w:lang w:eastAsia="tr-TR"/>
        </w:rPr>
        <w:t>Anayasa’nın “</w:t>
      </w:r>
      <w:r w:rsidRPr="00625945">
        <w:rPr>
          <w:rFonts w:ascii="Times New Roman" w:eastAsia="Times New Roman" w:hAnsi="Times New Roman" w:cs="Times New Roman"/>
          <w:i/>
          <w:iCs/>
          <w:color w:val="000000"/>
          <w:sz w:val="24"/>
          <w:szCs w:val="26"/>
          <w:lang w:eastAsia="tr-TR"/>
        </w:rPr>
        <w:t>Anayasaya Aykırılığın Diğer Mahkemelerde İleri Sürülmesi</w:t>
      </w:r>
      <w:r w:rsidRPr="00625945">
        <w:rPr>
          <w:rFonts w:ascii="Times New Roman" w:eastAsia="Times New Roman" w:hAnsi="Times New Roman" w:cs="Times New Roman"/>
          <w:color w:val="000000"/>
          <w:sz w:val="24"/>
          <w:szCs w:val="26"/>
          <w:lang w:eastAsia="tr-TR"/>
        </w:rPr>
        <w:t>” başlığını taşıyan 152. maddesinin son fıkrasında, “</w:t>
      </w:r>
      <w:r w:rsidRPr="00625945">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625945">
        <w:rPr>
          <w:rFonts w:ascii="Times New Roman" w:eastAsia="Times New Roman" w:hAnsi="Times New Roman" w:cs="Times New Roman"/>
          <w:i/>
          <w:iCs/>
          <w:color w:val="000000"/>
          <w:sz w:val="24"/>
          <w:szCs w:val="26"/>
          <w:lang w:eastAsia="tr-TR"/>
        </w:rPr>
        <w:t>red</w:t>
      </w:r>
      <w:proofErr w:type="spellEnd"/>
      <w:r w:rsidRPr="00625945">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625945">
        <w:rPr>
          <w:rFonts w:ascii="Times New Roman" w:eastAsia="Times New Roman" w:hAnsi="Times New Roman" w:cs="Times New Roman"/>
          <w:color w:val="000000"/>
          <w:sz w:val="24"/>
          <w:szCs w:val="26"/>
          <w:lang w:eastAsia="tr-TR"/>
        </w:rPr>
        <w:t xml:space="preserve">” ve 6216 sayılı </w:t>
      </w:r>
      <w:r w:rsidRPr="00625945">
        <w:rPr>
          <w:rFonts w:ascii="Times New Roman" w:eastAsia="Times New Roman" w:hAnsi="Times New Roman" w:cs="Times New Roman"/>
          <w:color w:val="000000"/>
          <w:sz w:val="24"/>
          <w:szCs w:val="26"/>
          <w:lang w:eastAsia="tr-TR"/>
        </w:rPr>
        <w:lastRenderedPageBreak/>
        <w:t>Kanun’un “</w:t>
      </w:r>
      <w:r w:rsidRPr="00625945">
        <w:rPr>
          <w:rFonts w:ascii="Times New Roman" w:eastAsia="Times New Roman" w:hAnsi="Times New Roman" w:cs="Times New Roman"/>
          <w:i/>
          <w:iCs/>
          <w:color w:val="000000"/>
          <w:sz w:val="24"/>
          <w:szCs w:val="26"/>
          <w:lang w:eastAsia="tr-TR"/>
        </w:rPr>
        <w:t>Başvuruya Engel Durumlar</w:t>
      </w:r>
      <w:r w:rsidRPr="00625945">
        <w:rPr>
          <w:rFonts w:ascii="Times New Roman" w:eastAsia="Times New Roman" w:hAnsi="Times New Roman" w:cs="Times New Roman"/>
          <w:color w:val="000000"/>
          <w:sz w:val="24"/>
          <w:szCs w:val="26"/>
          <w:lang w:eastAsia="tr-TR"/>
        </w:rPr>
        <w:t>” başlığını taşıyan 41. maddesinin (1) numaralı fıkrasında da “</w:t>
      </w:r>
      <w:r w:rsidRPr="00625945">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625945">
        <w:rPr>
          <w:rFonts w:ascii="Times New Roman" w:eastAsia="Times New Roman" w:hAnsi="Times New Roman" w:cs="Times New Roman"/>
          <w:color w:val="000000"/>
          <w:sz w:val="24"/>
          <w:szCs w:val="26"/>
          <w:lang w:eastAsia="tr-TR"/>
        </w:rPr>
        <w:t>” hükümlerine yer verilmiştir.</w:t>
      </w:r>
      <w:proofErr w:type="gramEnd"/>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25945">
        <w:rPr>
          <w:rFonts w:ascii="Times New Roman" w:eastAsia="Times New Roman" w:hAnsi="Times New Roman" w:cs="Times New Roman"/>
          <w:color w:val="000000"/>
          <w:sz w:val="24"/>
          <w:szCs w:val="26"/>
          <w:lang w:eastAsia="tr-TR"/>
        </w:rPr>
        <w:t>Kanun’un ek 17. maddesine, 5947 sayılı Kanun’un 12. maddesiyle eklenen (Ç) fıkrasının, </w:t>
      </w:r>
      <w:r w:rsidRPr="00625945">
        <w:rPr>
          <w:rFonts w:ascii="Times New Roman" w:eastAsia="Times New Roman" w:hAnsi="Times New Roman" w:cs="Times New Roman"/>
          <w:i/>
          <w:iCs/>
          <w:color w:val="000000"/>
          <w:sz w:val="24"/>
          <w:szCs w:val="26"/>
          <w:lang w:eastAsia="tr-TR"/>
        </w:rPr>
        <w:t>“Türk Silahlı Kuvvetleri”</w:t>
      </w:r>
      <w:r w:rsidRPr="00625945">
        <w:rPr>
          <w:rFonts w:ascii="Times New Roman" w:eastAsia="Times New Roman" w:hAnsi="Times New Roman" w:cs="Times New Roman"/>
          <w:color w:val="000000"/>
          <w:sz w:val="24"/>
          <w:szCs w:val="26"/>
          <w:lang w:eastAsia="tr-TR"/>
        </w:rPr>
        <w:t> ve </w:t>
      </w:r>
      <w:r w:rsidRPr="00625945">
        <w:rPr>
          <w:rFonts w:ascii="Times New Roman" w:eastAsia="Times New Roman" w:hAnsi="Times New Roman" w:cs="Times New Roman"/>
          <w:i/>
          <w:iCs/>
          <w:color w:val="000000"/>
          <w:sz w:val="24"/>
          <w:szCs w:val="26"/>
          <w:lang w:eastAsia="tr-TR"/>
        </w:rPr>
        <w:t>“Sağlık hizmetleri tazminatının”</w:t>
      </w:r>
      <w:r w:rsidRPr="00625945">
        <w:rPr>
          <w:rFonts w:ascii="Times New Roman" w:eastAsia="Times New Roman" w:hAnsi="Times New Roman" w:cs="Times New Roman"/>
          <w:color w:val="000000"/>
          <w:sz w:val="24"/>
          <w:szCs w:val="26"/>
          <w:lang w:eastAsia="tr-TR"/>
        </w:rPr>
        <w:t xml:space="preserve"> ibareleri ile başlayan üçüncü ve dördüncü paragraflarına yönelik daha önce yapılan iptal başvurusu, Anayasa Mahkemesinin, 16.7.2010 günlü, E.2010/29, K.2010/90 sayılı kararıyla esastan reddedilmiş ve bu karar 4.12.2010 günlü, 27775 sayılı Resmî </w:t>
      </w:r>
      <w:proofErr w:type="spellStart"/>
      <w:r w:rsidRPr="00625945">
        <w:rPr>
          <w:rFonts w:ascii="Times New Roman" w:eastAsia="Times New Roman" w:hAnsi="Times New Roman" w:cs="Times New Roman"/>
          <w:color w:val="000000"/>
          <w:sz w:val="24"/>
          <w:szCs w:val="26"/>
          <w:lang w:eastAsia="tr-TR"/>
        </w:rPr>
        <w:t>Gazete’de</w:t>
      </w:r>
      <w:proofErr w:type="spellEnd"/>
      <w:r w:rsidRPr="00625945">
        <w:rPr>
          <w:rFonts w:ascii="Times New Roman" w:eastAsia="Times New Roman" w:hAnsi="Times New Roman" w:cs="Times New Roman"/>
          <w:color w:val="000000"/>
          <w:sz w:val="24"/>
          <w:szCs w:val="26"/>
          <w:lang w:eastAsia="tr-TR"/>
        </w:rPr>
        <w:t xml:space="preserve"> yayımlanmıştır.</w:t>
      </w:r>
      <w:proofErr w:type="gramEnd"/>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25945">
        <w:rPr>
          <w:rFonts w:ascii="Times New Roman" w:eastAsia="Times New Roman" w:hAnsi="Times New Roman" w:cs="Times New Roman"/>
          <w:color w:val="000000"/>
          <w:sz w:val="24"/>
          <w:szCs w:val="26"/>
          <w:shd w:val="clear" w:color="auto" w:fill="FFFFFF"/>
          <w:lang w:eastAsia="tr-TR"/>
        </w:rPr>
        <w:t>Fıkranın üçüncü paragrafında belirtilen personele ödenecek tazminat oranlarına ilişkin tablonun </w:t>
      </w:r>
      <w:r w:rsidRPr="00625945">
        <w:rPr>
          <w:rFonts w:ascii="Times New Roman" w:eastAsia="Times New Roman" w:hAnsi="Times New Roman" w:cs="Times New Roman"/>
          <w:i/>
          <w:iCs/>
          <w:color w:val="000000"/>
          <w:sz w:val="24"/>
          <w:szCs w:val="26"/>
          <w:shd w:val="clear" w:color="auto" w:fill="FFFFFF"/>
          <w:lang w:eastAsia="tr-TR"/>
        </w:rPr>
        <w:t>“uzman diş tabibi”</w:t>
      </w:r>
      <w:r w:rsidRPr="00625945">
        <w:rPr>
          <w:rFonts w:ascii="Times New Roman" w:eastAsia="Times New Roman" w:hAnsi="Times New Roman" w:cs="Times New Roman"/>
          <w:color w:val="000000"/>
          <w:sz w:val="24"/>
          <w:szCs w:val="26"/>
          <w:shd w:val="clear" w:color="auto" w:fill="FFFFFF"/>
          <w:lang w:eastAsia="tr-TR"/>
        </w:rPr>
        <w:t> başlıklı üçüncü sütunu ve </w:t>
      </w:r>
      <w:r w:rsidRPr="00625945">
        <w:rPr>
          <w:rFonts w:ascii="Times New Roman" w:eastAsia="Times New Roman" w:hAnsi="Times New Roman" w:cs="Times New Roman"/>
          <w:i/>
          <w:iCs/>
          <w:color w:val="000000"/>
          <w:sz w:val="24"/>
          <w:szCs w:val="26"/>
          <w:shd w:val="clear" w:color="auto" w:fill="FFFFFF"/>
          <w:lang w:eastAsia="tr-TR"/>
        </w:rPr>
        <w:t>“diş tabibi”</w:t>
      </w:r>
      <w:r w:rsidRPr="00625945">
        <w:rPr>
          <w:rFonts w:ascii="Times New Roman" w:eastAsia="Times New Roman" w:hAnsi="Times New Roman" w:cs="Times New Roman"/>
          <w:color w:val="000000"/>
          <w:sz w:val="24"/>
          <w:szCs w:val="26"/>
          <w:shd w:val="clear" w:color="auto" w:fill="FFFFFF"/>
          <w:lang w:eastAsia="tr-TR"/>
        </w:rPr>
        <w:t> başlıklı dördüncü sütununa yönelik itiraz başvurusu ise </w:t>
      </w:r>
      <w:r w:rsidRPr="00625945">
        <w:rPr>
          <w:rFonts w:ascii="Times New Roman" w:eastAsia="Times New Roman" w:hAnsi="Times New Roman" w:cs="Times New Roman"/>
          <w:color w:val="000000"/>
          <w:sz w:val="24"/>
          <w:szCs w:val="26"/>
          <w:lang w:eastAsia="tr-TR"/>
        </w:rPr>
        <w:t xml:space="preserve">Anayasa Mahkemesinin, 17.5.2012 günlü, E.2011/90, K.2012/71 sayılı kararıyla esastan reddedilmiş ve bu karar, 1.1.2013 günlü, 28515 sayılı Resmî </w:t>
      </w:r>
      <w:proofErr w:type="spellStart"/>
      <w:r w:rsidRPr="00625945">
        <w:rPr>
          <w:rFonts w:ascii="Times New Roman" w:eastAsia="Times New Roman" w:hAnsi="Times New Roman" w:cs="Times New Roman"/>
          <w:color w:val="000000"/>
          <w:sz w:val="24"/>
          <w:szCs w:val="26"/>
          <w:lang w:eastAsia="tr-TR"/>
        </w:rPr>
        <w:t>Gazete’de</w:t>
      </w:r>
      <w:proofErr w:type="spellEnd"/>
      <w:r w:rsidRPr="00625945">
        <w:rPr>
          <w:rFonts w:ascii="Times New Roman" w:eastAsia="Times New Roman" w:hAnsi="Times New Roman" w:cs="Times New Roman"/>
          <w:color w:val="000000"/>
          <w:sz w:val="24"/>
          <w:szCs w:val="26"/>
          <w:lang w:eastAsia="tr-TR"/>
        </w:rPr>
        <w:t xml:space="preserve"> yayımlanmıştır.</w:t>
      </w:r>
      <w:proofErr w:type="gramEnd"/>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shd w:val="clear" w:color="auto" w:fill="FFFFFF"/>
          <w:lang w:eastAsia="tr-TR"/>
        </w:rPr>
        <w:t>Anayasa Mahkemesince işin esasına girilerek reddedilen, </w:t>
      </w:r>
      <w:r w:rsidRPr="00625945">
        <w:rPr>
          <w:rFonts w:ascii="Times New Roman" w:eastAsia="Times New Roman" w:hAnsi="Times New Roman" w:cs="Times New Roman"/>
          <w:color w:val="000000"/>
          <w:sz w:val="24"/>
          <w:szCs w:val="26"/>
          <w:lang w:eastAsia="tr-TR"/>
        </w:rPr>
        <w:t>Kanun’un itiraz konusu ek 17. maddesinin (Ç) fıkrasının üçüncü ve dördüncü paragrafları</w:t>
      </w:r>
      <w:r w:rsidRPr="00625945">
        <w:rPr>
          <w:rFonts w:ascii="Times New Roman" w:eastAsia="Times New Roman" w:hAnsi="Times New Roman" w:cs="Times New Roman"/>
          <w:color w:val="000000"/>
          <w:sz w:val="24"/>
          <w:szCs w:val="26"/>
          <w:shd w:val="clear" w:color="auto" w:fill="FFFFFF"/>
          <w:lang w:eastAsia="tr-TR"/>
        </w:rPr>
        <w:t xml:space="preserve"> hakkında yeni bir başvurunun yapılabilmesi için ilgili kararların yukarıda anılan Resmî </w:t>
      </w:r>
      <w:proofErr w:type="spellStart"/>
      <w:r w:rsidRPr="00625945">
        <w:rPr>
          <w:rFonts w:ascii="Times New Roman" w:eastAsia="Times New Roman" w:hAnsi="Times New Roman" w:cs="Times New Roman"/>
          <w:color w:val="000000"/>
          <w:sz w:val="24"/>
          <w:szCs w:val="26"/>
          <w:shd w:val="clear" w:color="auto" w:fill="FFFFFF"/>
          <w:lang w:eastAsia="tr-TR"/>
        </w:rPr>
        <w:t>Gazete’de</w:t>
      </w:r>
      <w:proofErr w:type="spellEnd"/>
      <w:r w:rsidRPr="00625945">
        <w:rPr>
          <w:rFonts w:ascii="Times New Roman" w:eastAsia="Times New Roman" w:hAnsi="Times New Roman" w:cs="Times New Roman"/>
          <w:color w:val="000000"/>
          <w:sz w:val="24"/>
          <w:szCs w:val="26"/>
          <w:shd w:val="clear" w:color="auto" w:fill="FFFFFF"/>
          <w:lang w:eastAsia="tr-TR"/>
        </w:rPr>
        <w:t xml:space="preserve"> yayımlandıkları tarihlerden başlayarak geçmesi gereken on yıllık süre henüz dolmamıştır.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Fıkranın üçüncü paragrafını izleyen tablonun birinci ve ikinci sütunu yönünden daha önce Anayasa Mahkemesince işin esasına girilerek verilmiş bir ret kararı bulunmamaktadır. Ancak, “</w:t>
      </w:r>
      <w:r w:rsidRPr="00625945">
        <w:rPr>
          <w:rFonts w:ascii="Times New Roman" w:eastAsia="Times New Roman" w:hAnsi="Times New Roman" w:cs="Times New Roman"/>
          <w:i/>
          <w:iCs/>
          <w:color w:val="000000"/>
          <w:sz w:val="24"/>
          <w:szCs w:val="26"/>
          <w:lang w:eastAsia="tr-TR"/>
        </w:rPr>
        <w:t>Türk Silahlı Kuvvetleri kadrolarında görevli sivil öğretim üyesi tabiplere ve 657 sayılı Devlet Memurları Kanununa tabi olarak görev yapan uzman tabip, uzman diş tabibi, tabip ve diş tabiplerinin”</w:t>
      </w:r>
      <w:r w:rsidRPr="00625945">
        <w:rPr>
          <w:rFonts w:ascii="Times New Roman" w:eastAsia="Times New Roman" w:hAnsi="Times New Roman" w:cs="Times New Roman"/>
          <w:b/>
          <w:bCs/>
          <w:i/>
          <w:iCs/>
          <w:color w:val="000000"/>
          <w:sz w:val="24"/>
          <w:szCs w:val="26"/>
          <w:lang w:eastAsia="tr-TR"/>
        </w:rPr>
        <w:t> </w:t>
      </w:r>
      <w:r w:rsidRPr="00625945">
        <w:rPr>
          <w:rFonts w:ascii="Times New Roman" w:eastAsia="Times New Roman" w:hAnsi="Times New Roman" w:cs="Times New Roman"/>
          <w:color w:val="000000"/>
          <w:sz w:val="24"/>
          <w:szCs w:val="26"/>
          <w:lang w:eastAsia="tr-TR"/>
        </w:rPr>
        <w:t>sağlık hizmetleri tazminatından yararlandırılacağını öngören üçüncü paragraf ile bu kişilere ödenecek tazminat oranlarını gösteren tablo arasında bir bütünlük bulunmaktadır. Dolayısıyla, tabloda sadece üçüncü paragrafta değinilen personele yer verildiğinden, bir başka ifadeyle üçüncü paragrafta sayılmayan kişilere tabloda yer verilmediğinden, sivil memurlara kuralda yer verilmemesinin Anayasa’nın 10. maddesine aykırılık oluşturduğu yönündeki iddianın incelemesinde tablonun birinci ve ikinci sütununun paragraftan bağımsız olarak ele alınmasına olanak bulunmamaktadır.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shd w:val="clear" w:color="auto" w:fill="FFFFFF"/>
          <w:lang w:eastAsia="tr-TR"/>
        </w:rPr>
        <w:t>Açıklanan nedenlerle, Kanun’un ek 17. maddesine, 5947 sayılı Kanun’un 12. maddesiyle eklenen (Ç) fıkrasının üçüncü ve dördüncü paragraflarının iptallerine karar verilmesi istemiyle yapılan itiraz başvurusunun, Anayasa’nın 152. maddesinin son fıkrası ve 6216 sayılı Kanun’un 41. maddesinin (1) numaralı fıkrası gereğince reddi gerekir.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C- Kanun’un Ek 17. Maddesine, 5947 Sayılı Kanun’un 12. Maddesiyle Eklenen (Ç) Fıkrasının Beşinci Paragrafının İncelenmesi</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6216 sayılı Kanun’un  “</w:t>
      </w:r>
      <w:r w:rsidRPr="00625945">
        <w:rPr>
          <w:rFonts w:ascii="Times New Roman" w:eastAsia="Times New Roman" w:hAnsi="Times New Roman" w:cs="Times New Roman"/>
          <w:i/>
          <w:iCs/>
          <w:color w:val="000000"/>
          <w:sz w:val="24"/>
          <w:szCs w:val="26"/>
          <w:lang w:eastAsia="tr-TR"/>
        </w:rPr>
        <w:t>Anayasaya aykırılığın mahkemelerce ileri sürülmesi</w:t>
      </w:r>
      <w:r w:rsidRPr="00625945">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25945">
        <w:rPr>
          <w:rFonts w:ascii="Times New Roman" w:eastAsia="Times New Roman" w:hAnsi="Times New Roman" w:cs="Times New Roman"/>
          <w:color w:val="000000"/>
          <w:sz w:val="24"/>
          <w:szCs w:val="26"/>
          <w:lang w:eastAsia="tr-TR"/>
        </w:rPr>
        <w:t xml:space="preserve">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w:t>
      </w:r>
      <w:r w:rsidRPr="00625945">
        <w:rPr>
          <w:rFonts w:ascii="Times New Roman" w:eastAsia="Times New Roman" w:hAnsi="Times New Roman" w:cs="Times New Roman"/>
          <w:color w:val="000000"/>
          <w:sz w:val="24"/>
          <w:szCs w:val="26"/>
          <w:lang w:eastAsia="tr-TR"/>
        </w:rPr>
        <w:lastRenderedPageBreak/>
        <w:t>Anayasa Mahkemesine göndereceği kurala bağlanmış; anılan fıkranın (a) bendinde de Mahkemeye gönderilecek belgeler arasında “</w:t>
      </w:r>
      <w:r w:rsidRPr="00625945">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625945">
        <w:rPr>
          <w:rFonts w:ascii="Times New Roman" w:eastAsia="Times New Roman" w:hAnsi="Times New Roman" w:cs="Times New Roman"/>
          <w:color w:val="000000"/>
          <w:sz w:val="24"/>
          <w:szCs w:val="26"/>
          <w:lang w:eastAsia="tr-TR"/>
        </w:rPr>
        <w:t xml:space="preserve">” sayılmıştır. </w:t>
      </w:r>
      <w:proofErr w:type="gramEnd"/>
      <w:r w:rsidRPr="00625945">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xml:space="preserve">Anayasa Mahkemesi </w:t>
      </w:r>
      <w:proofErr w:type="spellStart"/>
      <w:r w:rsidRPr="00625945">
        <w:rPr>
          <w:rFonts w:ascii="Times New Roman" w:eastAsia="Times New Roman" w:hAnsi="Times New Roman" w:cs="Times New Roman"/>
          <w:color w:val="000000"/>
          <w:sz w:val="24"/>
          <w:szCs w:val="26"/>
          <w:lang w:eastAsia="tr-TR"/>
        </w:rPr>
        <w:t>İçtüzüğü’nün</w:t>
      </w:r>
      <w:proofErr w:type="spellEnd"/>
      <w:r w:rsidRPr="00625945">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xml:space="preserve">Yine </w:t>
      </w:r>
      <w:proofErr w:type="spellStart"/>
      <w:r w:rsidRPr="00625945">
        <w:rPr>
          <w:rFonts w:ascii="Times New Roman" w:eastAsia="Times New Roman" w:hAnsi="Times New Roman" w:cs="Times New Roman"/>
          <w:color w:val="000000"/>
          <w:sz w:val="24"/>
          <w:szCs w:val="26"/>
          <w:lang w:eastAsia="tr-TR"/>
        </w:rPr>
        <w:t>İçtüzük’ün</w:t>
      </w:r>
      <w:proofErr w:type="spellEnd"/>
      <w:r w:rsidRPr="00625945">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belirtilmiştir.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shd w:val="clear" w:color="auto" w:fill="FFFFFF"/>
          <w:lang w:eastAsia="tr-TR"/>
        </w:rPr>
        <w:t xml:space="preserve">Kanun’un ek 17. maddesine, 5947 sayılı Kanun’un 12. maddesiyle eklenen (Ç) </w:t>
      </w:r>
      <w:proofErr w:type="spellStart"/>
      <w:r w:rsidRPr="00625945">
        <w:rPr>
          <w:rFonts w:ascii="Times New Roman" w:eastAsia="Times New Roman" w:hAnsi="Times New Roman" w:cs="Times New Roman"/>
          <w:color w:val="000000"/>
          <w:sz w:val="24"/>
          <w:szCs w:val="26"/>
          <w:shd w:val="clear" w:color="auto" w:fill="FFFFFF"/>
          <w:lang w:eastAsia="tr-TR"/>
        </w:rPr>
        <w:t>fıkrasının</w:t>
      </w:r>
      <w:r w:rsidRPr="00625945">
        <w:rPr>
          <w:rFonts w:ascii="Times New Roman" w:eastAsia="Times New Roman" w:hAnsi="Times New Roman" w:cs="Times New Roman"/>
          <w:color w:val="000000"/>
          <w:sz w:val="24"/>
          <w:szCs w:val="26"/>
          <w:lang w:eastAsia="tr-TR"/>
        </w:rPr>
        <w:t>beşinci</w:t>
      </w:r>
      <w:proofErr w:type="spellEnd"/>
      <w:r w:rsidRPr="00625945">
        <w:rPr>
          <w:rFonts w:ascii="Times New Roman" w:eastAsia="Times New Roman" w:hAnsi="Times New Roman" w:cs="Times New Roman"/>
          <w:color w:val="000000"/>
          <w:sz w:val="24"/>
          <w:szCs w:val="26"/>
          <w:lang w:eastAsia="tr-TR"/>
        </w:rPr>
        <w:t xml:space="preserve"> paragrafında söz konusu tazminattan yararlanan personele maddede belirtilen kanun hükümlerine göre ödeme yapılamayacağına ilişkin düzenleme yer almaktadır.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Başvuru kararında,</w:t>
      </w:r>
      <w:r w:rsidRPr="00625945">
        <w:rPr>
          <w:rFonts w:ascii="Times New Roman" w:eastAsia="Times New Roman" w:hAnsi="Times New Roman" w:cs="Times New Roman"/>
          <w:color w:val="000000"/>
          <w:sz w:val="24"/>
          <w:szCs w:val="26"/>
          <w:shd w:val="clear" w:color="auto" w:fill="FFFFFF"/>
          <w:lang w:eastAsia="tr-TR"/>
        </w:rPr>
        <w:t> fıkranın</w:t>
      </w:r>
      <w:r w:rsidRPr="00625945">
        <w:rPr>
          <w:rFonts w:ascii="Times New Roman" w:eastAsia="Times New Roman" w:hAnsi="Times New Roman" w:cs="Times New Roman"/>
          <w:color w:val="000000"/>
          <w:sz w:val="24"/>
          <w:szCs w:val="26"/>
          <w:lang w:eastAsia="tr-TR"/>
        </w:rPr>
        <w:t> beşinci paragrafının tamamının iptali istenildiği hâlde, </w:t>
      </w:r>
      <w:r w:rsidRPr="00625945">
        <w:rPr>
          <w:rFonts w:ascii="Times New Roman" w:eastAsia="Times New Roman" w:hAnsi="Times New Roman" w:cs="Times New Roman"/>
          <w:color w:val="000000"/>
          <w:sz w:val="24"/>
          <w:szCs w:val="26"/>
          <w:shd w:val="clear" w:color="auto" w:fill="FFFFFF"/>
          <w:lang w:eastAsia="tr-TR"/>
        </w:rPr>
        <w:t>Anayasa’nın hangi maddelerine, hangi nedenlerle aykırı olduğuna ilişkin herhangi bir gerekçeye yer verilmediği saptanmıştır.</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shd w:val="clear" w:color="auto" w:fill="FFFFFF"/>
          <w:lang w:eastAsia="tr-TR"/>
        </w:rPr>
        <w:t xml:space="preserve">Açıklanan nedenlerle, 6216 sayılı Kanun’un 40. maddesinin (1) numaralı fıkrasının (a) bendi ile Anayasa Mahkemesi </w:t>
      </w:r>
      <w:proofErr w:type="spellStart"/>
      <w:r w:rsidRPr="00625945">
        <w:rPr>
          <w:rFonts w:ascii="Times New Roman" w:eastAsia="Times New Roman" w:hAnsi="Times New Roman" w:cs="Times New Roman"/>
          <w:color w:val="000000"/>
          <w:sz w:val="24"/>
          <w:szCs w:val="26"/>
          <w:shd w:val="clear" w:color="auto" w:fill="FFFFFF"/>
          <w:lang w:eastAsia="tr-TR"/>
        </w:rPr>
        <w:t>İçtüzüğü’nün</w:t>
      </w:r>
      <w:proofErr w:type="spellEnd"/>
      <w:r w:rsidRPr="00625945">
        <w:rPr>
          <w:rFonts w:ascii="Times New Roman" w:eastAsia="Times New Roman" w:hAnsi="Times New Roman" w:cs="Times New Roman"/>
          <w:color w:val="000000"/>
          <w:sz w:val="24"/>
          <w:szCs w:val="26"/>
          <w:shd w:val="clear" w:color="auto" w:fill="FFFFFF"/>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p>
    <w:p w:rsidR="00625945" w:rsidRP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b/>
          <w:bCs/>
          <w:color w:val="000000"/>
          <w:sz w:val="24"/>
          <w:szCs w:val="26"/>
          <w:lang w:eastAsia="tr-TR"/>
        </w:rPr>
        <w:t>IV- SONUÇ</w:t>
      </w:r>
      <w:r w:rsidRPr="00625945">
        <w:rPr>
          <w:rFonts w:ascii="Times New Roman" w:eastAsia="Times New Roman" w:hAnsi="Times New Roman" w:cs="Times New Roman"/>
          <w:color w:val="000000"/>
          <w:sz w:val="24"/>
          <w:szCs w:val="26"/>
          <w:lang w:eastAsia="tr-TR"/>
        </w:rPr>
        <w:t>    </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xml:space="preserve">27.7.1967 günlü, 926 sayılı Türk </w:t>
      </w:r>
      <w:proofErr w:type="spellStart"/>
      <w:r w:rsidRPr="00625945">
        <w:rPr>
          <w:rFonts w:ascii="Times New Roman" w:eastAsia="Times New Roman" w:hAnsi="Times New Roman" w:cs="Times New Roman"/>
          <w:color w:val="000000"/>
          <w:sz w:val="24"/>
          <w:szCs w:val="26"/>
          <w:lang w:eastAsia="tr-TR"/>
        </w:rPr>
        <w:t>Silâhlı</w:t>
      </w:r>
      <w:proofErr w:type="spellEnd"/>
      <w:r w:rsidRPr="00625945">
        <w:rPr>
          <w:rFonts w:ascii="Times New Roman" w:eastAsia="Times New Roman" w:hAnsi="Times New Roman" w:cs="Times New Roman"/>
          <w:color w:val="000000"/>
          <w:sz w:val="24"/>
          <w:szCs w:val="26"/>
          <w:lang w:eastAsia="tr-TR"/>
        </w:rPr>
        <w:t xml:space="preserve"> Kuvvetleri Personel Kanunu’nun ek 17. maddesine, 21.1.2010 günlü, 5947 sayılı Kanun’un 12. maddesiyle eklenen (Ç) fıkrasının;</w:t>
      </w:r>
    </w:p>
    <w:p w:rsidR="00625945" w:rsidRP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A- 1- Birinci paragrafının,    </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2- 2.1.2014 günlü, 6514 sayılı Kanun’un 16. maddesiyle eklenen ikinci paragrafının,</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25945">
        <w:rPr>
          <w:rFonts w:ascii="Times New Roman" w:eastAsia="Times New Roman" w:hAnsi="Times New Roman" w:cs="Times New Roman"/>
          <w:color w:val="000000"/>
          <w:sz w:val="24"/>
          <w:szCs w:val="26"/>
          <w:lang w:eastAsia="tr-TR"/>
        </w:rPr>
        <w:t>itiraz</w:t>
      </w:r>
      <w:proofErr w:type="gramEnd"/>
      <w:r w:rsidRPr="00625945">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paragraflara ilişkin başvurunun Mahkemenin yetkisizliği nedeniyle REDDİNE,</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5945">
        <w:rPr>
          <w:rFonts w:ascii="Times New Roman" w:eastAsia="Times New Roman" w:hAnsi="Times New Roman" w:cs="Times New Roman"/>
          <w:color w:val="000000"/>
          <w:sz w:val="24"/>
          <w:szCs w:val="26"/>
          <w:lang w:eastAsia="tr-TR"/>
        </w:rPr>
        <w:t>B- Üçüncü ve dördüncü paragraflarının iptallerine karar verilmesi istemiyle yapılan itiraz başvurusunun, Anayasa’nın 152. maddesinin son fıkrası ve 6216 sayılı Anayasa Mahkemesinin Kuruluşu ve Yargılama Usulleri Hakkında Kanun’un 41. maddesinin (1) numaralı fıkrası gereğince REDDİNE,</w:t>
      </w:r>
    </w:p>
    <w:p w:rsid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lastRenderedPageBreak/>
        <w:t>C- Beşinci paragrafının iptaline karar verilmesi istemiyle yapılan itiraz başvurusunun, 6216 sayılı Kanun’un 40. maddesinin (4) numaralı fıkrası gereğince yöntemine uygun olmadığından, esas incelemeye geçilmeksizin REDDİNE,</w:t>
      </w:r>
    </w:p>
    <w:p w:rsidR="00625945" w:rsidRP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22.10.2014 gününde OYBİRLİĞİYLE karar verildi.</w:t>
      </w:r>
    </w:p>
    <w:p w:rsidR="00625945" w:rsidRPr="00625945" w:rsidRDefault="00625945" w:rsidP="00625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5945" w:rsidRPr="00625945" w:rsidTr="00625945">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    Başkan</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Başkanvekili</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25945">
              <w:rPr>
                <w:rFonts w:ascii="Times New Roman" w:eastAsia="Times New Roman" w:hAnsi="Times New Roman" w:cs="Times New Roman"/>
                <w:color w:val="000000"/>
                <w:sz w:val="24"/>
                <w:szCs w:val="26"/>
                <w:lang w:eastAsia="tr-TR"/>
              </w:rPr>
              <w:t>Serruh</w:t>
            </w:r>
            <w:proofErr w:type="spellEnd"/>
            <w:r w:rsidRPr="00625945">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Başkanvekili</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Alparslan ALTAN</w:t>
            </w:r>
          </w:p>
        </w:tc>
      </w:tr>
    </w:tbl>
    <w:p w:rsid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P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P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5945" w:rsidRPr="00625945" w:rsidTr="00625945">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 xml:space="preserve">Osman </w:t>
            </w:r>
            <w:proofErr w:type="spellStart"/>
            <w:r w:rsidRPr="00625945">
              <w:rPr>
                <w:rFonts w:ascii="Times New Roman" w:eastAsia="Times New Roman" w:hAnsi="Times New Roman" w:cs="Times New Roman"/>
                <w:color w:val="000000"/>
                <w:sz w:val="24"/>
                <w:szCs w:val="26"/>
                <w:lang w:eastAsia="tr-TR"/>
              </w:rPr>
              <w:t>Alifeyyaz</w:t>
            </w:r>
            <w:proofErr w:type="spellEnd"/>
            <w:r w:rsidRPr="00625945">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Zehra Ayla PERKTAŞ</w:t>
            </w:r>
          </w:p>
        </w:tc>
      </w:tr>
    </w:tbl>
    <w:p w:rsid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P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P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5945" w:rsidRPr="00625945" w:rsidTr="00625945">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Engin YILDIRIM</w:t>
            </w:r>
          </w:p>
        </w:tc>
      </w:tr>
    </w:tbl>
    <w:p w:rsid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P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P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5945" w:rsidRPr="00625945" w:rsidTr="00625945">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25945">
              <w:rPr>
                <w:rFonts w:ascii="Times New Roman" w:eastAsia="Times New Roman" w:hAnsi="Times New Roman" w:cs="Times New Roman"/>
                <w:color w:val="000000"/>
                <w:sz w:val="24"/>
                <w:szCs w:val="26"/>
                <w:lang w:eastAsia="tr-TR"/>
              </w:rPr>
              <w:t>Hicabi</w:t>
            </w:r>
            <w:proofErr w:type="spellEnd"/>
            <w:r w:rsidRPr="00625945">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Celal Mümtaz AKINCI</w:t>
            </w:r>
          </w:p>
        </w:tc>
      </w:tr>
    </w:tbl>
    <w:p w:rsid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lastRenderedPageBreak/>
        <w:t> </w:t>
      </w:r>
    </w:p>
    <w:p w:rsidR="00625945" w:rsidRP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P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5945" w:rsidRPr="00625945" w:rsidTr="00625945">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Zühtü ARSLAN</w:t>
            </w:r>
          </w:p>
        </w:tc>
      </w:tr>
    </w:tbl>
    <w:p w:rsid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P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p w:rsidR="00625945" w:rsidRPr="00625945" w:rsidRDefault="00625945" w:rsidP="00625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2594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25945" w:rsidRPr="00625945" w:rsidTr="00625945">
        <w:tc>
          <w:tcPr>
            <w:tcW w:w="2500"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Üye</w:t>
            </w:r>
          </w:p>
          <w:p w:rsidR="00625945" w:rsidRPr="00625945" w:rsidRDefault="00625945" w:rsidP="00625945">
            <w:pPr>
              <w:spacing w:before="100" w:beforeAutospacing="1" w:after="100" w:afterAutospacing="1" w:line="240" w:lineRule="auto"/>
              <w:jc w:val="center"/>
              <w:rPr>
                <w:rFonts w:ascii="Times New Roman" w:eastAsia="Times New Roman" w:hAnsi="Times New Roman" w:cs="Times New Roman"/>
                <w:sz w:val="24"/>
                <w:lang w:eastAsia="tr-TR"/>
              </w:rPr>
            </w:pPr>
            <w:r w:rsidRPr="00625945">
              <w:rPr>
                <w:rFonts w:ascii="Times New Roman" w:eastAsia="Times New Roman" w:hAnsi="Times New Roman" w:cs="Times New Roman"/>
                <w:color w:val="000000"/>
                <w:sz w:val="24"/>
                <w:szCs w:val="26"/>
                <w:lang w:eastAsia="tr-TR"/>
              </w:rPr>
              <w:t>Hasan Tahsin GÖKCAN</w:t>
            </w:r>
          </w:p>
        </w:tc>
      </w:tr>
    </w:tbl>
    <w:p w:rsidR="00CE1FB9" w:rsidRPr="00625945" w:rsidRDefault="00CE1FB9" w:rsidP="00625945">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25945" w:rsidSect="0062594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9D7" w:rsidRDefault="00EA09D7" w:rsidP="00625945">
      <w:pPr>
        <w:spacing w:after="0" w:line="240" w:lineRule="auto"/>
      </w:pPr>
      <w:r>
        <w:separator/>
      </w:r>
    </w:p>
  </w:endnote>
  <w:endnote w:type="continuationSeparator" w:id="0">
    <w:p w:rsidR="00EA09D7" w:rsidRDefault="00EA09D7" w:rsidP="0062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45" w:rsidRDefault="00625945" w:rsidP="000F4E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5945" w:rsidRDefault="00625945" w:rsidP="006259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45" w:rsidRPr="00625945" w:rsidRDefault="00625945" w:rsidP="000F4E44">
    <w:pPr>
      <w:pStyle w:val="Altbilgi"/>
      <w:framePr w:wrap="around" w:vAnchor="text" w:hAnchor="margin" w:xAlign="right" w:y="1"/>
      <w:rPr>
        <w:rStyle w:val="SayfaNumaras"/>
        <w:rFonts w:ascii="Times New Roman" w:hAnsi="Times New Roman" w:cs="Times New Roman"/>
      </w:rPr>
    </w:pPr>
    <w:r w:rsidRPr="00625945">
      <w:rPr>
        <w:rStyle w:val="SayfaNumaras"/>
        <w:rFonts w:ascii="Times New Roman" w:hAnsi="Times New Roman" w:cs="Times New Roman"/>
      </w:rPr>
      <w:fldChar w:fldCharType="begin"/>
    </w:r>
    <w:r w:rsidRPr="00625945">
      <w:rPr>
        <w:rStyle w:val="SayfaNumaras"/>
        <w:rFonts w:ascii="Times New Roman" w:hAnsi="Times New Roman" w:cs="Times New Roman"/>
      </w:rPr>
      <w:instrText xml:space="preserve">PAGE  </w:instrText>
    </w:r>
    <w:r w:rsidRPr="0062594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625945">
      <w:rPr>
        <w:rStyle w:val="SayfaNumaras"/>
        <w:rFonts w:ascii="Times New Roman" w:hAnsi="Times New Roman" w:cs="Times New Roman"/>
      </w:rPr>
      <w:fldChar w:fldCharType="end"/>
    </w:r>
  </w:p>
  <w:p w:rsidR="00625945" w:rsidRPr="00625945" w:rsidRDefault="00625945" w:rsidP="0062594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45" w:rsidRDefault="006259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9D7" w:rsidRDefault="00EA09D7" w:rsidP="00625945">
      <w:pPr>
        <w:spacing w:after="0" w:line="240" w:lineRule="auto"/>
      </w:pPr>
      <w:r>
        <w:separator/>
      </w:r>
    </w:p>
  </w:footnote>
  <w:footnote w:type="continuationSeparator" w:id="0">
    <w:p w:rsidR="00EA09D7" w:rsidRDefault="00EA09D7" w:rsidP="00625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45" w:rsidRDefault="0062594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45" w:rsidRDefault="0062594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/163</w:t>
    </w:r>
  </w:p>
  <w:p w:rsidR="00625945" w:rsidRDefault="0062594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/157</w:t>
    </w:r>
  </w:p>
  <w:p w:rsidR="00625945" w:rsidRPr="00625945" w:rsidRDefault="0062594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45" w:rsidRDefault="006259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AA"/>
    <w:rsid w:val="002040AA"/>
    <w:rsid w:val="00625945"/>
    <w:rsid w:val="00CE1FB9"/>
    <w:rsid w:val="00EA0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5CA53-F39E-4AD4-B0B1-3398F2AD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25945"/>
  </w:style>
  <w:style w:type="paragraph" w:styleId="NormalWeb">
    <w:name w:val="Normal (Web)"/>
    <w:basedOn w:val="Normal"/>
    <w:uiPriority w:val="99"/>
    <w:semiHidden/>
    <w:unhideWhenUsed/>
    <w:rsid w:val="006259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259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945"/>
  </w:style>
  <w:style w:type="paragraph" w:styleId="Altbilgi">
    <w:name w:val="footer"/>
    <w:basedOn w:val="Normal"/>
    <w:link w:val="AltbilgiChar"/>
    <w:uiPriority w:val="99"/>
    <w:unhideWhenUsed/>
    <w:rsid w:val="006259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945"/>
  </w:style>
  <w:style w:type="character" w:styleId="SayfaNumaras">
    <w:name w:val="page number"/>
    <w:basedOn w:val="VarsaylanParagrafYazTipi"/>
    <w:uiPriority w:val="99"/>
    <w:semiHidden/>
    <w:unhideWhenUsed/>
    <w:rsid w:val="0062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2019-02-19T06:14:00Z</dcterms:created>
  <dcterms:modified xsi:type="dcterms:W3CDTF">2019-02-19T06:17:00Z</dcterms:modified>
</cp:coreProperties>
</file>