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AB" w:rsidRPr="00812CAB" w:rsidRDefault="00812CAB" w:rsidP="00812CA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szCs w:val="30"/>
          <w:lang w:eastAsia="tr-TR"/>
        </w:rPr>
        <w:t>ANAYASA MAHKEMESİ KARARI</w:t>
      </w: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812CAB">
        <w:rPr>
          <w:rFonts w:ascii="Times New Roman" w:eastAsia="Times New Roman" w:hAnsi="Times New Roman" w:cs="Times New Roman"/>
          <w:b/>
          <w:bCs/>
          <w:color w:val="000000"/>
          <w:sz w:val="24"/>
          <w:lang w:eastAsia="tr-TR"/>
        </w:rPr>
        <w:t>: 2012</w:t>
      </w:r>
      <w:proofErr w:type="gramEnd"/>
      <w:r w:rsidRPr="00812CAB">
        <w:rPr>
          <w:rFonts w:ascii="Times New Roman" w:eastAsia="Times New Roman" w:hAnsi="Times New Roman" w:cs="Times New Roman"/>
          <w:b/>
          <w:bCs/>
          <w:color w:val="000000"/>
          <w:sz w:val="24"/>
          <w:lang w:eastAsia="tr-TR"/>
        </w:rPr>
        <w:t>/91</w:t>
      </w:r>
    </w:p>
    <w:p w:rsidR="00812CAB" w:rsidRPr="00812CAB" w:rsidRDefault="00812CAB" w:rsidP="00812CA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12CAB">
        <w:rPr>
          <w:rFonts w:ascii="Times New Roman" w:eastAsia="Times New Roman" w:hAnsi="Times New Roman" w:cs="Times New Roman"/>
          <w:b/>
          <w:bCs/>
          <w:color w:val="000000"/>
          <w:sz w:val="24"/>
          <w:lang w:eastAsia="tr-TR"/>
        </w:rPr>
        <w:t xml:space="preserve">Karar </w:t>
      </w:r>
      <w:proofErr w:type="gramStart"/>
      <w:r w:rsidRPr="00812CAB">
        <w:rPr>
          <w:rFonts w:ascii="Times New Roman" w:eastAsia="Times New Roman" w:hAnsi="Times New Roman" w:cs="Times New Roman"/>
          <w:b/>
          <w:bCs/>
          <w:color w:val="000000"/>
          <w:sz w:val="24"/>
          <w:lang w:eastAsia="tr-TR"/>
        </w:rPr>
        <w:t>Sayısı : 2013</w:t>
      </w:r>
      <w:proofErr w:type="gramEnd"/>
      <w:r w:rsidRPr="00812CAB">
        <w:rPr>
          <w:rFonts w:ascii="Times New Roman" w:eastAsia="Times New Roman" w:hAnsi="Times New Roman" w:cs="Times New Roman"/>
          <w:b/>
          <w:bCs/>
          <w:color w:val="000000"/>
          <w:sz w:val="24"/>
          <w:lang w:eastAsia="tr-TR"/>
        </w:rPr>
        <w:t>/86</w:t>
      </w:r>
    </w:p>
    <w:p w:rsidR="00812CAB" w:rsidRPr="00812CAB" w:rsidRDefault="00812CAB" w:rsidP="00812CA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12CAB">
        <w:rPr>
          <w:rFonts w:ascii="Times New Roman" w:eastAsia="Times New Roman" w:hAnsi="Times New Roman" w:cs="Times New Roman"/>
          <w:b/>
          <w:bCs/>
          <w:color w:val="000000"/>
          <w:sz w:val="24"/>
          <w:lang w:eastAsia="tr-TR"/>
        </w:rPr>
        <w:t xml:space="preserve">Karar </w:t>
      </w:r>
      <w:proofErr w:type="gramStart"/>
      <w:r w:rsidRPr="00812CAB">
        <w:rPr>
          <w:rFonts w:ascii="Times New Roman" w:eastAsia="Times New Roman" w:hAnsi="Times New Roman" w:cs="Times New Roman"/>
          <w:b/>
          <w:bCs/>
          <w:color w:val="000000"/>
          <w:sz w:val="24"/>
          <w:lang w:eastAsia="tr-TR"/>
        </w:rPr>
        <w:t>Günü : 10</w:t>
      </w:r>
      <w:proofErr w:type="gramEnd"/>
      <w:r w:rsidRPr="00812CAB">
        <w:rPr>
          <w:rFonts w:ascii="Times New Roman" w:eastAsia="Times New Roman" w:hAnsi="Times New Roman" w:cs="Times New Roman"/>
          <w:b/>
          <w:bCs/>
          <w:color w:val="000000"/>
          <w:sz w:val="24"/>
          <w:lang w:eastAsia="tr-TR"/>
        </w:rPr>
        <w:t>.7.2013</w:t>
      </w:r>
    </w:p>
    <w:p w:rsidR="00812CAB" w:rsidRDefault="00812CAB" w:rsidP="00812CAB">
      <w:pPr>
        <w:shd w:val="clear" w:color="auto" w:fill="FFFFFF"/>
        <w:spacing w:after="0" w:line="240" w:lineRule="auto"/>
        <w:jc w:val="both"/>
        <w:rPr>
          <w:rFonts w:ascii="Times New Roman" w:eastAsia="Times New Roman" w:hAnsi="Times New Roman" w:cs="Times New Roman"/>
          <w:color w:val="000000"/>
          <w:sz w:val="24"/>
          <w:lang w:eastAsia="tr-TR"/>
        </w:rPr>
      </w:pPr>
      <w:r w:rsidRPr="00812CAB">
        <w:rPr>
          <w:rFonts w:ascii="Times New Roman" w:eastAsia="Times New Roman" w:hAnsi="Times New Roman" w:cs="Times New Roman"/>
          <w:b/>
          <w:bCs/>
          <w:color w:val="000000"/>
          <w:sz w:val="24"/>
          <w:lang w:eastAsia="tr-TR"/>
        </w:rPr>
        <w:t>R.G. Tarih-</w:t>
      </w:r>
      <w:proofErr w:type="gramStart"/>
      <w:r w:rsidRPr="00812CAB">
        <w:rPr>
          <w:rFonts w:ascii="Times New Roman" w:eastAsia="Times New Roman" w:hAnsi="Times New Roman" w:cs="Times New Roman"/>
          <w:b/>
          <w:bCs/>
          <w:color w:val="000000"/>
          <w:sz w:val="24"/>
          <w:lang w:eastAsia="tr-TR"/>
        </w:rPr>
        <w:t>Sayı : 27</w:t>
      </w:r>
      <w:proofErr w:type="gramEnd"/>
      <w:r w:rsidRPr="00812CAB">
        <w:rPr>
          <w:rFonts w:ascii="Times New Roman" w:eastAsia="Times New Roman" w:hAnsi="Times New Roman" w:cs="Times New Roman"/>
          <w:b/>
          <w:bCs/>
          <w:color w:val="000000"/>
          <w:sz w:val="24"/>
          <w:lang w:eastAsia="tr-TR"/>
        </w:rPr>
        <w:t>.3.2014-28954</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lang w:eastAsia="tr-TR"/>
        </w:rPr>
        <w:t>   </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lang w:eastAsia="tr-TR"/>
        </w:rPr>
        <w:t xml:space="preserve">İPTAL DAVASINI </w:t>
      </w:r>
      <w:proofErr w:type="gramStart"/>
      <w:r w:rsidRPr="00812CAB">
        <w:rPr>
          <w:rFonts w:ascii="Times New Roman" w:eastAsia="Times New Roman" w:hAnsi="Times New Roman" w:cs="Times New Roman"/>
          <w:b/>
          <w:bCs/>
          <w:color w:val="000000"/>
          <w:sz w:val="24"/>
          <w:lang w:eastAsia="tr-TR"/>
        </w:rPr>
        <w:t>AÇAN :</w:t>
      </w:r>
      <w:r w:rsidRPr="00812CAB">
        <w:rPr>
          <w:rFonts w:ascii="Times New Roman" w:eastAsia="Times New Roman" w:hAnsi="Times New Roman" w:cs="Times New Roman"/>
          <w:b/>
          <w:bCs/>
          <w:color w:val="000000"/>
          <w:sz w:val="24"/>
          <w:szCs w:val="19"/>
          <w:lang w:eastAsia="tr-TR"/>
        </w:rPr>
        <w:t> </w:t>
      </w:r>
      <w:r w:rsidRPr="00812CAB">
        <w:rPr>
          <w:rFonts w:ascii="Times New Roman" w:eastAsia="Times New Roman" w:hAnsi="Times New Roman" w:cs="Times New Roman"/>
          <w:color w:val="000000"/>
          <w:sz w:val="24"/>
          <w:szCs w:val="19"/>
          <w:lang w:eastAsia="tr-TR"/>
        </w:rPr>
        <w:t>Türkiye</w:t>
      </w:r>
      <w:proofErr w:type="gramEnd"/>
      <w:r w:rsidRPr="00812CAB">
        <w:rPr>
          <w:rFonts w:ascii="Times New Roman" w:eastAsia="Times New Roman" w:hAnsi="Times New Roman" w:cs="Times New Roman"/>
          <w:color w:val="000000"/>
          <w:sz w:val="24"/>
          <w:szCs w:val="19"/>
          <w:lang w:eastAsia="tr-TR"/>
        </w:rPr>
        <w:t xml:space="preserve"> Büyük Millet Meclisi Üyeleri M. Akif HAMZAÇEBİ ve Muharrem İNCE ile birlikte 118 milletvekili</w:t>
      </w:r>
      <w:r w:rsidRPr="00812CAB">
        <w:rPr>
          <w:rFonts w:ascii="Times New Roman" w:eastAsia="Times New Roman" w:hAnsi="Times New Roman" w:cs="Times New Roman"/>
          <w:b/>
          <w:bCs/>
          <w:color w:val="000000"/>
          <w:sz w:val="24"/>
          <w:szCs w:val="19"/>
          <w:lang w:eastAsia="tr-TR"/>
        </w:rPr>
        <w:t> </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lang w:eastAsia="tr-TR"/>
        </w:rPr>
        <w:t>İPTAL DAVASININ KONUSU :</w:t>
      </w:r>
      <w:r w:rsidRPr="00812CAB">
        <w:rPr>
          <w:rFonts w:ascii="Times New Roman" w:eastAsia="Times New Roman" w:hAnsi="Times New Roman" w:cs="Times New Roman"/>
          <w:color w:val="000000"/>
          <w:sz w:val="24"/>
          <w:szCs w:val="19"/>
          <w:lang w:eastAsia="tr-TR"/>
        </w:rPr>
        <w:t xml:space="preserve"> 31.5.2012 günlü, 6322 sayılı Amme Alacaklarının Tahsil Usulü Hakkında Kanun ile Bazı Kanunlarda Değişiklik Yapılmasına Dair Kanun'un 20. maddesiyle 2.7.1964 günlü, 492 sayılı Harçlar Kanunu'nun (8) SAYILI </w:t>
      </w:r>
      <w:proofErr w:type="spellStart"/>
      <w:r w:rsidRPr="00812CAB">
        <w:rPr>
          <w:rFonts w:ascii="Times New Roman" w:eastAsia="Times New Roman" w:hAnsi="Times New Roman" w:cs="Times New Roman"/>
          <w:color w:val="000000"/>
          <w:sz w:val="24"/>
          <w:szCs w:val="19"/>
          <w:lang w:eastAsia="tr-TR"/>
        </w:rPr>
        <w:t>TARİFESİ'ne</w:t>
      </w:r>
      <w:proofErr w:type="spellEnd"/>
      <w:r w:rsidRPr="00812CAB">
        <w:rPr>
          <w:rFonts w:ascii="Times New Roman" w:eastAsia="Times New Roman" w:hAnsi="Times New Roman" w:cs="Times New Roman"/>
          <w:color w:val="000000"/>
          <w:sz w:val="24"/>
          <w:szCs w:val="19"/>
          <w:lang w:eastAsia="tr-TR"/>
        </w:rPr>
        <w:t xml:space="preserve"> eklenen “</w:t>
      </w:r>
      <w:r w:rsidRPr="00812CAB">
        <w:rPr>
          <w:rFonts w:ascii="Times New Roman" w:eastAsia="Times New Roman" w:hAnsi="Times New Roman" w:cs="Times New Roman"/>
          <w:i/>
          <w:iCs/>
          <w:color w:val="000000"/>
          <w:sz w:val="24"/>
          <w:szCs w:val="19"/>
          <w:lang w:eastAsia="tr-TR"/>
        </w:rPr>
        <w:t>XIV- Denetim yetkilendirme belgeleri ve müşavirlik ruhsat harçları:</w:t>
      </w:r>
      <w:r w:rsidRPr="00812CAB">
        <w:rPr>
          <w:rFonts w:ascii="Times New Roman" w:eastAsia="Times New Roman" w:hAnsi="Times New Roman" w:cs="Times New Roman"/>
          <w:color w:val="000000"/>
          <w:sz w:val="24"/>
          <w:szCs w:val="19"/>
          <w:lang w:eastAsia="tr-TR"/>
        </w:rPr>
        <w:t>” bölümünün Anayasa'nın 2</w:t>
      </w:r>
      <w:proofErr w:type="gramStart"/>
      <w:r w:rsidRPr="00812CAB">
        <w:rPr>
          <w:rFonts w:ascii="Times New Roman" w:eastAsia="Times New Roman" w:hAnsi="Times New Roman" w:cs="Times New Roman"/>
          <w:color w:val="000000"/>
          <w:sz w:val="24"/>
          <w:szCs w:val="19"/>
          <w:lang w:eastAsia="tr-TR"/>
        </w:rPr>
        <w:t>.,</w:t>
      </w:r>
      <w:proofErr w:type="gramEnd"/>
      <w:r w:rsidRPr="00812CAB">
        <w:rPr>
          <w:rFonts w:ascii="Times New Roman" w:eastAsia="Times New Roman" w:hAnsi="Times New Roman" w:cs="Times New Roman"/>
          <w:color w:val="000000"/>
          <w:sz w:val="24"/>
          <w:szCs w:val="19"/>
          <w:lang w:eastAsia="tr-TR"/>
        </w:rPr>
        <w:t xml:space="preserve"> 10., 73. ve 167. maddelerine aykırılığı ileri sürülerek iptaline ve iptal davası sonuçlanıncaya kadar yürürlüğünün durdurulmasına karar verilmesi istemidir.</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lang w:eastAsia="tr-TR"/>
        </w:rPr>
        <w:t>II- YASA METİNLERİ</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lang w:eastAsia="tr-TR"/>
        </w:rPr>
        <w:t xml:space="preserve"> A- İptali İstenilen Yasa Kuralı</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xml:space="preserve">   6322 sayılı Kanun'un 20. maddesiyle, 492 sayılı Kanun'un (8) SAYILI </w:t>
      </w:r>
      <w:proofErr w:type="spellStart"/>
      <w:r w:rsidRPr="00812CAB">
        <w:rPr>
          <w:rFonts w:ascii="Times New Roman" w:eastAsia="Times New Roman" w:hAnsi="Times New Roman" w:cs="Times New Roman"/>
          <w:color w:val="000000"/>
          <w:sz w:val="24"/>
          <w:szCs w:val="19"/>
          <w:lang w:eastAsia="tr-TR"/>
        </w:rPr>
        <w:t>TARİFE'sine</w:t>
      </w:r>
      <w:proofErr w:type="spellEnd"/>
      <w:r w:rsidRPr="00812CAB">
        <w:rPr>
          <w:rFonts w:ascii="Times New Roman" w:eastAsia="Times New Roman" w:hAnsi="Times New Roman" w:cs="Times New Roman"/>
          <w:color w:val="000000"/>
          <w:sz w:val="24"/>
          <w:szCs w:val="19"/>
          <w:lang w:eastAsia="tr-TR"/>
        </w:rPr>
        <w:t xml:space="preserve"> eklenen dava konusu “</w:t>
      </w:r>
      <w:r w:rsidRPr="00812CAB">
        <w:rPr>
          <w:rFonts w:ascii="Times New Roman" w:eastAsia="Times New Roman" w:hAnsi="Times New Roman" w:cs="Times New Roman"/>
          <w:i/>
          <w:iCs/>
          <w:color w:val="000000"/>
          <w:sz w:val="24"/>
          <w:szCs w:val="19"/>
          <w:lang w:eastAsia="tr-TR"/>
        </w:rPr>
        <w:t>XIV- Denetim yetkilendirme belgeleri ve müşavirlik ruhsat harçları:</w:t>
      </w:r>
      <w:r w:rsidRPr="00812CAB">
        <w:rPr>
          <w:rFonts w:ascii="Times New Roman" w:eastAsia="Times New Roman" w:hAnsi="Times New Roman" w:cs="Times New Roman"/>
          <w:color w:val="000000"/>
          <w:sz w:val="24"/>
          <w:szCs w:val="19"/>
          <w:lang w:eastAsia="tr-TR"/>
        </w:rPr>
        <w:t>” bölümü şöyledir:</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w:t>
      </w:r>
      <w:r w:rsidRPr="00812CAB">
        <w:rPr>
          <w:rFonts w:ascii="Times New Roman" w:eastAsia="Times New Roman" w:hAnsi="Times New Roman" w:cs="Times New Roman"/>
          <w:b/>
          <w:bCs/>
          <w:i/>
          <w:iCs/>
          <w:color w:val="000000"/>
          <w:sz w:val="24"/>
          <w:szCs w:val="19"/>
          <w:lang w:eastAsia="tr-TR"/>
        </w:rPr>
        <w:t>XIV- Denetim yetkilendirme belgeleri ve müşavirlik ruhsat harçları:</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i/>
          <w:iCs/>
          <w:color w:val="000000"/>
          <w:sz w:val="24"/>
          <w:szCs w:val="19"/>
          <w:lang w:eastAsia="tr-TR"/>
        </w:rPr>
        <w:t>1- Denetim kuruluşları yetkilendirme belgeleri (Her yıl için):</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i/>
          <w:iCs/>
          <w:color w:val="000000"/>
          <w:sz w:val="24"/>
          <w:szCs w:val="19"/>
          <w:lang w:eastAsia="tr-TR"/>
        </w:rPr>
        <w:t> </w:t>
      </w:r>
    </w:p>
    <w:tbl>
      <w:tblPr>
        <w:tblW w:w="8070" w:type="dxa"/>
        <w:jc w:val="center"/>
        <w:tblCellMar>
          <w:left w:w="0" w:type="dxa"/>
          <w:right w:w="0" w:type="dxa"/>
        </w:tblCellMar>
        <w:tblLook w:val="04A0" w:firstRow="1" w:lastRow="0" w:firstColumn="1" w:lastColumn="0" w:noHBand="0" w:noVBand="1"/>
      </w:tblPr>
      <w:tblGrid>
        <w:gridCol w:w="8070"/>
      </w:tblGrid>
      <w:tr w:rsidR="00812CAB" w:rsidRPr="00812CAB" w:rsidTr="00812CAB">
        <w:trPr>
          <w:trHeight w:val="632"/>
          <w:jc w:val="center"/>
        </w:trPr>
        <w:tc>
          <w:tcPr>
            <w:tcW w:w="8070"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12CAB">
              <w:rPr>
                <w:rFonts w:ascii="Times New Roman" w:eastAsia="Times New Roman" w:hAnsi="Times New Roman" w:cs="Times New Roman"/>
                <w:b/>
                <w:bCs/>
                <w:i/>
                <w:iCs/>
                <w:sz w:val="24"/>
                <w:szCs w:val="19"/>
                <w:lang w:eastAsia="tr-TR"/>
              </w:rPr>
              <w:t>  a) Kamu yararını ilgilendiren kuruluşları denetleyecek bağımsız denetim kuruluşları yetkilendirme belgeleri:</w:t>
            </w:r>
          </w:p>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812CAB">
              <w:rPr>
                <w:rFonts w:ascii="Times New Roman" w:eastAsia="Times New Roman" w:hAnsi="Times New Roman" w:cs="Times New Roman"/>
                <w:b/>
                <w:bCs/>
                <w:i/>
                <w:iCs/>
                <w:sz w:val="24"/>
                <w:szCs w:val="19"/>
                <w:lang w:eastAsia="tr-TR"/>
              </w:rPr>
              <w:t>aa</w:t>
            </w:r>
            <w:proofErr w:type="spellEnd"/>
            <w:r w:rsidRPr="00812CAB">
              <w:rPr>
                <w:rFonts w:ascii="Times New Roman" w:eastAsia="Times New Roman" w:hAnsi="Times New Roman" w:cs="Times New Roman"/>
                <w:b/>
                <w:bCs/>
                <w:i/>
                <w:iCs/>
                <w:sz w:val="24"/>
                <w:szCs w:val="19"/>
                <w:lang w:eastAsia="tr-TR"/>
              </w:rPr>
              <w:t>) Belgenin verildiği yıl 30.000 TL</w:t>
            </w:r>
          </w:p>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812CAB">
              <w:rPr>
                <w:rFonts w:ascii="Times New Roman" w:eastAsia="Times New Roman" w:hAnsi="Times New Roman" w:cs="Times New Roman"/>
                <w:b/>
                <w:bCs/>
                <w:i/>
                <w:iCs/>
                <w:sz w:val="24"/>
                <w:szCs w:val="19"/>
                <w:lang w:eastAsia="tr-TR"/>
              </w:rPr>
              <w:t>bb</w:t>
            </w:r>
            <w:proofErr w:type="spellEnd"/>
            <w:r w:rsidRPr="00812CAB">
              <w:rPr>
                <w:rFonts w:ascii="Times New Roman" w:eastAsia="Times New Roman" w:hAnsi="Times New Roman" w:cs="Times New Roman"/>
                <w:b/>
                <w:bCs/>
                <w:i/>
                <w:iCs/>
                <w:sz w:val="24"/>
                <w:szCs w:val="19"/>
                <w:lang w:eastAsia="tr-TR"/>
              </w:rPr>
              <w:t>) Takip eden yıllarda 10.000 TL'den az olmamak üzere bağımsız denetim faaliyetlerinden elde edilen bir önceki yıl gayrisafi iş hasılatının Binde 5'i</w:t>
            </w:r>
          </w:p>
        </w:tc>
      </w:tr>
      <w:tr w:rsidR="00812CAB" w:rsidRPr="00812CAB" w:rsidTr="00812CAB">
        <w:trPr>
          <w:trHeight w:val="615"/>
          <w:jc w:val="center"/>
        </w:trPr>
        <w:tc>
          <w:tcPr>
            <w:tcW w:w="807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12CAB">
              <w:rPr>
                <w:rFonts w:ascii="Times New Roman" w:eastAsia="Times New Roman" w:hAnsi="Times New Roman" w:cs="Times New Roman"/>
                <w:b/>
                <w:bCs/>
                <w:i/>
                <w:iCs/>
                <w:sz w:val="24"/>
                <w:szCs w:val="19"/>
                <w:lang w:eastAsia="tr-TR"/>
              </w:rPr>
              <w:t>b) Diğer kuruluşları denetleyecek bağımsız denetim kuruluşları yetkilendirme belgeleri:</w:t>
            </w:r>
          </w:p>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812CAB">
              <w:rPr>
                <w:rFonts w:ascii="Times New Roman" w:eastAsia="Times New Roman" w:hAnsi="Times New Roman" w:cs="Times New Roman"/>
                <w:b/>
                <w:bCs/>
                <w:i/>
                <w:iCs/>
                <w:sz w:val="24"/>
                <w:szCs w:val="19"/>
                <w:lang w:eastAsia="tr-TR"/>
              </w:rPr>
              <w:t>aa</w:t>
            </w:r>
            <w:proofErr w:type="spellEnd"/>
            <w:r w:rsidRPr="00812CAB">
              <w:rPr>
                <w:rFonts w:ascii="Times New Roman" w:eastAsia="Times New Roman" w:hAnsi="Times New Roman" w:cs="Times New Roman"/>
                <w:b/>
                <w:bCs/>
                <w:i/>
                <w:iCs/>
                <w:sz w:val="24"/>
                <w:szCs w:val="19"/>
                <w:lang w:eastAsia="tr-TR"/>
              </w:rPr>
              <w:t>) Belgenin verildiği yıl 15.000 TL</w:t>
            </w:r>
          </w:p>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812CAB">
              <w:rPr>
                <w:rFonts w:ascii="Times New Roman" w:eastAsia="Times New Roman" w:hAnsi="Times New Roman" w:cs="Times New Roman"/>
                <w:b/>
                <w:bCs/>
                <w:i/>
                <w:iCs/>
                <w:sz w:val="24"/>
                <w:szCs w:val="19"/>
                <w:lang w:eastAsia="tr-TR"/>
              </w:rPr>
              <w:t>bb</w:t>
            </w:r>
            <w:proofErr w:type="spellEnd"/>
            <w:r w:rsidRPr="00812CAB">
              <w:rPr>
                <w:rFonts w:ascii="Times New Roman" w:eastAsia="Times New Roman" w:hAnsi="Times New Roman" w:cs="Times New Roman"/>
                <w:b/>
                <w:bCs/>
                <w:i/>
                <w:iCs/>
                <w:sz w:val="24"/>
                <w:szCs w:val="19"/>
                <w:lang w:eastAsia="tr-TR"/>
              </w:rPr>
              <w:t>) Takip eden yıllarda 5.000 TL'den az olmamak üzere bağımsız denetim faaliyetlerinden elde edilen bir önceki yıl gayrisafi iş hasılatının Binde 5'i</w:t>
            </w:r>
          </w:p>
        </w:tc>
      </w:tr>
    </w:tbl>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i/>
          <w:iCs/>
          <w:color w:val="000000"/>
          <w:sz w:val="24"/>
          <w:szCs w:val="19"/>
          <w:lang w:eastAsia="tr-TR"/>
        </w:rPr>
        <w:lastRenderedPageBreak/>
        <w:t> </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i/>
          <w:iCs/>
          <w:color w:val="000000"/>
          <w:sz w:val="24"/>
          <w:szCs w:val="19"/>
          <w:lang w:eastAsia="tr-TR"/>
        </w:rPr>
        <w:t>2- Denetim yetkilendirme belgeleri ve müşavirlik ruhsat harçları:</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i/>
          <w:iCs/>
          <w:color w:val="000000"/>
          <w:sz w:val="24"/>
          <w:szCs w:val="19"/>
          <w:lang w:eastAsia="tr-TR"/>
        </w:rPr>
        <w:t> </w:t>
      </w:r>
    </w:p>
    <w:tbl>
      <w:tblPr>
        <w:tblW w:w="7645" w:type="dxa"/>
        <w:jc w:val="center"/>
        <w:tblCellMar>
          <w:left w:w="0" w:type="dxa"/>
          <w:right w:w="0" w:type="dxa"/>
        </w:tblCellMar>
        <w:tblLook w:val="04A0" w:firstRow="1" w:lastRow="0" w:firstColumn="1" w:lastColumn="0" w:noHBand="0" w:noVBand="1"/>
      </w:tblPr>
      <w:tblGrid>
        <w:gridCol w:w="5534"/>
        <w:gridCol w:w="2111"/>
      </w:tblGrid>
      <w:tr w:rsidR="00812CAB" w:rsidRPr="00812CAB" w:rsidTr="00812CAB">
        <w:trPr>
          <w:jc w:val="center"/>
        </w:trPr>
        <w:tc>
          <w:tcPr>
            <w:tcW w:w="5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12CAB">
              <w:rPr>
                <w:rFonts w:ascii="Times New Roman" w:eastAsia="Times New Roman" w:hAnsi="Times New Roman" w:cs="Times New Roman"/>
                <w:b/>
                <w:bCs/>
                <w:i/>
                <w:iCs/>
                <w:sz w:val="24"/>
                <w:szCs w:val="19"/>
                <w:lang w:eastAsia="tr-TR"/>
              </w:rPr>
              <w:t>a) Yeminli mali müşavirlik ruhsatı</w:t>
            </w:r>
          </w:p>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12CAB">
              <w:rPr>
                <w:rFonts w:ascii="Times New Roman" w:eastAsia="Times New Roman" w:hAnsi="Times New Roman" w:cs="Times New Roman"/>
                <w:b/>
                <w:bCs/>
                <w:i/>
                <w:iCs/>
                <w:sz w:val="24"/>
                <w:szCs w:val="19"/>
                <w:lang w:eastAsia="tr-TR"/>
              </w:rPr>
              <w:t>b) Bağımsız denetçi yetkilendirme belgesi</w:t>
            </w:r>
          </w:p>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12CAB">
              <w:rPr>
                <w:rFonts w:ascii="Times New Roman" w:eastAsia="Times New Roman" w:hAnsi="Times New Roman" w:cs="Times New Roman"/>
                <w:b/>
                <w:bCs/>
                <w:i/>
                <w:iCs/>
                <w:sz w:val="24"/>
                <w:szCs w:val="19"/>
                <w:lang w:eastAsia="tr-TR"/>
              </w:rPr>
              <w:t>c) Serbest muhasebeci mali müşavirlik ruhsatı</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12CAB">
              <w:rPr>
                <w:rFonts w:ascii="Times New Roman" w:eastAsia="Times New Roman" w:hAnsi="Times New Roman" w:cs="Times New Roman"/>
                <w:b/>
                <w:bCs/>
                <w:i/>
                <w:iCs/>
                <w:sz w:val="24"/>
                <w:szCs w:val="19"/>
                <w:lang w:eastAsia="tr-TR"/>
              </w:rPr>
              <w:t>1.800 TL</w:t>
            </w:r>
          </w:p>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12CAB">
              <w:rPr>
                <w:rFonts w:ascii="Times New Roman" w:eastAsia="Times New Roman" w:hAnsi="Times New Roman" w:cs="Times New Roman"/>
                <w:b/>
                <w:bCs/>
                <w:i/>
                <w:iCs/>
                <w:sz w:val="24"/>
                <w:szCs w:val="19"/>
                <w:lang w:eastAsia="tr-TR"/>
              </w:rPr>
              <w:t>900 TL</w:t>
            </w:r>
          </w:p>
          <w:p w:rsidR="00812CAB" w:rsidRPr="00812CAB" w:rsidRDefault="00812CAB" w:rsidP="00812CA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12CAB">
              <w:rPr>
                <w:rFonts w:ascii="Times New Roman" w:eastAsia="Times New Roman" w:hAnsi="Times New Roman" w:cs="Times New Roman"/>
                <w:b/>
                <w:bCs/>
                <w:i/>
                <w:iCs/>
                <w:sz w:val="24"/>
                <w:szCs w:val="19"/>
                <w:lang w:eastAsia="tr-TR"/>
              </w:rPr>
              <w:t>450 TL</w:t>
            </w:r>
          </w:p>
        </w:tc>
      </w:tr>
    </w:tbl>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i/>
          <w:iCs/>
          <w:color w:val="000000"/>
          <w:sz w:val="24"/>
          <w:szCs w:val="19"/>
          <w:lang w:eastAsia="tr-TR"/>
        </w:rPr>
        <w:t> </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i/>
          <w:iCs/>
          <w:color w:val="000000"/>
          <w:sz w:val="24"/>
          <w:szCs w:val="24"/>
          <w:lang w:eastAsia="tr-TR"/>
        </w:rPr>
        <w:t>Bakanlar Kurulu gayrisafi iş hasılatı üzerinden hesaplanacak harcın oranını binde 2'den az, binde 10'dan çok olmamak üzere yeniden belirlemeye yetkilidir. Bakanlar Kurulu bu yetkisini denetim kuruluşlarının gayrisafi iş hasılatlarına göre farklı oranlar belirleyerek de kullanabilir.</w:t>
      </w:r>
      <w:r w:rsidRPr="00812CAB">
        <w:rPr>
          <w:rFonts w:ascii="Times New Roman" w:eastAsia="Times New Roman" w:hAnsi="Times New Roman" w:cs="Times New Roman"/>
          <w:color w:val="000000"/>
          <w:sz w:val="24"/>
          <w:szCs w:val="24"/>
          <w:lang w:eastAsia="tr-TR"/>
        </w:rPr>
        <w:t>”</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lang w:eastAsia="tr-TR"/>
        </w:rPr>
        <w:t>B- Dayanılan Anayasa Kuralları</w:t>
      </w:r>
      <w:r w:rsidRPr="00812CAB">
        <w:rPr>
          <w:rFonts w:ascii="Times New Roman" w:eastAsia="Times New Roman" w:hAnsi="Times New Roman" w:cs="Times New Roman"/>
          <w:color w:val="000000"/>
          <w:sz w:val="24"/>
          <w:szCs w:val="19"/>
          <w:lang w:eastAsia="tr-TR"/>
        </w:rPr>
        <w:t>   </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Dava dilekçesinde, Anayasa'nın 2</w:t>
      </w:r>
      <w:proofErr w:type="gramStart"/>
      <w:r w:rsidRPr="00812CAB">
        <w:rPr>
          <w:rFonts w:ascii="Times New Roman" w:eastAsia="Times New Roman" w:hAnsi="Times New Roman" w:cs="Times New Roman"/>
          <w:color w:val="000000"/>
          <w:sz w:val="24"/>
          <w:szCs w:val="19"/>
          <w:lang w:eastAsia="tr-TR"/>
        </w:rPr>
        <w:t>.,</w:t>
      </w:r>
      <w:proofErr w:type="gramEnd"/>
      <w:r w:rsidRPr="00812CAB">
        <w:rPr>
          <w:rFonts w:ascii="Times New Roman" w:eastAsia="Times New Roman" w:hAnsi="Times New Roman" w:cs="Times New Roman"/>
          <w:color w:val="000000"/>
          <w:sz w:val="24"/>
          <w:szCs w:val="19"/>
          <w:lang w:eastAsia="tr-TR"/>
        </w:rPr>
        <w:t xml:space="preserve"> 10., 73. ve 167. maddelerine dayanılmıştır.</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lang w:eastAsia="tr-TR"/>
        </w:rPr>
        <w:t>III- İLK İNCELEME</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2CAB">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812CAB">
        <w:rPr>
          <w:rFonts w:ascii="Times New Roman" w:eastAsia="Times New Roman" w:hAnsi="Times New Roman" w:cs="Times New Roman"/>
          <w:color w:val="000000"/>
          <w:sz w:val="24"/>
          <w:szCs w:val="19"/>
          <w:lang w:eastAsia="tr-TR"/>
        </w:rPr>
        <w:t>Serruh</w:t>
      </w:r>
      <w:proofErr w:type="spellEnd"/>
      <w:r w:rsidRPr="00812CAB">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812CAB">
        <w:rPr>
          <w:rFonts w:ascii="Times New Roman" w:eastAsia="Times New Roman" w:hAnsi="Times New Roman" w:cs="Times New Roman"/>
          <w:color w:val="000000"/>
          <w:sz w:val="24"/>
          <w:szCs w:val="19"/>
          <w:lang w:eastAsia="tr-TR"/>
        </w:rPr>
        <w:t>Alifeyyaz</w:t>
      </w:r>
      <w:proofErr w:type="spellEnd"/>
      <w:r w:rsidRPr="00812CAB">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812CAB">
        <w:rPr>
          <w:rFonts w:ascii="Times New Roman" w:eastAsia="Times New Roman" w:hAnsi="Times New Roman" w:cs="Times New Roman"/>
          <w:color w:val="000000"/>
          <w:sz w:val="24"/>
          <w:szCs w:val="19"/>
          <w:lang w:eastAsia="tr-TR"/>
        </w:rPr>
        <w:t>Hicabi</w:t>
      </w:r>
      <w:proofErr w:type="spellEnd"/>
      <w:r w:rsidRPr="00812CAB">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812CAB">
        <w:rPr>
          <w:rFonts w:ascii="Times New Roman" w:eastAsia="Times New Roman" w:hAnsi="Times New Roman" w:cs="Times New Roman"/>
          <w:color w:val="000000"/>
          <w:sz w:val="24"/>
          <w:szCs w:val="19"/>
          <w:lang w:eastAsia="tr-TR"/>
        </w:rPr>
        <w:t>ARSLAN'ın</w:t>
      </w:r>
      <w:proofErr w:type="spellEnd"/>
      <w:r w:rsidRPr="00812CAB">
        <w:rPr>
          <w:rFonts w:ascii="Times New Roman" w:eastAsia="Times New Roman" w:hAnsi="Times New Roman" w:cs="Times New Roman"/>
          <w:color w:val="000000"/>
          <w:sz w:val="24"/>
          <w:szCs w:val="19"/>
          <w:lang w:eastAsia="tr-TR"/>
        </w:rPr>
        <w:t xml:space="preserve"> katılımlarıyla 12.9.2012 gününde yapılan ilk inceleme toplantısında, dosyada eksiklik bulunmadığından işin esasının incelenmesine ve yürürlüğü durdurma isteminin esas inceleme aşamasında karara bağlanmasına OYBİRLİĞİYLE karar verilmiştir. </w:t>
      </w:r>
      <w:proofErr w:type="gramEnd"/>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lang w:eastAsia="tr-TR"/>
        </w:rPr>
        <w:t>IV- ESASIN İNCELENMESİ</w:t>
      </w:r>
      <w:r w:rsidRPr="00812CAB">
        <w:rPr>
          <w:rFonts w:ascii="Times New Roman" w:eastAsia="Times New Roman" w:hAnsi="Times New Roman" w:cs="Times New Roman"/>
          <w:color w:val="000000"/>
          <w:sz w:val="24"/>
          <w:szCs w:val="19"/>
          <w:lang w:eastAsia="tr-TR"/>
        </w:rPr>
        <w:t> </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iptali istenilen yasa kuralı, dayanılan Anayasa kuralları ve bunların gerekçeleri ile diğer yasama belgeleri okunup incelendikten sonra gereği görüşülüp düşünüldü:</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Dava dilekçesinde, bağımsız denetim kuruluşlarınca her yıl ödenmesi öngörülen harcın yüksek tutulduğu ve şube sayısına göre harcın farklılaştırılmadığı, Serbest Muhasebeci Mali Müşavirler (SMMM) ve Yeminli Mali Müşavirlerin (YMM) ruhsat için hem Türkiye Serbest Muhasebeci Mali Müşavirler ve Yeminli Mali Müşavirler Odaları Birliğine</w:t>
      </w:r>
      <w:r w:rsidRPr="00812CAB">
        <w:rPr>
          <w:rFonts w:ascii="Times New Roman" w:eastAsia="Times New Roman" w:hAnsi="Times New Roman" w:cs="Times New Roman"/>
          <w:color w:val="444444"/>
          <w:sz w:val="24"/>
          <w:szCs w:val="19"/>
          <w:lang w:eastAsia="tr-TR"/>
        </w:rPr>
        <w:t> (</w:t>
      </w:r>
      <w:r w:rsidRPr="00812CAB">
        <w:rPr>
          <w:rFonts w:ascii="Times New Roman" w:eastAsia="Times New Roman" w:hAnsi="Times New Roman" w:cs="Times New Roman"/>
          <w:color w:val="000000"/>
          <w:sz w:val="24"/>
          <w:szCs w:val="19"/>
          <w:lang w:eastAsia="tr-TR"/>
        </w:rPr>
        <w:t xml:space="preserve">TÜRMOB) ruhsatname ücreti hem de 492 sayılı Kanun kapsamında Hazineye harç ödemelerinin harcın mükerrerliği sonucunu doğurduğu, bağımsız denetimin SMMM ve YMM'lerin görev alanı içinde yer alan bir faaliyet olmasına rağmen, SMMM ve YMM'lerin hem ruhsat alırken hem bağımsız denetçi olarak yetkilendirilirken harç ödemekle karşı karşıya kaldığı ve SMMM ile YMM için belirlenen harç tutarlarının benzer serbest meslek mensupları için belirlenen harç </w:t>
      </w:r>
      <w:r w:rsidRPr="00812CAB">
        <w:rPr>
          <w:rFonts w:ascii="Times New Roman" w:eastAsia="Times New Roman" w:hAnsi="Times New Roman" w:cs="Times New Roman"/>
          <w:color w:val="000000"/>
          <w:sz w:val="24"/>
          <w:szCs w:val="19"/>
          <w:lang w:eastAsia="tr-TR"/>
        </w:rPr>
        <w:lastRenderedPageBreak/>
        <w:t>tutarlarından yaklaşık üç katı fazla olduğu belirtilerek kuralın, Anayasa'nın 2</w:t>
      </w:r>
      <w:proofErr w:type="gramStart"/>
      <w:r w:rsidRPr="00812CAB">
        <w:rPr>
          <w:rFonts w:ascii="Times New Roman" w:eastAsia="Times New Roman" w:hAnsi="Times New Roman" w:cs="Times New Roman"/>
          <w:color w:val="000000"/>
          <w:sz w:val="24"/>
          <w:szCs w:val="19"/>
          <w:lang w:eastAsia="tr-TR"/>
        </w:rPr>
        <w:t>.,</w:t>
      </w:r>
      <w:proofErr w:type="gramEnd"/>
      <w:r w:rsidRPr="00812CAB">
        <w:rPr>
          <w:rFonts w:ascii="Times New Roman" w:eastAsia="Times New Roman" w:hAnsi="Times New Roman" w:cs="Times New Roman"/>
          <w:color w:val="000000"/>
          <w:sz w:val="24"/>
          <w:szCs w:val="19"/>
          <w:lang w:eastAsia="tr-TR"/>
        </w:rPr>
        <w:t xml:space="preserve"> 10., 73. ve 167. maddelerine aykırı olduğu ileri sürülmüştür.   </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Dava konusu kural ile yeminli mali müşavirlik ruhsatları, serbest muhasebeci mali müşavirlik ruhsatları ile bağımsız denetçi yetkilendirme belgeleri ve denetim kuruluşları yetkilendirme belgeleri harç kapsamına alınmıştır. Denetim kuruluşları yetkilendirme belgeleri, ilk alındığında maktu harca, daha sonraki yıllarda ise bağımsız denetim faaliyetlerinden elde edilen gayri safi iş hasılatı üzerinden hesaplanacak nispi harca tabi olacaktır. Ancak, yapılan düzenlemeye göre hesaplanacak harç, ilgili bentlerde belirtilen tutarlardan az olamayacaktır.  </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SMMM ve YMM ile bağımsız denetçilerin, ruhsat alabilmek için dava konusu kural uyarınca Hazineye maktu ruhsat harcı ödemesi gerekmekte olup bu harç, ruhsat veya belgenin ilk alındığında bir defaya mahsus olmak üzere ödenecektir. </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xml:space="preserve">   </w:t>
      </w:r>
      <w:proofErr w:type="gramStart"/>
      <w:r w:rsidRPr="00812CAB">
        <w:rPr>
          <w:rFonts w:ascii="Times New Roman" w:eastAsia="Times New Roman" w:hAnsi="Times New Roman" w:cs="Times New Roman"/>
          <w:color w:val="000000"/>
          <w:sz w:val="24"/>
          <w:szCs w:val="19"/>
          <w:lang w:eastAsia="tr-TR"/>
        </w:rPr>
        <w:t>Anayasa'nın 2. maddesinde yer alan sosyal hukuk devleti, insan haklarına dayanan, kişilerin huzur, refah ve mutluluk içinde yaşamalarını güvence altına alan, kişi hak ve özgürlükleriyle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w:t>
      </w:r>
      <w:proofErr w:type="gramEnd"/>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Anayasa'nın 10. maddesinde belirtilen “</w:t>
      </w:r>
      <w:r w:rsidRPr="00812CAB">
        <w:rPr>
          <w:rFonts w:ascii="Times New Roman" w:eastAsia="Times New Roman" w:hAnsi="Times New Roman" w:cs="Times New Roman"/>
          <w:i/>
          <w:iCs/>
          <w:color w:val="000000"/>
          <w:sz w:val="24"/>
          <w:szCs w:val="19"/>
          <w:lang w:eastAsia="tr-TR"/>
        </w:rPr>
        <w:t>kanun önünde eşitlik ilkesi</w:t>
      </w:r>
      <w:r w:rsidRPr="00812CAB">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Anayasa'nın “</w:t>
      </w:r>
      <w:r w:rsidRPr="00812CAB">
        <w:rPr>
          <w:rFonts w:ascii="Times New Roman" w:eastAsia="Times New Roman" w:hAnsi="Times New Roman" w:cs="Times New Roman"/>
          <w:i/>
          <w:iCs/>
          <w:color w:val="000000"/>
          <w:sz w:val="24"/>
          <w:szCs w:val="19"/>
          <w:lang w:eastAsia="tr-TR"/>
        </w:rPr>
        <w:t>Vergi ödevi</w:t>
      </w:r>
      <w:r w:rsidRPr="00812CAB">
        <w:rPr>
          <w:rFonts w:ascii="Times New Roman" w:eastAsia="Times New Roman" w:hAnsi="Times New Roman" w:cs="Times New Roman"/>
          <w:color w:val="000000"/>
          <w:sz w:val="24"/>
          <w:szCs w:val="19"/>
          <w:lang w:eastAsia="tr-TR"/>
        </w:rPr>
        <w:t>” başlıklı 73. maddesinde ise</w:t>
      </w:r>
      <w:r w:rsidRPr="00812CAB">
        <w:rPr>
          <w:rFonts w:ascii="Times New Roman" w:eastAsia="Times New Roman" w:hAnsi="Times New Roman" w:cs="Times New Roman"/>
          <w:i/>
          <w:iCs/>
          <w:color w:val="000000"/>
          <w:sz w:val="24"/>
          <w:szCs w:val="19"/>
          <w:lang w:eastAsia="tr-TR"/>
        </w:rPr>
        <w:t> </w:t>
      </w:r>
      <w:r w:rsidRPr="00812CAB">
        <w:rPr>
          <w:rFonts w:ascii="Times New Roman" w:eastAsia="Times New Roman" w:hAnsi="Times New Roman" w:cs="Times New Roman"/>
          <w:color w:val="000000"/>
          <w:sz w:val="24"/>
          <w:szCs w:val="19"/>
          <w:lang w:eastAsia="tr-TR"/>
        </w:rPr>
        <w:t>“</w:t>
      </w:r>
      <w:r w:rsidRPr="00812CAB">
        <w:rPr>
          <w:rFonts w:ascii="Times New Roman" w:eastAsia="Times New Roman" w:hAnsi="Times New Roman" w:cs="Times New Roman"/>
          <w:i/>
          <w:iCs/>
          <w:color w:val="000000"/>
          <w:sz w:val="24"/>
          <w:szCs w:val="19"/>
          <w:lang w:eastAsia="tr-TR"/>
        </w:rPr>
        <w:t>Herkes, kamu giderlerini karşılamak üzere, malî gücüne göre, vergi ödemekle yükümlüdür.</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i/>
          <w:iCs/>
          <w:color w:val="000000"/>
          <w:sz w:val="24"/>
          <w:szCs w:val="19"/>
          <w:lang w:eastAsia="tr-TR"/>
        </w:rPr>
        <w:t>Vergi yükünün adaletli ve dengeli dağılımı, maliye politikasının sosyal amacıdır.</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i/>
          <w:iCs/>
          <w:color w:val="000000"/>
          <w:sz w:val="24"/>
          <w:szCs w:val="19"/>
          <w:lang w:eastAsia="tr-TR"/>
        </w:rPr>
        <w:t>Vergi, resim, harç ve benzeri malî yükümlülükler kanunla konulur, değiştirilir veya kaldırılır.</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i/>
          <w:iCs/>
          <w:color w:val="000000"/>
          <w:sz w:val="24"/>
          <w:szCs w:val="19"/>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r w:rsidRPr="00812CAB">
        <w:rPr>
          <w:rFonts w:ascii="Times New Roman" w:eastAsia="Times New Roman" w:hAnsi="Times New Roman" w:cs="Times New Roman"/>
          <w:color w:val="000000"/>
          <w:sz w:val="24"/>
          <w:szCs w:val="19"/>
          <w:lang w:eastAsia="tr-TR"/>
        </w:rPr>
        <w:t>”</w:t>
      </w:r>
      <w:r w:rsidRPr="00812CAB">
        <w:rPr>
          <w:rFonts w:ascii="Times New Roman" w:eastAsia="Times New Roman" w:hAnsi="Times New Roman" w:cs="Times New Roman"/>
          <w:i/>
          <w:iCs/>
          <w:color w:val="000000"/>
          <w:sz w:val="24"/>
          <w:szCs w:val="19"/>
          <w:lang w:eastAsia="tr-TR"/>
        </w:rPr>
        <w:t> </w:t>
      </w:r>
      <w:r w:rsidRPr="00812CAB">
        <w:rPr>
          <w:rFonts w:ascii="Times New Roman" w:eastAsia="Times New Roman" w:hAnsi="Times New Roman" w:cs="Times New Roman"/>
          <w:color w:val="000000"/>
          <w:sz w:val="24"/>
          <w:szCs w:val="19"/>
          <w:lang w:eastAsia="tr-TR"/>
        </w:rPr>
        <w:t>denilmiştir.   </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Harç, kamu kurum ve kuruluşlarının sunduğu hizmetlerden yararlananlardan, bu yararlanmaları karşılığı alınan bedel olup, kamu hizmetinden yararlananların ödeme güçlerine bakılmaksızın harca tabi tutulması asıldır. Serbest meslek faaliyetlerinin yürütülmesi için mesleki yeterlilik göstergesi durumunda olan ruhsatlar ile uzmanlık ve yeterlilik belgeleri, bu belgelere sahip olan kişilere özel bir fayda sağladığından harca tabi tutulabilmektedir.</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lastRenderedPageBreak/>
        <w:t xml:space="preserve">SMMM ve YMM ruhsatları Türkiye Serbest Muhasebeci Mali Müşavirler ve Yeminli Mali Müşavirler Odaları Birliği (TÜRMOB) tarafından verilmektedir. SMMM ve YMM'lerin ruhsat alabilmek için iptali istenilen kural uyarınca Hazineye ödedikleri ruhsat harcının yanı sıra </w:t>
      </w:r>
      <w:proofErr w:type="spellStart"/>
      <w:r w:rsidRPr="00812CAB">
        <w:rPr>
          <w:rFonts w:ascii="Times New Roman" w:eastAsia="Times New Roman" w:hAnsi="Times New Roman" w:cs="Times New Roman"/>
          <w:color w:val="000000"/>
          <w:sz w:val="24"/>
          <w:szCs w:val="19"/>
          <w:lang w:eastAsia="tr-TR"/>
        </w:rPr>
        <w:t>TÜRMOB'a</w:t>
      </w:r>
      <w:proofErr w:type="spellEnd"/>
      <w:r w:rsidRPr="00812CAB">
        <w:rPr>
          <w:rFonts w:ascii="Times New Roman" w:eastAsia="Times New Roman" w:hAnsi="Times New Roman" w:cs="Times New Roman"/>
          <w:color w:val="000000"/>
          <w:sz w:val="24"/>
          <w:szCs w:val="19"/>
          <w:lang w:eastAsia="tr-TR"/>
        </w:rPr>
        <w:t xml:space="preserve"> “</w:t>
      </w:r>
      <w:r w:rsidRPr="00812CAB">
        <w:rPr>
          <w:rFonts w:ascii="Times New Roman" w:eastAsia="Times New Roman" w:hAnsi="Times New Roman" w:cs="Times New Roman"/>
          <w:i/>
          <w:iCs/>
          <w:color w:val="000000"/>
          <w:sz w:val="24"/>
          <w:szCs w:val="19"/>
          <w:lang w:eastAsia="tr-TR"/>
        </w:rPr>
        <w:t>ruhsatname ücreti</w:t>
      </w:r>
      <w:r w:rsidRPr="00812CAB">
        <w:rPr>
          <w:rFonts w:ascii="Times New Roman" w:eastAsia="Times New Roman" w:hAnsi="Times New Roman" w:cs="Times New Roman"/>
          <w:color w:val="000000"/>
          <w:sz w:val="24"/>
          <w:szCs w:val="19"/>
          <w:lang w:eastAsia="tr-TR"/>
        </w:rPr>
        <w:t>”  de ödemeleri gerekmektedir. 3568 sayılı Serbest Muhasebeci Mali Müşavirlik ve Yeminli Mali Müşavirlik Kanunu'nun 30. maddesinde “</w:t>
      </w:r>
      <w:r w:rsidRPr="00812CAB">
        <w:rPr>
          <w:rFonts w:ascii="Times New Roman" w:eastAsia="Times New Roman" w:hAnsi="Times New Roman" w:cs="Times New Roman"/>
          <w:i/>
          <w:iCs/>
          <w:color w:val="000000"/>
          <w:sz w:val="24"/>
          <w:szCs w:val="19"/>
          <w:lang w:eastAsia="tr-TR"/>
        </w:rPr>
        <w:t xml:space="preserve">Birliğin gelirleri, birliğe </w:t>
      </w:r>
      <w:proofErr w:type="gramStart"/>
      <w:r w:rsidRPr="00812CAB">
        <w:rPr>
          <w:rFonts w:ascii="Times New Roman" w:eastAsia="Times New Roman" w:hAnsi="Times New Roman" w:cs="Times New Roman"/>
          <w:i/>
          <w:iCs/>
          <w:color w:val="000000"/>
          <w:sz w:val="24"/>
          <w:szCs w:val="19"/>
          <w:lang w:eastAsia="tr-TR"/>
        </w:rPr>
        <w:t>dahil</w:t>
      </w:r>
      <w:proofErr w:type="gramEnd"/>
      <w:r w:rsidRPr="00812CAB">
        <w:rPr>
          <w:rFonts w:ascii="Times New Roman" w:eastAsia="Times New Roman" w:hAnsi="Times New Roman" w:cs="Times New Roman"/>
          <w:i/>
          <w:iCs/>
          <w:color w:val="000000"/>
          <w:sz w:val="24"/>
          <w:szCs w:val="19"/>
          <w:lang w:eastAsia="tr-TR"/>
        </w:rPr>
        <w:t xml:space="preserve"> odaların gelirlerinden alınacak paylar ile birliğe ait mal varlığından sağlanan gelirler, ruhsatname ücretleri ve genel hükümler çerçevesinde elde edilen bağış ve yardımlardan meydana gelir.</w:t>
      </w:r>
      <w:r w:rsidRPr="00812CAB">
        <w:rPr>
          <w:rFonts w:ascii="Times New Roman" w:eastAsia="Times New Roman" w:hAnsi="Times New Roman" w:cs="Times New Roman"/>
          <w:color w:val="000000"/>
          <w:sz w:val="24"/>
          <w:szCs w:val="19"/>
          <w:lang w:eastAsia="tr-TR"/>
        </w:rPr>
        <w:t xml:space="preserve">” hükmüne yer verilmiştir. TÜRMOB tarafından alınan ve geliri TÜRMOB varlıklarına aktarılan ruhsat ücretleri, Birliğin gelirlerini oluşturmakta olup odalara ve meslek mensuplarına verilecek hizmetle ilgilidir. TÜRMOB tarafından ruhsat ücreti alınmasının temelinde, </w:t>
      </w:r>
      <w:proofErr w:type="spellStart"/>
      <w:r w:rsidRPr="00812CAB">
        <w:rPr>
          <w:rFonts w:ascii="Times New Roman" w:eastAsia="Times New Roman" w:hAnsi="Times New Roman" w:cs="Times New Roman"/>
          <w:color w:val="000000"/>
          <w:sz w:val="24"/>
          <w:szCs w:val="19"/>
          <w:lang w:eastAsia="tr-TR"/>
        </w:rPr>
        <w:t>TÜRMOB'un</w:t>
      </w:r>
      <w:proofErr w:type="spellEnd"/>
      <w:r w:rsidRPr="00812CAB">
        <w:rPr>
          <w:rFonts w:ascii="Times New Roman" w:eastAsia="Times New Roman" w:hAnsi="Times New Roman" w:cs="Times New Roman"/>
          <w:color w:val="000000"/>
          <w:sz w:val="24"/>
          <w:szCs w:val="19"/>
          <w:lang w:eastAsia="tr-TR"/>
        </w:rPr>
        <w:t xml:space="preserve"> ve ilgili odaların faaliyetlerini sürdürebilecekleri, meslek mensuplarına hizmet verebilecek kaynakları sağlamaları yer almaktadır. İptale konu kuralda düzenlenen müşavirlik ruhsat harçları ise Devlet tarafından yapılan hizmetin karşılığında alınmakta ve bu gelir Devlet varlıklarına aktarılmaktadır. TÜRMOB tarafından alınan ruhsatname ücreti ile dava konusu kural uyarınca alınan ruhsat harçlarının nitelikleri birbirinden farklı olup harcın mükerrer alınması söz konusu değildir. SMMM, YMM ve bağımsız denetçilerin mesleki şartları, faaliyet alanları ve yükümlülükleri farklı olduğundan, bunlara ilişkin olarak alınacak ruhsatlardan farklı harç alınması harcın mükerrer alınması anlamına gelmeyecektir. Eşitlik ilkesine aykırılıktan söz edilebilmesi için bir yasa kuralının aynı hukuksal durumda olanlar arasında bir ayırım veya ayrıcalık yaratması gerekir. İptale konu kural uyarınca öngörülen ruhsat harçları, aynı hukuksal konumda olan tüm kişilere uygulanacağından eşitlik ilkesine aykırı bir yön bulunduğu söylenemez. </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2CAB">
        <w:rPr>
          <w:rFonts w:ascii="Times New Roman" w:eastAsia="Times New Roman" w:hAnsi="Times New Roman" w:cs="Times New Roman"/>
          <w:color w:val="000000"/>
          <w:sz w:val="24"/>
          <w:szCs w:val="19"/>
          <w:lang w:eastAsia="tr-TR"/>
        </w:rPr>
        <w:t>Bağımsız denetim kuruluşlarının ödemesi öngörülen harcın, bağımsız denetim sektörünün önemi, iş hacmi ve piyasa değeri dikkate alındığında yüksek olmadığı, bağımsız denetim şirketlerinin piyasa değerleri, denetim hizmeti verilen işletme sayısı ve denetlenen işletmelerin piyasa değerlerinin büyüklüğü birlikte değerlendirildiğinde bağımsız denetim kuruluşlarınca iptali istenilen kuralla ödemesi öngörülen yetkilendirme belgesi harcı, makul ve kabul edilebilir olduğu gibi aynı hukuksal durumda olanlar arasında bir ayrım, ayrıcalık veya piyasalarının sağlıklı ve düzenli işlemesini engelleyen bir durum da söz konusu değildir. </w:t>
      </w:r>
      <w:proofErr w:type="gramEnd"/>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Açıklanan nedenlerle, dava konusu kural Anayasa'nın 2</w:t>
      </w:r>
      <w:proofErr w:type="gramStart"/>
      <w:r w:rsidRPr="00812CAB">
        <w:rPr>
          <w:rFonts w:ascii="Times New Roman" w:eastAsia="Times New Roman" w:hAnsi="Times New Roman" w:cs="Times New Roman"/>
          <w:color w:val="000000"/>
          <w:sz w:val="24"/>
          <w:szCs w:val="19"/>
          <w:lang w:eastAsia="tr-TR"/>
        </w:rPr>
        <w:t>.,</w:t>
      </w:r>
      <w:proofErr w:type="gramEnd"/>
      <w:r w:rsidRPr="00812CAB">
        <w:rPr>
          <w:rFonts w:ascii="Times New Roman" w:eastAsia="Times New Roman" w:hAnsi="Times New Roman" w:cs="Times New Roman"/>
          <w:color w:val="000000"/>
          <w:sz w:val="24"/>
          <w:szCs w:val="19"/>
          <w:lang w:eastAsia="tr-TR"/>
        </w:rPr>
        <w:t xml:space="preserve"> 10. ve 73. maddelerine aykırı değildir. İptal isteminin reddi gerekir. </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Kuralın Anayasa'nın 167. maddesiyle ilgisi görülmemiştir. </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r w:rsidRPr="00812CAB">
        <w:rPr>
          <w:rFonts w:ascii="Times New Roman" w:eastAsia="Times New Roman" w:hAnsi="Times New Roman" w:cs="Times New Roman"/>
          <w:b/>
          <w:bCs/>
          <w:color w:val="000000"/>
          <w:sz w:val="24"/>
          <w:lang w:eastAsia="tr-TR"/>
        </w:rPr>
        <w:t>V- YÜRÜRLÜĞÜN DURDURULMASI İSTEMİ</w:t>
      </w:r>
    </w:p>
    <w:p w:rsid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szCs w:val="19"/>
          <w:lang w:eastAsia="tr-TR"/>
        </w:rPr>
        <w:t>   </w:t>
      </w:r>
      <w:proofErr w:type="gramStart"/>
      <w:r w:rsidRPr="00812CAB">
        <w:rPr>
          <w:rFonts w:ascii="Times New Roman" w:eastAsia="Times New Roman" w:hAnsi="Times New Roman" w:cs="Times New Roman"/>
          <w:color w:val="000000"/>
          <w:sz w:val="24"/>
          <w:szCs w:val="19"/>
          <w:lang w:eastAsia="tr-TR"/>
        </w:rPr>
        <w:t xml:space="preserve">31.5.2012 günlü,  6322 sayılı Amme Alacaklarının Tahsil Usulü Hakkında Kanun ile Bazı Kanunlarda Değişiklik Yapılmasına Dair Kanun'un 20. maddesiyle 2.7.1964 günlü, 492 sayılı Harçlar Kanunu'nun (8) SAYILI </w:t>
      </w:r>
      <w:proofErr w:type="spellStart"/>
      <w:r w:rsidRPr="00812CAB">
        <w:rPr>
          <w:rFonts w:ascii="Times New Roman" w:eastAsia="Times New Roman" w:hAnsi="Times New Roman" w:cs="Times New Roman"/>
          <w:color w:val="000000"/>
          <w:sz w:val="24"/>
          <w:szCs w:val="19"/>
          <w:lang w:eastAsia="tr-TR"/>
        </w:rPr>
        <w:t>TARİFE'sine</w:t>
      </w:r>
      <w:proofErr w:type="spellEnd"/>
      <w:r w:rsidRPr="00812CAB">
        <w:rPr>
          <w:rFonts w:ascii="Times New Roman" w:eastAsia="Times New Roman" w:hAnsi="Times New Roman" w:cs="Times New Roman"/>
          <w:color w:val="000000"/>
          <w:sz w:val="24"/>
          <w:szCs w:val="19"/>
          <w:lang w:eastAsia="tr-TR"/>
        </w:rPr>
        <w:t xml:space="preserve"> eklenen “</w:t>
      </w:r>
      <w:r w:rsidRPr="00812CAB">
        <w:rPr>
          <w:rFonts w:ascii="Times New Roman" w:eastAsia="Times New Roman" w:hAnsi="Times New Roman" w:cs="Times New Roman"/>
          <w:i/>
          <w:iCs/>
          <w:color w:val="000000"/>
          <w:sz w:val="24"/>
          <w:szCs w:val="19"/>
          <w:lang w:eastAsia="tr-TR"/>
        </w:rPr>
        <w:t>XIV- Denetim yetkilendirme belgeleri ve müşavirlik ruhsat harçları:</w:t>
      </w:r>
      <w:r w:rsidRPr="00812CAB">
        <w:rPr>
          <w:rFonts w:ascii="Times New Roman" w:eastAsia="Times New Roman" w:hAnsi="Times New Roman" w:cs="Times New Roman"/>
          <w:color w:val="000000"/>
          <w:sz w:val="24"/>
          <w:szCs w:val="19"/>
          <w:lang w:eastAsia="tr-TR"/>
        </w:rPr>
        <w:t>”</w:t>
      </w:r>
      <w:r w:rsidRPr="00812CAB">
        <w:rPr>
          <w:rFonts w:ascii="Times New Roman" w:eastAsia="Times New Roman" w:hAnsi="Times New Roman" w:cs="Times New Roman"/>
          <w:b/>
          <w:bCs/>
          <w:i/>
          <w:iCs/>
          <w:color w:val="000000"/>
          <w:sz w:val="24"/>
          <w:szCs w:val="19"/>
          <w:lang w:eastAsia="tr-TR"/>
        </w:rPr>
        <w:t> </w:t>
      </w:r>
      <w:r w:rsidRPr="00812CAB">
        <w:rPr>
          <w:rFonts w:ascii="Times New Roman" w:eastAsia="Times New Roman" w:hAnsi="Times New Roman" w:cs="Times New Roman"/>
          <w:color w:val="000000"/>
          <w:sz w:val="24"/>
          <w:szCs w:val="19"/>
          <w:lang w:eastAsia="tr-TR"/>
        </w:rPr>
        <w:t>bölümüne yönelik iptal istemi, 10.7.2013 günlü, E.2012/91, K.2013/86 sayılı kararla reddedildiğinden, bu bölüme ilişkin yürürlüğün durdurulması isteminin REDDİNE, 10.7.2013 gününde OYBİRLİĞİYLE karar verilmiştir.</w:t>
      </w:r>
      <w:proofErr w:type="gramEnd"/>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b/>
          <w:bCs/>
          <w:color w:val="000000"/>
          <w:sz w:val="24"/>
          <w:lang w:eastAsia="tr-TR"/>
        </w:rPr>
        <w:t>VI- SONUÇ</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lastRenderedPageBreak/>
        <w:t xml:space="preserve">   </w:t>
      </w:r>
      <w:proofErr w:type="gramStart"/>
      <w:r w:rsidRPr="00812CAB">
        <w:rPr>
          <w:rFonts w:ascii="Times New Roman" w:eastAsia="Times New Roman" w:hAnsi="Times New Roman" w:cs="Times New Roman"/>
          <w:color w:val="000000"/>
          <w:sz w:val="24"/>
          <w:szCs w:val="19"/>
          <w:lang w:eastAsia="tr-TR"/>
        </w:rPr>
        <w:t xml:space="preserve">31.5.2012 günlü,  6322 sayılı Amme Alacaklarının Tahsil Usulü Hakkında Kanun ile Bazı Kanunlarda Değişiklik Yapılmasına Dair Kanun'un 20. maddesiyle 2.7.1964 günlü, 492 sayılı Harçlar Kanunu'nun (8) SAYILI </w:t>
      </w:r>
      <w:proofErr w:type="spellStart"/>
      <w:r w:rsidRPr="00812CAB">
        <w:rPr>
          <w:rFonts w:ascii="Times New Roman" w:eastAsia="Times New Roman" w:hAnsi="Times New Roman" w:cs="Times New Roman"/>
          <w:color w:val="000000"/>
          <w:sz w:val="24"/>
          <w:szCs w:val="19"/>
          <w:lang w:eastAsia="tr-TR"/>
        </w:rPr>
        <w:t>TARİFE'sine</w:t>
      </w:r>
      <w:proofErr w:type="spellEnd"/>
      <w:r w:rsidRPr="00812CAB">
        <w:rPr>
          <w:rFonts w:ascii="Times New Roman" w:eastAsia="Times New Roman" w:hAnsi="Times New Roman" w:cs="Times New Roman"/>
          <w:color w:val="000000"/>
          <w:sz w:val="24"/>
          <w:szCs w:val="19"/>
          <w:lang w:eastAsia="tr-TR"/>
        </w:rPr>
        <w:t xml:space="preserve"> eklenen </w:t>
      </w:r>
      <w:r w:rsidRPr="00812CAB">
        <w:rPr>
          <w:rFonts w:ascii="Times New Roman" w:eastAsia="Times New Roman" w:hAnsi="Times New Roman" w:cs="Times New Roman"/>
          <w:i/>
          <w:iCs/>
          <w:color w:val="000000"/>
          <w:sz w:val="24"/>
          <w:szCs w:val="19"/>
          <w:lang w:eastAsia="tr-TR"/>
        </w:rPr>
        <w:t>“XIV- Denetim yetkilendirme belgeleri ve müşavirlik ruhsat harçları:” </w:t>
      </w:r>
      <w:r w:rsidRPr="00812CAB">
        <w:rPr>
          <w:rFonts w:ascii="Times New Roman" w:eastAsia="Times New Roman" w:hAnsi="Times New Roman" w:cs="Times New Roman"/>
          <w:color w:val="000000"/>
          <w:sz w:val="24"/>
          <w:szCs w:val="19"/>
          <w:lang w:eastAsia="tr-TR"/>
        </w:rPr>
        <w:t>bölümünün Anayasa'ya aykırı olmadığına ve iptal isteminin REDDİNE, 10.7.2013 gününde OYBİRLİĞİYLE</w:t>
      </w:r>
      <w:r w:rsidRPr="00812CAB">
        <w:rPr>
          <w:rFonts w:ascii="Times New Roman" w:eastAsia="Times New Roman" w:hAnsi="Times New Roman" w:cs="Times New Roman"/>
          <w:b/>
          <w:bCs/>
          <w:color w:val="000000"/>
          <w:sz w:val="24"/>
          <w:szCs w:val="19"/>
          <w:lang w:eastAsia="tr-TR"/>
        </w:rPr>
        <w:t> </w:t>
      </w:r>
      <w:r w:rsidRPr="00812CAB">
        <w:rPr>
          <w:rFonts w:ascii="Times New Roman" w:eastAsia="Times New Roman" w:hAnsi="Times New Roman" w:cs="Times New Roman"/>
          <w:color w:val="000000"/>
          <w:sz w:val="24"/>
          <w:szCs w:val="19"/>
          <w:lang w:eastAsia="tr-TR"/>
        </w:rPr>
        <w:t>karar verildi.</w:t>
      </w:r>
      <w:proofErr w:type="gramEnd"/>
    </w:p>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12CAB" w:rsidRPr="00812CAB" w:rsidTr="00812CAB">
        <w:trPr>
          <w:jc w:val="center"/>
        </w:trPr>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812CAB">
              <w:rPr>
                <w:rFonts w:ascii="Times New Roman" w:eastAsia="Times New Roman" w:hAnsi="Times New Roman" w:cs="Times New Roman"/>
                <w:sz w:val="24"/>
                <w:szCs w:val="19"/>
                <w:lang w:eastAsia="tr-TR"/>
              </w:rPr>
              <w:t>Başkan</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Başkanvekili</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2CAB">
              <w:rPr>
                <w:rFonts w:ascii="Times New Roman" w:eastAsia="Times New Roman" w:hAnsi="Times New Roman" w:cs="Times New Roman"/>
                <w:sz w:val="24"/>
                <w:szCs w:val="19"/>
                <w:lang w:eastAsia="tr-TR"/>
              </w:rPr>
              <w:t>Serruh</w:t>
            </w:r>
            <w:proofErr w:type="spellEnd"/>
            <w:r w:rsidRPr="00812CAB">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Başkanvekili</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Alparslan ALTAN</w:t>
            </w:r>
          </w:p>
        </w:tc>
      </w:tr>
    </w:tbl>
    <w:bookmarkEnd w:id="0"/>
    <w:p w:rsid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12CAB" w:rsidRPr="00812CAB" w:rsidTr="00812CAB">
        <w:trPr>
          <w:jc w:val="center"/>
        </w:trPr>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 xml:space="preserve">Osman </w:t>
            </w:r>
            <w:proofErr w:type="spellStart"/>
            <w:r w:rsidRPr="00812CAB">
              <w:rPr>
                <w:rFonts w:ascii="Times New Roman" w:eastAsia="Times New Roman" w:hAnsi="Times New Roman" w:cs="Times New Roman"/>
                <w:sz w:val="24"/>
                <w:szCs w:val="19"/>
                <w:lang w:eastAsia="tr-TR"/>
              </w:rPr>
              <w:t>Alifeyyaz</w:t>
            </w:r>
            <w:proofErr w:type="spellEnd"/>
            <w:r w:rsidRPr="00812CAB">
              <w:rPr>
                <w:rFonts w:ascii="Times New Roman" w:eastAsia="Times New Roman" w:hAnsi="Times New Roman" w:cs="Times New Roman"/>
                <w:sz w:val="24"/>
                <w:szCs w:val="19"/>
                <w:lang w:eastAsia="tr-TR"/>
              </w:rPr>
              <w:t xml:space="preserve"> PAKSÜT</w:t>
            </w:r>
          </w:p>
        </w:tc>
      </w:tr>
    </w:tbl>
    <w:p w:rsid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12CAB" w:rsidRPr="00812CAB" w:rsidTr="00812CAB">
        <w:trPr>
          <w:jc w:val="center"/>
        </w:trPr>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Burhan ÜSTÜN</w:t>
            </w:r>
          </w:p>
        </w:tc>
      </w:tr>
    </w:tbl>
    <w:p w:rsid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12CAB" w:rsidRPr="00812CAB" w:rsidTr="00812CAB">
        <w:trPr>
          <w:jc w:val="center"/>
        </w:trPr>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2CAB">
              <w:rPr>
                <w:rFonts w:ascii="Times New Roman" w:eastAsia="Times New Roman" w:hAnsi="Times New Roman" w:cs="Times New Roman"/>
                <w:sz w:val="24"/>
                <w:szCs w:val="19"/>
                <w:lang w:eastAsia="tr-TR"/>
              </w:rPr>
              <w:t>Hicabi</w:t>
            </w:r>
            <w:proofErr w:type="spellEnd"/>
            <w:r w:rsidRPr="00812CAB">
              <w:rPr>
                <w:rFonts w:ascii="Times New Roman" w:eastAsia="Times New Roman" w:hAnsi="Times New Roman" w:cs="Times New Roman"/>
                <w:sz w:val="24"/>
                <w:szCs w:val="19"/>
                <w:lang w:eastAsia="tr-TR"/>
              </w:rPr>
              <w:t xml:space="preserve"> DURSUN</w:t>
            </w:r>
          </w:p>
        </w:tc>
      </w:tr>
    </w:tbl>
    <w:p w:rsid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12CAB" w:rsidRPr="00812CAB" w:rsidTr="00812CAB">
        <w:trPr>
          <w:jc w:val="center"/>
        </w:trPr>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lastRenderedPageBreak/>
              <w:t>Celal Mümtaz AKINCI</w:t>
            </w:r>
          </w:p>
        </w:tc>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lastRenderedPageBreak/>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lastRenderedPageBreak/>
              <w:t>Erdal TERCAN</w:t>
            </w:r>
          </w:p>
        </w:tc>
        <w:tc>
          <w:tcPr>
            <w:tcW w:w="1667"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lastRenderedPageBreak/>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lastRenderedPageBreak/>
              <w:t>Muammer TOPAL</w:t>
            </w:r>
          </w:p>
        </w:tc>
      </w:tr>
    </w:tbl>
    <w:p w:rsid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lastRenderedPageBreak/>
        <w:t> </w:t>
      </w:r>
    </w:p>
    <w:p w:rsidR="00812CAB" w:rsidRP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p w:rsidR="00812CAB" w:rsidRPr="00812CAB" w:rsidRDefault="00812CAB" w:rsidP="00812C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812CAB" w:rsidRPr="00812CAB" w:rsidTr="00812CAB">
        <w:trPr>
          <w:jc w:val="center"/>
        </w:trPr>
        <w:tc>
          <w:tcPr>
            <w:tcW w:w="2500"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Üye</w:t>
            </w:r>
          </w:p>
          <w:p w:rsidR="00812CAB" w:rsidRPr="00812CAB" w:rsidRDefault="00812CAB" w:rsidP="00812CA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2CAB">
              <w:rPr>
                <w:rFonts w:ascii="Times New Roman" w:eastAsia="Times New Roman" w:hAnsi="Times New Roman" w:cs="Times New Roman"/>
                <w:sz w:val="24"/>
                <w:szCs w:val="19"/>
                <w:lang w:eastAsia="tr-TR"/>
              </w:rPr>
              <w:t>M. Emin KUZ</w:t>
            </w:r>
          </w:p>
        </w:tc>
      </w:tr>
    </w:tbl>
    <w:p w:rsidR="00812CAB" w:rsidRPr="00812CAB" w:rsidRDefault="00812CAB" w:rsidP="00812CA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2CAB">
        <w:rPr>
          <w:rFonts w:ascii="Times New Roman" w:eastAsia="Times New Roman" w:hAnsi="Times New Roman" w:cs="Times New Roman"/>
          <w:color w:val="000000"/>
          <w:sz w:val="24"/>
          <w:szCs w:val="24"/>
          <w:lang w:eastAsia="tr-TR"/>
        </w:rPr>
        <w:t> </w:t>
      </w:r>
    </w:p>
    <w:p w:rsidR="00CE1FB9" w:rsidRPr="00812CAB" w:rsidRDefault="00CE1FB9" w:rsidP="00812CAB">
      <w:pPr>
        <w:spacing w:before="100" w:beforeAutospacing="1" w:after="100" w:afterAutospacing="1" w:line="240" w:lineRule="auto"/>
        <w:ind w:firstLine="709"/>
        <w:jc w:val="both"/>
        <w:rPr>
          <w:rFonts w:ascii="Times New Roman" w:hAnsi="Times New Roman" w:cs="Times New Roman"/>
          <w:sz w:val="24"/>
        </w:rPr>
      </w:pPr>
    </w:p>
    <w:sectPr w:rsidR="00CE1FB9" w:rsidRPr="00812CAB" w:rsidSect="00812C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78" w:rsidRDefault="00625178" w:rsidP="00812CAB">
      <w:pPr>
        <w:spacing w:after="0" w:line="240" w:lineRule="auto"/>
      </w:pPr>
      <w:r>
        <w:separator/>
      </w:r>
    </w:p>
  </w:endnote>
  <w:endnote w:type="continuationSeparator" w:id="0">
    <w:p w:rsidR="00625178" w:rsidRDefault="00625178" w:rsidP="0081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AB" w:rsidRDefault="00812CAB" w:rsidP="003127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2CAB" w:rsidRDefault="00812CAB" w:rsidP="00812C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AB" w:rsidRPr="00812CAB" w:rsidRDefault="00812CAB" w:rsidP="00312729">
    <w:pPr>
      <w:pStyle w:val="Altbilgi"/>
      <w:framePr w:wrap="around" w:vAnchor="text" w:hAnchor="margin" w:xAlign="right" w:y="1"/>
      <w:rPr>
        <w:rStyle w:val="SayfaNumaras"/>
      </w:rPr>
    </w:pPr>
    <w:r w:rsidRPr="00812CAB">
      <w:rPr>
        <w:rStyle w:val="SayfaNumaras"/>
      </w:rPr>
      <w:fldChar w:fldCharType="begin"/>
    </w:r>
    <w:r w:rsidRPr="00812CAB">
      <w:rPr>
        <w:rStyle w:val="SayfaNumaras"/>
      </w:rPr>
      <w:instrText xml:space="preserve">PAGE  </w:instrText>
    </w:r>
    <w:r w:rsidRPr="00812CAB">
      <w:rPr>
        <w:rStyle w:val="SayfaNumaras"/>
      </w:rPr>
      <w:fldChar w:fldCharType="separate"/>
    </w:r>
    <w:r>
      <w:rPr>
        <w:rStyle w:val="SayfaNumaras"/>
        <w:noProof/>
      </w:rPr>
      <w:t>6</w:t>
    </w:r>
    <w:r w:rsidRPr="00812CAB">
      <w:rPr>
        <w:rStyle w:val="SayfaNumaras"/>
      </w:rPr>
      <w:fldChar w:fldCharType="end"/>
    </w:r>
  </w:p>
  <w:p w:rsidR="00812CAB" w:rsidRPr="00812CAB" w:rsidRDefault="00812CAB" w:rsidP="00812CAB">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AB" w:rsidRDefault="00812C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78" w:rsidRDefault="00625178" w:rsidP="00812CAB">
      <w:pPr>
        <w:spacing w:after="0" w:line="240" w:lineRule="auto"/>
      </w:pPr>
      <w:r>
        <w:separator/>
      </w:r>
    </w:p>
  </w:footnote>
  <w:footnote w:type="continuationSeparator" w:id="0">
    <w:p w:rsidR="00625178" w:rsidRDefault="00625178" w:rsidP="00812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AB" w:rsidRDefault="00812C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AB" w:rsidRDefault="00812C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/91</w:t>
    </w:r>
  </w:p>
  <w:p w:rsidR="00812CAB" w:rsidRDefault="00812C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/86</w:t>
    </w:r>
  </w:p>
  <w:p w:rsidR="00812CAB" w:rsidRPr="00812CAB" w:rsidRDefault="00812C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CAB" w:rsidRDefault="00812C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51"/>
    <w:rsid w:val="001F6651"/>
    <w:rsid w:val="00625178"/>
    <w:rsid w:val="00812CA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DFD2C-F2F2-4D0F-A7A4-8B8623B1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12CAB"/>
    <w:rPr>
      <w:color w:val="0000FF"/>
      <w:u w:val="single"/>
    </w:rPr>
  </w:style>
  <w:style w:type="paragraph" w:customStyle="1" w:styleId="3-normalyaz0">
    <w:name w:val="3-normalyaz0"/>
    <w:basedOn w:val="Normal"/>
    <w:rsid w:val="00812C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1">
    <w:name w:val="st1"/>
    <w:basedOn w:val="VarsaylanParagrafYazTipi"/>
    <w:rsid w:val="00812CAB"/>
  </w:style>
  <w:style w:type="paragraph" w:styleId="KonuBal">
    <w:name w:val="Title"/>
    <w:basedOn w:val="Normal"/>
    <w:link w:val="KonuBalChar"/>
    <w:uiPriority w:val="10"/>
    <w:qFormat/>
    <w:rsid w:val="00812C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12CA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12C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812CA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12C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2CAB"/>
  </w:style>
  <w:style w:type="character" w:styleId="SayfaNumaras">
    <w:name w:val="page number"/>
    <w:basedOn w:val="VarsaylanParagrafYazTipi"/>
    <w:uiPriority w:val="99"/>
    <w:semiHidden/>
    <w:unhideWhenUsed/>
    <w:rsid w:val="0081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1694</Words>
  <Characters>9661</Characters>
  <Application>Microsoft Office Word</Application>
  <DocSecurity>0</DocSecurity>
  <Lines>80</Lines>
  <Paragraphs>22</Paragraphs>
  <ScaleCrop>false</ScaleCrop>
  <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2019-02-18T07:07:00Z</dcterms:created>
  <dcterms:modified xsi:type="dcterms:W3CDTF">2019-02-18T07:09:00Z</dcterms:modified>
</cp:coreProperties>
</file>