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DEE" w:rsidRDefault="00C91DEE" w:rsidP="00084A15">
      <w:pPr>
        <w:pStyle w:val="Balk10"/>
        <w:spacing w:before="0" w:after="200" w:line="240" w:lineRule="auto"/>
        <w:ind w:right="283"/>
        <w:jc w:val="center"/>
        <w:outlineLvl w:val="9"/>
        <w:rPr>
          <w:caps/>
          <w:color w:val="010000"/>
          <w:szCs w:val="26"/>
        </w:rPr>
      </w:pPr>
      <w:bookmarkStart w:id="0" w:name="bookmark9"/>
      <w:bookmarkStart w:id="1" w:name="bookmark0"/>
      <w:r w:rsidRPr="00084A15">
        <w:rPr>
          <w:caps/>
          <w:color w:val="010000"/>
          <w:szCs w:val="26"/>
        </w:rPr>
        <w:t>ANAYASA MAHKEMESİ KARARI</w:t>
      </w:r>
      <w:bookmarkEnd w:id="1"/>
    </w:p>
    <w:p w:rsidR="00084A15" w:rsidRPr="00084A15" w:rsidRDefault="00084A15" w:rsidP="00084A15">
      <w:pPr>
        <w:pStyle w:val="Balk10"/>
        <w:spacing w:before="0" w:after="200" w:line="240" w:lineRule="auto"/>
        <w:ind w:right="283" w:firstLine="709"/>
        <w:jc w:val="center"/>
        <w:outlineLvl w:val="9"/>
        <w:rPr>
          <w:caps/>
          <w:color w:val="010000"/>
          <w:szCs w:val="26"/>
        </w:rPr>
      </w:pPr>
    </w:p>
    <w:p w:rsidR="00084A15" w:rsidRDefault="00084A15" w:rsidP="00084A15">
      <w:pPr>
        <w:pStyle w:val="Balk10"/>
        <w:spacing w:before="0" w:after="0" w:line="240" w:lineRule="auto"/>
        <w:outlineLvl w:val="9"/>
        <w:rPr>
          <w:color w:val="010000"/>
          <w:szCs w:val="26"/>
        </w:rPr>
      </w:pPr>
      <w:r>
        <w:rPr>
          <w:color w:val="010000"/>
          <w:szCs w:val="26"/>
        </w:rPr>
        <w:t>Esas Sayısı : 2011/119</w:t>
      </w:r>
    </w:p>
    <w:p w:rsidR="00084A15" w:rsidRDefault="00084A15" w:rsidP="00084A15">
      <w:pPr>
        <w:pStyle w:val="Balk10"/>
        <w:spacing w:before="0" w:after="0" w:line="240" w:lineRule="auto"/>
        <w:outlineLvl w:val="9"/>
        <w:rPr>
          <w:color w:val="010000"/>
          <w:szCs w:val="26"/>
          <w:lang w:val="tr-TR"/>
        </w:rPr>
      </w:pPr>
      <w:r>
        <w:rPr>
          <w:color w:val="010000"/>
          <w:szCs w:val="26"/>
          <w:lang w:val="tr-TR"/>
        </w:rPr>
        <w:t xml:space="preserve">Karar </w:t>
      </w:r>
      <w:proofErr w:type="gramStart"/>
      <w:r>
        <w:rPr>
          <w:color w:val="010000"/>
          <w:szCs w:val="26"/>
          <w:lang w:val="tr-TR"/>
        </w:rPr>
        <w:t>Sayısı :</w:t>
      </w:r>
      <w:proofErr w:type="gramEnd"/>
      <w:r>
        <w:rPr>
          <w:color w:val="010000"/>
          <w:szCs w:val="26"/>
          <w:lang w:val="tr-TR"/>
        </w:rPr>
        <w:t xml:space="preserve"> 2012/33</w:t>
      </w:r>
    </w:p>
    <w:p w:rsidR="00084A15" w:rsidRDefault="00084A15" w:rsidP="00084A15">
      <w:pPr>
        <w:pStyle w:val="Balk10"/>
        <w:spacing w:before="0" w:after="0" w:line="240" w:lineRule="auto"/>
        <w:outlineLvl w:val="9"/>
        <w:rPr>
          <w:color w:val="010000"/>
          <w:szCs w:val="26"/>
          <w:lang w:val="tr-TR"/>
        </w:rPr>
      </w:pPr>
      <w:r>
        <w:rPr>
          <w:color w:val="010000"/>
          <w:szCs w:val="26"/>
          <w:lang w:val="tr-TR"/>
        </w:rPr>
        <w:t xml:space="preserve">Karar </w:t>
      </w:r>
      <w:proofErr w:type="gramStart"/>
      <w:r>
        <w:rPr>
          <w:color w:val="010000"/>
          <w:szCs w:val="26"/>
          <w:lang w:val="tr-TR"/>
        </w:rPr>
        <w:t>Günü :</w:t>
      </w:r>
      <w:proofErr w:type="gramEnd"/>
      <w:r>
        <w:rPr>
          <w:color w:val="010000"/>
          <w:szCs w:val="26"/>
          <w:lang w:val="tr-TR"/>
        </w:rPr>
        <w:t xml:space="preserve"> 1.3.2012</w:t>
      </w:r>
    </w:p>
    <w:p w:rsidR="00084A15" w:rsidRDefault="00084A15" w:rsidP="00084A15">
      <w:pPr>
        <w:pStyle w:val="Balk10"/>
        <w:spacing w:before="0" w:after="0" w:line="240" w:lineRule="auto"/>
        <w:outlineLvl w:val="9"/>
        <w:rPr>
          <w:color w:val="010000"/>
          <w:szCs w:val="26"/>
          <w:lang w:val="tr-TR"/>
        </w:rPr>
      </w:pPr>
      <w:proofErr w:type="spellStart"/>
      <w:r>
        <w:rPr>
          <w:color w:val="010000"/>
          <w:szCs w:val="26"/>
          <w:lang w:val="tr-TR"/>
        </w:rPr>
        <w:t>R.</w:t>
      </w:r>
      <w:proofErr w:type="gramStart"/>
      <w:r>
        <w:rPr>
          <w:color w:val="010000"/>
          <w:szCs w:val="26"/>
          <w:lang w:val="tr-TR"/>
        </w:rPr>
        <w:t>G.Tarih</w:t>
      </w:r>
      <w:proofErr w:type="spellEnd"/>
      <w:proofErr w:type="gramEnd"/>
      <w:r>
        <w:rPr>
          <w:color w:val="010000"/>
          <w:szCs w:val="26"/>
          <w:lang w:val="tr-TR"/>
        </w:rPr>
        <w:t>-Sayısı : 17/10/2012-28444</w:t>
      </w:r>
    </w:p>
    <w:p w:rsidR="00084A15" w:rsidRPr="00084A15" w:rsidRDefault="00084A15" w:rsidP="00084A15">
      <w:pPr>
        <w:pStyle w:val="Balk10"/>
        <w:spacing w:before="0" w:after="0" w:line="240" w:lineRule="auto"/>
        <w:outlineLvl w:val="9"/>
        <w:rPr>
          <w:color w:val="010000"/>
          <w:szCs w:val="26"/>
          <w:lang w:val="tr-TR"/>
        </w:rPr>
      </w:pPr>
    </w:p>
    <w:p w:rsidR="00C91DEE" w:rsidRPr="00084A15" w:rsidRDefault="00C91DEE" w:rsidP="00084A15">
      <w:pPr>
        <w:pStyle w:val="Gvdemetni0"/>
        <w:spacing w:before="0" w:after="200" w:line="240" w:lineRule="auto"/>
        <w:ind w:right="283" w:firstLine="709"/>
        <w:rPr>
          <w:color w:val="010000"/>
          <w:szCs w:val="26"/>
        </w:rPr>
      </w:pPr>
      <w:r w:rsidRPr="00084A15">
        <w:rPr>
          <w:rStyle w:val="GvdemetniKaln"/>
          <w:color w:val="010000"/>
          <w:szCs w:val="26"/>
        </w:rPr>
        <w:t>İTİRAZ YOLUNA BAŞVURAN :</w:t>
      </w:r>
      <w:r w:rsidRPr="00084A15">
        <w:rPr>
          <w:color w:val="010000"/>
          <w:szCs w:val="26"/>
        </w:rPr>
        <w:t xml:space="preserve"> Ankara 5. İdare Mahkemesi</w:t>
      </w:r>
    </w:p>
    <w:p w:rsidR="00C91DEE" w:rsidRPr="00084A15" w:rsidRDefault="00C91DEE" w:rsidP="00084A15">
      <w:pPr>
        <w:pStyle w:val="Gvdemetni0"/>
        <w:spacing w:before="0" w:after="200" w:line="240" w:lineRule="auto"/>
        <w:ind w:right="283" w:firstLine="709"/>
        <w:rPr>
          <w:color w:val="010000"/>
          <w:szCs w:val="26"/>
        </w:rPr>
      </w:pPr>
      <w:r w:rsidRPr="00084A15">
        <w:rPr>
          <w:rStyle w:val="GvdemetniKaln"/>
          <w:color w:val="010000"/>
          <w:szCs w:val="26"/>
        </w:rPr>
        <w:t>İTİRAZIN KONUSU :</w:t>
      </w:r>
      <w:r w:rsidRPr="00084A15">
        <w:rPr>
          <w:color w:val="010000"/>
          <w:szCs w:val="26"/>
        </w:rPr>
        <w:t xml:space="preserve"> 5.11.2008 günlü, 5809 sayılı Elektronik Haberleşme Kanunu’nun 60. maddesinin (1) numaralı fıkrasının birinci cümlesinde yer alan “... bir önceki takvim yılındaki net satışlarının yüzde üçüne kadar ...” ibaresinin, Anayasa’nın 2. ve 10. maddelerine aykırılığı savıyla iptali istemidir.</w:t>
      </w:r>
    </w:p>
    <w:p w:rsidR="00C91DEE" w:rsidRPr="00084A15" w:rsidRDefault="00C91DEE" w:rsidP="00084A15">
      <w:pPr>
        <w:pStyle w:val="Balk10"/>
        <w:spacing w:before="0" w:after="200" w:line="240" w:lineRule="auto"/>
        <w:ind w:right="283" w:firstLine="709"/>
        <w:jc w:val="both"/>
        <w:outlineLvl w:val="9"/>
        <w:rPr>
          <w:color w:val="010000"/>
          <w:szCs w:val="26"/>
        </w:rPr>
      </w:pPr>
      <w:bookmarkStart w:id="2" w:name="bookmark2"/>
      <w:r w:rsidRPr="00084A15">
        <w:rPr>
          <w:color w:val="010000"/>
          <w:szCs w:val="26"/>
        </w:rPr>
        <w:t>I- OLAY</w:t>
      </w:r>
      <w:bookmarkEnd w:id="2"/>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t>Bilgi Teknolojileri ve İletişim Kurumuna karşı açılan idari işlemin iptali davasında, itiraz konusu kuralın Anayasa’ya aykırı olduğu kanısına varan Mahkeme, iptali için başvurmuştur.</w:t>
      </w:r>
    </w:p>
    <w:p w:rsidR="00C91DEE" w:rsidRPr="00084A15" w:rsidRDefault="00C91DEE" w:rsidP="00084A15">
      <w:pPr>
        <w:pStyle w:val="Balk10"/>
        <w:spacing w:before="0" w:after="200" w:line="240" w:lineRule="auto"/>
        <w:ind w:right="283" w:firstLine="709"/>
        <w:jc w:val="both"/>
        <w:outlineLvl w:val="9"/>
        <w:rPr>
          <w:color w:val="010000"/>
          <w:szCs w:val="26"/>
        </w:rPr>
      </w:pPr>
      <w:bookmarkStart w:id="3" w:name="bookmark3"/>
      <w:r w:rsidRPr="00084A15">
        <w:rPr>
          <w:color w:val="010000"/>
          <w:szCs w:val="26"/>
        </w:rPr>
        <w:t>II- İTİRAZIN GEREKÇESİ</w:t>
      </w:r>
      <w:bookmarkEnd w:id="3"/>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t>Başvuru kararının gerekçe bölümü şöyledir:</w:t>
      </w:r>
    </w:p>
    <w:p w:rsidR="00C91DEE" w:rsidRPr="00084A15" w:rsidRDefault="00084A15" w:rsidP="00084A15">
      <w:pPr>
        <w:pStyle w:val="Gvdemetni0"/>
        <w:spacing w:before="0" w:after="200" w:line="240" w:lineRule="auto"/>
        <w:ind w:right="283" w:firstLine="709"/>
        <w:rPr>
          <w:color w:val="010000"/>
          <w:szCs w:val="26"/>
        </w:rPr>
      </w:pPr>
      <w:r w:rsidRPr="00084A15">
        <w:rPr>
          <w:color w:val="010000"/>
          <w:szCs w:val="26"/>
        </w:rPr>
        <w:t xml:space="preserve"> </w:t>
      </w:r>
      <w:r w:rsidR="00C91DEE" w:rsidRPr="00084A15">
        <w:rPr>
          <w:color w:val="010000"/>
          <w:szCs w:val="26"/>
        </w:rPr>
        <w:t>“...</w:t>
      </w:r>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t>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verilmektedir. Hukuk devleti, insan haklarına saygılı ve bu hakları koruyucu, adaletli bir hukuk düzeni kuran ve bunu sürdürmekle kendini yükümlü sayan, bütün eylem ve işlemleri ile eşitlik ve hakkaniyeti gözeten devlettir. Bu bağlamda, yasa koyucunun yasal düzenlemeler yaparken takdiri, sınırsız ve keyfî olmayıp hukuk devleti ilkeleriyle sınırlıdır.</w:t>
      </w:r>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t>Bunun yanında hukuk devleti kavramı, kuralların ve müeyyidelerinin net olarak önceden belli olduğu dolayısıyla uyulmayan kararların müeyyidelerinin ne olduğunu insanların önceden bilmesini de ifade eder.</w:t>
      </w:r>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t>Anayasa’nın 10.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hükmüne yer verilmiştir.</w:t>
      </w:r>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t>Anayasa Mahkemesi kararlarında belirtildiği üzere, Anayasa’nın 10. maddesine göre yasaların uygulanmasında ayrım gözetilmeyecek ve eşitsizliğe yol açılmayacaktır. Maddede düzenlenen “Eşitlik” ilkesiyle, birbirinin aynı durumda olanlara aynı kuralların uygulanması ve ayrıcalıklı kişi ve toplulukların yaratılması engellenmektedir. Yasa önünde eşitlik, herkesin her yönden aynı kurallara bağlı olacağı anlamına gelmez.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lastRenderedPageBreak/>
        <w:t>Yine Anayasa Mahkemesi’nin çeşitli kararlarında eşitlik ilkesi, aynı durumda bulunanlar için haklarda ve ödevlerde, yasalarda ve yükümlülüklerde, yetkilerde ve sorumluluklarda, fırsatlarda, hizmetlerde eşitliğin sağlanmasını gerektiren eşit davranma ve ayrım yapmama ilkesi olarak yorumlanmıştır.</w:t>
      </w:r>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t>5809 sayılı Elektronik Haberleşme Kanunu’nun 60. maddesinin 1. bendinde, Kurum; mevzuata, kullanım hakkı ve diğer yetkilendirme şartlarına uyulmasını izleme ve denetlemeye, aykırılık halinde işletmecilere bir önceki takvim yılındaki net satışlarının yüzde üçüne kadar idarî para cezası uygulamaya, millî güvenlik, kamu düzeni veya kamu hizmetinin gereği gibi yürütülmesi ve kanunlarla getirilen hükümlerin uygulanması amaçlarıyla gerekli tedbirleri almaya, gerektiğinde tesisleri tazminat karşılığında devralmaya, belirlediği süre içerisinde yetkilendirme ücretinin ödenmemesi ya da ağır kusur halinde verdiği yetkilendirmeyi iptal etmeye yetkilidir. Ancak, Kurum, ulusal çapta verilecek frekans bandı kullanımını ihtiva eden ve sınırlı sayıda işletmeci tarafından yürütülmesi gereken elektronik haberleşme hizmetlerine ilişkin yetkilendirmelerin iptalini gerektiren hallerde Bakanlığın görüşünü alır, hükmü yer almaktadır.</w:t>
      </w:r>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t>5809 sayılı Elektronik Haberleşme Kanunu’nun 4 üncü, 6 ncı, 7 nci, 12 nci, 24 üncü, 33 üncü ve 60 ıncı maddeleri ile mezkûr Kanunun İkinci Kısım Üçüncü Bölümü hükümlerine dayanılarak hazırlanan ve 08.09.2009 gün ve 27343 sayılı Resmi Gazete’de yayımlanan Erişim ve Arabağlantı Yönetmeliği’nin Müeyyideler başlıklı 21. maddesinin (ğ) bendinde, yükümlü işletmecinin ortak yerleşime ilişkin yükümlülüklerini yerine getirmemesi veya haklı bir neden olmaksızın geciktirmesi durumunda, işletmeciye bir önceki takvim yılındaki net satışlarının yüzde ikisine kadar, ihlalin niteliğine göre Kurum tarafından belirlenecek oranlarda idari para cezası uygulanacağı hükmü yer almaktadır.</w:t>
      </w:r>
    </w:p>
    <w:p w:rsidR="00857B7B" w:rsidRPr="00084A15" w:rsidRDefault="00C91DEE" w:rsidP="00084A15">
      <w:pPr>
        <w:pStyle w:val="Gvdemetni0"/>
        <w:spacing w:before="0" w:after="200" w:line="240" w:lineRule="auto"/>
        <w:ind w:right="283" w:firstLine="709"/>
        <w:rPr>
          <w:color w:val="010000"/>
          <w:szCs w:val="26"/>
        </w:rPr>
      </w:pPr>
      <w:r w:rsidRPr="00084A15">
        <w:rPr>
          <w:color w:val="010000"/>
          <w:szCs w:val="26"/>
        </w:rPr>
        <w:t>Bu durumda, Anayasa’nın 2. ve 10. maddeleriyle ilgili olarak yukarıda yer alan açıklamalar ışığında, 5809 sayılı Elektronik Haberleşme Kanunu’nun 60. maddesinin 1. bendinde yer alan “bir önceki takvim yılındaki net satışlarının yüzde üçüne kadar” ifadesi doğrudan eşitsizlik yaratan bir düzenleme olarak görülmemekte ise de, Yasanın uygulanması esnasında, yine Yasanın kendinden kaynaklanan sebeplerle eşitsizliğe yol açan sonuçlar doğmaktadır. Yasa sadece üst sınırı belirlemiştir ve başka hiçbir kritere yer verilmemiştir. Yasa kendisi bir kriter belirlemediği gibi, kriterlerin bir alt normla belirlenmesi yoluna da gidilmediğinden ceza miktarını belirlemek tamamen idarenin takdirine bırakılmıştır. İdarenin hangi ölçütleri esas alacağı açık, belirgin ve somut olarak Yasa’da yer almamıştır. Yasa kuralı bu anlamda belirli ve öngörülebilir değildir. Bu nedenlerle, söz konusu ibarenin Anayasa’nın 2. ve 10. maddelerine aykırılık oluşturduğu sonucuna varılmaktadır.</w:t>
      </w:r>
    </w:p>
    <w:p w:rsidR="00C91DEE" w:rsidRPr="00084A15" w:rsidRDefault="00857B7B" w:rsidP="00084A15">
      <w:pPr>
        <w:pStyle w:val="Gvdemetni0"/>
        <w:spacing w:before="0" w:after="200" w:line="240" w:lineRule="auto"/>
        <w:ind w:right="283" w:firstLine="709"/>
        <w:rPr>
          <w:color w:val="010000"/>
          <w:szCs w:val="26"/>
        </w:rPr>
      </w:pPr>
      <w:r w:rsidRPr="00084A15">
        <w:rPr>
          <w:color w:val="010000"/>
          <w:szCs w:val="26"/>
        </w:rPr>
        <w:t>...</w:t>
      </w:r>
      <w:r w:rsidR="00564B02" w:rsidRPr="00084A15">
        <w:rPr>
          <w:color w:val="010000"/>
          <w:szCs w:val="26"/>
        </w:rPr>
        <w:t>”</w:t>
      </w:r>
    </w:p>
    <w:p w:rsidR="00C91DEE" w:rsidRPr="00084A15" w:rsidRDefault="00C91DEE" w:rsidP="00084A15">
      <w:pPr>
        <w:pStyle w:val="Balk20"/>
        <w:spacing w:before="0" w:after="200" w:line="240" w:lineRule="auto"/>
        <w:ind w:right="283" w:firstLine="709"/>
        <w:outlineLvl w:val="9"/>
        <w:rPr>
          <w:color w:val="010000"/>
          <w:szCs w:val="26"/>
        </w:rPr>
      </w:pPr>
      <w:bookmarkStart w:id="4" w:name="bookmark4"/>
      <w:r w:rsidRPr="00084A15">
        <w:rPr>
          <w:color w:val="010000"/>
          <w:szCs w:val="26"/>
        </w:rPr>
        <w:t>III-YASA METİNLERİ</w:t>
      </w:r>
      <w:bookmarkEnd w:id="4"/>
    </w:p>
    <w:p w:rsidR="00C91DEE" w:rsidRPr="00084A15" w:rsidRDefault="00C91DEE" w:rsidP="00084A15">
      <w:pPr>
        <w:pStyle w:val="Balk20"/>
        <w:spacing w:before="0" w:after="200" w:line="240" w:lineRule="auto"/>
        <w:ind w:right="283" w:firstLine="709"/>
        <w:outlineLvl w:val="9"/>
        <w:rPr>
          <w:color w:val="010000"/>
          <w:szCs w:val="26"/>
        </w:rPr>
      </w:pPr>
      <w:bookmarkStart w:id="5" w:name="bookmark5"/>
      <w:r w:rsidRPr="00084A15">
        <w:rPr>
          <w:color w:val="010000"/>
          <w:szCs w:val="26"/>
        </w:rPr>
        <w:t>A- İtiraz Konusu Yasa Kuralı</w:t>
      </w:r>
      <w:bookmarkEnd w:id="5"/>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t>5.11.2008 günlü, 5809 sayılı Elektronik Haberleşme Kanunu’nun 60. maddesinin itiraz konusu ibareyi de içeren (1) numaralı fıkrası şöyledir:</w:t>
      </w:r>
    </w:p>
    <w:p w:rsidR="00C91DEE" w:rsidRPr="00084A15" w:rsidRDefault="00084A15" w:rsidP="00084A15">
      <w:pPr>
        <w:pStyle w:val="Gvdemetni0"/>
        <w:spacing w:before="0" w:after="200" w:line="240" w:lineRule="auto"/>
        <w:ind w:right="283" w:firstLine="709"/>
        <w:rPr>
          <w:color w:val="010000"/>
          <w:szCs w:val="26"/>
        </w:rPr>
      </w:pPr>
      <w:r w:rsidRPr="00084A15">
        <w:rPr>
          <w:color w:val="010000"/>
          <w:szCs w:val="26"/>
        </w:rPr>
        <w:t xml:space="preserve"> </w:t>
      </w:r>
      <w:r w:rsidR="00C91DEE" w:rsidRPr="00084A15">
        <w:rPr>
          <w:color w:val="010000"/>
          <w:szCs w:val="26"/>
        </w:rPr>
        <w:t>“MADDE 60- (1) Kurum; mevzuata, kullanım hakkı ve diğer yetkilendirme şartlarına uyulmasını izleme ve denetlemeye, aykırılık halinde</w:t>
      </w:r>
      <w:r w:rsidR="00C91DEE" w:rsidRPr="00084A15">
        <w:rPr>
          <w:rStyle w:val="GvdemetniKaln1"/>
          <w:color w:val="010000"/>
          <w:szCs w:val="26"/>
        </w:rPr>
        <w:t xml:space="preserve"> </w:t>
      </w:r>
      <w:r w:rsidR="00C91DEE" w:rsidRPr="00084A15">
        <w:rPr>
          <w:rStyle w:val="GvdemetniKaln1"/>
          <w:b w:val="0"/>
          <w:color w:val="010000"/>
          <w:szCs w:val="26"/>
        </w:rPr>
        <w:t xml:space="preserve">işletmecilere </w:t>
      </w:r>
      <w:r w:rsidR="00C91DEE" w:rsidRPr="00084A15">
        <w:rPr>
          <w:rStyle w:val="GvdemetniKaln1"/>
          <w:color w:val="010000"/>
          <w:szCs w:val="26"/>
        </w:rPr>
        <w:t>bir önceki takvim yılındaki net satışlarının yüzde üçüne kadar</w:t>
      </w:r>
      <w:r w:rsidR="00C91DEE" w:rsidRPr="00084A15">
        <w:rPr>
          <w:color w:val="010000"/>
          <w:szCs w:val="26"/>
        </w:rPr>
        <w:t xml:space="preserve"> idarî para cezası uygulamaya, millî güvenlik, kamu düzeni veya kamu hizmetinin gereği gibi yürütülmesi ve kanunlarla getirilen hükümlerin uygulanması amaçlarıyla gerekli tedbirleri almaya, gerektiğinde tesisleri tazminat karşılığında devralmaya, belirlediği süre içerisinde yetkilendirme ücretinin ödenmemesi ya da ağır kusur halinde verdiği </w:t>
      </w:r>
      <w:r w:rsidR="00C91DEE" w:rsidRPr="00084A15">
        <w:rPr>
          <w:color w:val="010000"/>
          <w:szCs w:val="26"/>
        </w:rPr>
        <w:lastRenderedPageBreak/>
        <w:t>yetkilendirmeyi iptal etmeye yetkilidir. Ancak, Kurum, ulusal çapta verilecek frekans bandı kullanımını ihtiva eden ve sınırlı sayıda işletmeci tarafından yürütülmesi gereken elektronik haberleşme hizmetlerine ilişkin yetkilendirmelerin iptalini gerektiren hallerde Bakanlığın görüşünü alır.”</w:t>
      </w:r>
    </w:p>
    <w:p w:rsidR="00C91DEE" w:rsidRPr="00084A15" w:rsidRDefault="00C91DEE" w:rsidP="00084A15">
      <w:pPr>
        <w:pStyle w:val="Balk20"/>
        <w:spacing w:before="0" w:after="200" w:line="240" w:lineRule="auto"/>
        <w:ind w:right="283" w:firstLine="709"/>
        <w:outlineLvl w:val="9"/>
        <w:rPr>
          <w:color w:val="010000"/>
          <w:szCs w:val="26"/>
        </w:rPr>
      </w:pPr>
      <w:bookmarkStart w:id="6" w:name="bookmark6"/>
      <w:r w:rsidRPr="00084A15">
        <w:rPr>
          <w:color w:val="010000"/>
          <w:szCs w:val="26"/>
        </w:rPr>
        <w:t>B- Dayanılan Anayasa Kuralları</w:t>
      </w:r>
      <w:bookmarkEnd w:id="6"/>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t>Başvuru kararında Anayasa’nın 2. ve 10. maddelerine dayanılmıştır.</w:t>
      </w:r>
    </w:p>
    <w:p w:rsidR="00C91DEE" w:rsidRPr="00084A15" w:rsidRDefault="00C91DEE" w:rsidP="00084A15">
      <w:pPr>
        <w:pStyle w:val="Balk20"/>
        <w:spacing w:before="0" w:after="200" w:line="240" w:lineRule="auto"/>
        <w:ind w:right="283" w:firstLine="709"/>
        <w:outlineLvl w:val="9"/>
        <w:rPr>
          <w:color w:val="010000"/>
          <w:szCs w:val="26"/>
        </w:rPr>
      </w:pPr>
      <w:bookmarkStart w:id="7" w:name="bookmark7"/>
      <w:r w:rsidRPr="00084A15">
        <w:rPr>
          <w:color w:val="010000"/>
          <w:szCs w:val="26"/>
        </w:rPr>
        <w:t>IV- İLK İNCELEME</w:t>
      </w:r>
      <w:bookmarkEnd w:id="7"/>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t xml:space="preserve">Anayasa Mahkemesi </w:t>
      </w:r>
      <w:proofErr w:type="spellStart"/>
      <w:r w:rsidRPr="00084A15">
        <w:rPr>
          <w:color w:val="010000"/>
          <w:szCs w:val="26"/>
        </w:rPr>
        <w:t>İçtüzüğü’nün</w:t>
      </w:r>
      <w:proofErr w:type="spellEnd"/>
      <w:r w:rsidRPr="00084A15">
        <w:rPr>
          <w:color w:val="010000"/>
          <w:szCs w:val="26"/>
        </w:rPr>
        <w:t xml:space="preserve"> 8. maddesi gereğince Haşim KILIÇ, Serruh KALELÎ, Alparslan ALTAN, Fulya KANTARCIOĞLU, Ahmet AKYALÇIN, Mehmet ERTEN, Serdar ÖZGÜLDÜR, Osman Alifeyyaz PAKSÜT, Zehra Ayla PERKTAŞ, Recep KÖMÜRCÜ, Burhan ÜSTÜN, Engin YILDIRIM, Nuri NECİPOĞLU, Hicabi DURSUN, Celal Mümtaz AKINCI ve Erdal TERCAN’ın katılımlarıyla 30.11.2011 gününde yapılan ilk inceleme toplantısında, dosyada eksiklik bulunmadığından işin esasının incelenmesine, oybirliğiyle karar verilmiştir.</w:t>
      </w:r>
    </w:p>
    <w:p w:rsidR="00C91DEE" w:rsidRPr="00084A15" w:rsidRDefault="00C91DEE" w:rsidP="00084A15">
      <w:pPr>
        <w:pStyle w:val="Balk20"/>
        <w:spacing w:before="0" w:after="200" w:line="240" w:lineRule="auto"/>
        <w:ind w:right="283" w:firstLine="709"/>
        <w:outlineLvl w:val="9"/>
        <w:rPr>
          <w:color w:val="010000"/>
          <w:szCs w:val="26"/>
        </w:rPr>
      </w:pPr>
      <w:bookmarkStart w:id="8" w:name="bookmark8"/>
      <w:r w:rsidRPr="00084A15">
        <w:rPr>
          <w:color w:val="010000"/>
          <w:szCs w:val="26"/>
        </w:rPr>
        <w:t>V-</w:t>
      </w:r>
      <w:r w:rsidR="00682242" w:rsidRPr="00084A15">
        <w:rPr>
          <w:color w:val="010000"/>
          <w:szCs w:val="26"/>
        </w:rPr>
        <w:t xml:space="preserve"> </w:t>
      </w:r>
      <w:r w:rsidRPr="00084A15">
        <w:rPr>
          <w:color w:val="010000"/>
          <w:szCs w:val="26"/>
        </w:rPr>
        <w:t>ESASIN İNCELENMESİ</w:t>
      </w:r>
      <w:bookmarkEnd w:id="8"/>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t>Başvuru kararı ve ekleri, Anayasa Mahkemesi Raportörü Hakan ATASOY tarafından hazırlanan işin esasına ilişkin rapor, itiraz konusu ibare, dayanılan Anayasa kuralları ve bunların gerekçeleri ile diğer yasama belgeleri okunup incelendikten sonra gereği görüşülüp düşünüldü:</w:t>
      </w:r>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t>Başvuru kararında, kanun koyucunun yasal düzenlemeler yaparken sınırsız ve keyfi bir takdir yetkisine sahip olmadığı, takdir yetkisinin hukuk devleti ilkesiyle sınırlı bulunduğu, hukuk devletinde kuralların ve müeyyidelerinin önceden net olarak belli olduğu, itiraz konusu ibarede, idari para cezasının belirlenmesine yönelik olarak sadece cezanın üst sınırının belirtildiği, bunun dışında idarenin hangi ölçütleri esas alacağına ilişkin açık, belirgin ve somut bir düzenleme bulunmadığı, ceza miktarını belirleme yetkisinin tamamen idarenin takdirine bırakıldığı, bu hususun hukuk devleti ilkesiyle bağdaşmadığı, ayrıca Yasa’nın uygulanmasının eşitsizliğe yol açtığı belirtilerek, belirli ve öngörülebilir nitelik taşımayan itiraz konusu ibarenin Anayasa’nın 2. ve 10. maddelerine aykırı olduğu ileri sürülmüştür.</w:t>
      </w:r>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t>İtiraz konusu ibare ile Bilgi Teknolojileri ve İletişim Kurumuna, mevzuata, kullanım hakkı ve diğer yetkilendirme şartlarına uyulmasını izleme ve denetleme, aykırılık halinde işletmecilere bir önceki takvim yılındaki net satışlarının yüzde üçüne kadar idari para cezası uygulama yetkisi verilmiştir.</w:t>
      </w:r>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kaçman, Anayasa ve hukukun üstün kurallarıyla kendini bağlı sayan, yargı denetimine açık olan devlettir.</w:t>
      </w:r>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t>Hukuk devletinin temel ilkelerinden biri “belirlilik”tir. Bu ilke, suçun unsurlarının ve verilecek cezanın tereddüde yer vermeyecek şekilde açık, net, anlaşılır, uygulanabilir, nesnel, makul bir düzeyde öngörülebilecek ve keyfi uygulamalara yol açmayacak biçimde belirlenmiş olmasını gerektirir.</w:t>
      </w:r>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t>Değişen sosyal, siyasal ve ekonomik koşullar kimi durumlarda devlet idarelerine bir takım yetkilerin tanınması gereğini ortaya çıkarmıştır. Gelişen, büyüyen, çeşitlenen ve çoğalan toplumsal gereksinimleri yerinde, zamanında ve etkin bir biçimde karşılayabilmek için çağdaş yönetimlerde idareye değişik alanlarda yaptırım uygulama yetkileri tanınmaktadır.</w:t>
      </w:r>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lastRenderedPageBreak/>
        <w:t>İtiraz konusu ibare ile düzenlenen idari para cezası, temel işlevi telekomünikasyon alanındaki kamusal ve özel kesim etkinliklerini kurallar koyarak düzenlemek, konulan kurallara uyulup uyulmadığını izlemek, denetlemek ve bu kurallara uyulmaması halinde de, ya doğrudan doğruya yaptırım uygulamak veya kanunlarda gösterilen yaptırımların uygulanması için adli mercileri harekete geçirmek olan Bilgi Teknolojileri ve İletişim Kurumunun doğrudan işlemiyle idare hukukuna özgü usullerle kesilen ve uygulanan bir idari yaptırımdır.</w:t>
      </w:r>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t>5326 sayılı Kabahatler Kanunu’nun 3. maddesinde, Kabahatler Kanunu’nun genel hükümlerinin idari para cezası yaptırımını gerektiren bütün fiiller hakkında uygulanacağı hükme bağlanmıştır. Bu nedenle itiraz konusu ibarede öngörülen idari para cezasına da Kabahatler Kanunu’nda yer alan genel hükümler uygulanacaktır.</w:t>
      </w:r>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t>İdari para cezası, kabahat sayılan eylemin işlenmesini önlemeye yönelik caydırıcılık fonksiyonu gördüğü gibi, kamu açısından oluşmuş olan zararın giderilmesi amacına da hizmet etmektedir. Bu nedenle, idari para cezasının nispi nitelikte olması mümkündür. İtiraz konusu ibarede, Kurumun işletmecilere bir önceki takvim yılındaki net satışlarının yüzde üçüne kadar idari para cezası uygulamaya yetkili olduğu ifade edilerek, idari para cezasının üst sınırı da gösterilmek suretiyle nispi olarak belirleneceği öngörülmüştür.</w:t>
      </w:r>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t>Hukuk devletinde ceza hukukuna ilişkin düzenlemelerde olduğu gibi kabahatler hukuku açısından da Anayasa’ya ve ceza hukukunun temel ilkelerine bağlı kalmak koşuluyla hangi eylemlerin kabahat sayılacağı, bunlara uygulanacak yaptırımın türü ve ölçüsü, yaptırımın ağırlaştırıcı ve hafifletici nedenlerinin belirlenmesi gibi konularda kanun koyucunun takdir yetkisi bulunmaktadır.</w:t>
      </w:r>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t>5809 sayılı Elektronik Haberleşme Kanunu’nun 60. maddesi incelendiğinde, itiraz konusu ibare ile Kuruma tanınan, işletmecilere bir önceki takvim yılındaki net satışlarının yüzde üçüne kadar idari para cezası uygulama yetkisinin, caydırıcı olma ve kamuda oluşan zararın giderilmesi yanında, uygulanacak idari para cezasının kişiselleştirilerek suç ve ceza arasında adil bir dengenin kurulması amacını da taşıdığı anlaşılmaktadır. Bu düzenlemenin anayasal sınırlar içinde kanun koyucunun takdirinde olduğu açıktır.</w:t>
      </w:r>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t>İtiraz konusu ibare ile Kuruma idari para cezasının miktarını belirleme yetkisi verilmiş ise de, bu yetkinin keyfi olarak kullanılması söz konusu olamaz. Kabahatler Kanunu’nun 17. maddesinin (2) numaralı fıkrasında idari para cezasının, alt ve üst sınırı gösterilmek suretiyle belirlendiği durumlarda, idari para cezasının miktarı belirlenirken işlenen kabahatin haksızlık içeriği ile failin kusuru ve ekonomik durumunun birlikte göz önünde bulundurulacağı hükme bağlanmıştır. Bu nedenle Kurum, işletmecilere verilecek idari para cezasının miktarını belirlerken Kabahatler Kanunu’nun 17. maddesinde belirtilen ölçütlere ve ayrıca hukukun genel ilkelerine de uymak zorundadır.</w:t>
      </w:r>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t>Öte yandan, ticari hayatta faaliyet gösteren işletmecilerin, bir önceki takvim yılındaki net satışlarının belli olması nedeniyle, idari para cezasının miktarının belirlenmesinde bu hususu ölçüt olarak kabul eden itiraz konusu ibarenin, belirlilik ve öngörülebilirlik ilkelerine de aykırı bir yönü yoktur.</w:t>
      </w:r>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t>Bu nedenlerle itiraz konusu ibare hukuk devleti ilkesine aykırı değildir.</w:t>
      </w:r>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t xml:space="preserve">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w:t>
      </w:r>
      <w:r w:rsidRPr="00084A15">
        <w:rPr>
          <w:color w:val="010000"/>
          <w:szCs w:val="26"/>
        </w:rPr>
        <w:lastRenderedPageBreak/>
        <w:t>topluluklara ayrı kurallar uygulanarak yasa karşısında eşitliğin ihlali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4778E1" w:rsidRPr="00084A15" w:rsidRDefault="008E52CC" w:rsidP="00084A15">
      <w:pPr>
        <w:pStyle w:val="Gvdemetni0"/>
        <w:spacing w:before="0" w:after="200" w:line="240" w:lineRule="auto"/>
        <w:ind w:right="283" w:firstLine="709"/>
        <w:rPr>
          <w:color w:val="010000"/>
          <w:szCs w:val="26"/>
        </w:rPr>
      </w:pPr>
      <w:r w:rsidRPr="00084A15">
        <w:rPr>
          <w:color w:val="010000"/>
          <w:szCs w:val="26"/>
        </w:rPr>
        <w:t xml:space="preserve">Suç ile ceza </w:t>
      </w:r>
      <w:r w:rsidR="008A2D36" w:rsidRPr="00084A15">
        <w:rPr>
          <w:color w:val="010000"/>
          <w:szCs w:val="26"/>
        </w:rPr>
        <w:t>arasında adil bir dengenin kurulabilmesi, verilecek cezanın kişiselleştirilmesini, her somut olayda suçlunun kişiliğine uygun hale getirilmesini</w:t>
      </w:r>
      <w:r w:rsidR="00084A15" w:rsidRPr="00084A15">
        <w:rPr>
          <w:color w:val="010000"/>
          <w:szCs w:val="26"/>
        </w:rPr>
        <w:t xml:space="preserve"> </w:t>
      </w:r>
      <w:r w:rsidR="008A2D36" w:rsidRPr="00084A15">
        <w:rPr>
          <w:color w:val="010000"/>
          <w:szCs w:val="26"/>
        </w:rPr>
        <w:t>gerektirir.</w:t>
      </w:r>
      <w:r w:rsidR="00084A15" w:rsidRPr="00084A15">
        <w:rPr>
          <w:color w:val="010000"/>
          <w:szCs w:val="26"/>
        </w:rPr>
        <w:t xml:space="preserve"> </w:t>
      </w:r>
      <w:r w:rsidR="008A2D36" w:rsidRPr="00084A15">
        <w:rPr>
          <w:color w:val="010000"/>
          <w:szCs w:val="26"/>
        </w:rPr>
        <w:t>İtiraz konusu ibare ile öngörülen idari para cezası miktarı belirlenirken, işlenen kabahatin haksızlık içeriği ile failin kusuru ve ekonomik durumu birlikta gözetilerek cezanın kişiselleştirilmesi gerekeceği açıktır. Buna göre, cezaların yasal ve hukuksal anlamda eşit olmalarına rağmen ceza adaletinin gereği olarak kişiler için uygulanmasında çıkan sonucun eşitliğe aykırı olduğundan söz edilemez.</w:t>
      </w:r>
    </w:p>
    <w:p w:rsidR="00C91DEE" w:rsidRPr="00084A15" w:rsidRDefault="00C91DEE" w:rsidP="00084A15">
      <w:pPr>
        <w:pStyle w:val="Gvdemetni0"/>
        <w:spacing w:before="0" w:after="200" w:line="240" w:lineRule="auto"/>
        <w:ind w:right="283" w:firstLine="709"/>
        <w:rPr>
          <w:color w:val="010000"/>
          <w:szCs w:val="26"/>
        </w:rPr>
      </w:pPr>
      <w:r w:rsidRPr="00084A15">
        <w:rPr>
          <w:color w:val="010000"/>
          <w:szCs w:val="26"/>
        </w:rPr>
        <w:t>Açıklanan nedenlerle itiraz konusu ibare, Anayasa’nın 2. ve 10. maddelerine aykırı değildir. İptal isteminin reddi gerekir.</w:t>
      </w:r>
    </w:p>
    <w:p w:rsidR="00BC247B" w:rsidRPr="00084A15" w:rsidRDefault="00BC247B" w:rsidP="00084A15">
      <w:pPr>
        <w:pStyle w:val="Balk10"/>
        <w:spacing w:before="0" w:after="200" w:line="240" w:lineRule="auto"/>
        <w:ind w:right="283" w:firstLine="709"/>
        <w:jc w:val="both"/>
        <w:outlineLvl w:val="9"/>
        <w:rPr>
          <w:color w:val="010000"/>
          <w:szCs w:val="26"/>
        </w:rPr>
      </w:pPr>
      <w:r w:rsidRPr="00084A15">
        <w:rPr>
          <w:color w:val="010000"/>
          <w:szCs w:val="26"/>
        </w:rPr>
        <w:t>VI- SONUÇ</w:t>
      </w:r>
      <w:bookmarkEnd w:id="0"/>
    </w:p>
    <w:p w:rsidR="00BC247B" w:rsidRPr="00084A15" w:rsidRDefault="00BC247B" w:rsidP="00084A15">
      <w:pPr>
        <w:pStyle w:val="Gvdemetni0"/>
        <w:spacing w:before="0" w:after="200" w:line="240" w:lineRule="auto"/>
        <w:ind w:right="283" w:firstLine="709"/>
        <w:rPr>
          <w:color w:val="010000"/>
          <w:szCs w:val="26"/>
        </w:rPr>
      </w:pPr>
      <w:r w:rsidRPr="00084A15">
        <w:rPr>
          <w:color w:val="010000"/>
          <w:szCs w:val="26"/>
        </w:rPr>
        <w:t>5.11.2008 günlü, 5809 sayılı Elektronik Haberleşme Kanunu</w:t>
      </w:r>
      <w:r w:rsidR="00A74761" w:rsidRPr="00084A15">
        <w:rPr>
          <w:color w:val="010000"/>
          <w:szCs w:val="26"/>
        </w:rPr>
        <w:t>’</w:t>
      </w:r>
      <w:r w:rsidRPr="00084A15">
        <w:rPr>
          <w:color w:val="010000"/>
          <w:szCs w:val="26"/>
        </w:rPr>
        <w:t xml:space="preserve">nun 60. maddesinin (1) numaralı fıkrasının birinci cümlesinde yer alan </w:t>
      </w:r>
      <w:r w:rsidR="00A74761" w:rsidRPr="00084A15">
        <w:rPr>
          <w:color w:val="010000"/>
          <w:szCs w:val="26"/>
        </w:rPr>
        <w:t>“</w:t>
      </w:r>
      <w:r w:rsidRPr="00084A15">
        <w:rPr>
          <w:color w:val="010000"/>
          <w:szCs w:val="26"/>
        </w:rPr>
        <w:t>... bir önceki takvim yılındaki net satışlarının yüzde üçüne kadar...</w:t>
      </w:r>
      <w:r w:rsidR="00A74761" w:rsidRPr="00084A15">
        <w:rPr>
          <w:color w:val="010000"/>
          <w:szCs w:val="26"/>
        </w:rPr>
        <w:t>”</w:t>
      </w:r>
      <w:r w:rsidRPr="00084A15">
        <w:rPr>
          <w:color w:val="010000"/>
          <w:szCs w:val="26"/>
        </w:rPr>
        <w:t xml:space="preserve"> ibaresinin Anayasa</w:t>
      </w:r>
      <w:r w:rsidR="00A74761" w:rsidRPr="00084A15">
        <w:rPr>
          <w:color w:val="010000"/>
          <w:szCs w:val="26"/>
        </w:rPr>
        <w:t>’</w:t>
      </w:r>
      <w:r w:rsidRPr="00084A15">
        <w:rPr>
          <w:color w:val="010000"/>
          <w:szCs w:val="26"/>
        </w:rPr>
        <w:t>ya aykırı olmadığına ve itirazın REDDİNE, 1.3.2012 gününde OYBİRLİĞİYLE karar verildi.</w:t>
      </w:r>
      <w:bookmarkStart w:id="9" w:name="_GoBack"/>
      <w:bookmarkEnd w:id="9"/>
    </w:p>
    <w:p w:rsidR="00084A15" w:rsidRDefault="00084A15"/>
    <w:tbl>
      <w:tblPr>
        <w:tblW w:w="5000" w:type="pct"/>
        <w:jc w:val="center"/>
        <w:tblCellMar>
          <w:left w:w="70" w:type="dxa"/>
          <w:right w:w="70" w:type="dxa"/>
        </w:tblCellMar>
        <w:tblLook w:val="0000" w:firstRow="0" w:lastRow="0" w:firstColumn="0" w:lastColumn="0" w:noHBand="0" w:noVBand="0"/>
      </w:tblPr>
      <w:tblGrid>
        <w:gridCol w:w="3307"/>
        <w:gridCol w:w="3307"/>
        <w:gridCol w:w="3305"/>
      </w:tblGrid>
      <w:tr w:rsidR="001D33B8" w:rsidRPr="00084A15" w:rsidTr="00084A15">
        <w:trPr>
          <w:trHeight w:val="1600"/>
          <w:jc w:val="center"/>
        </w:trPr>
        <w:tc>
          <w:tcPr>
            <w:tcW w:w="1667" w:type="pct"/>
            <w:vAlign w:val="center"/>
          </w:tcPr>
          <w:p w:rsidR="001D33B8" w:rsidRPr="00084A15" w:rsidRDefault="001D33B8" w:rsidP="00084A15">
            <w:pPr>
              <w:spacing w:after="120"/>
              <w:jc w:val="center"/>
              <w:rPr>
                <w:color w:val="010000"/>
                <w:szCs w:val="26"/>
              </w:rPr>
            </w:pPr>
            <w:r w:rsidRPr="00084A15">
              <w:rPr>
                <w:color w:val="010000"/>
                <w:szCs w:val="26"/>
              </w:rPr>
              <w:t>Başkan</w:t>
            </w:r>
          </w:p>
          <w:p w:rsidR="001D33B8" w:rsidRPr="00084A15" w:rsidRDefault="001D33B8" w:rsidP="00084A15">
            <w:pPr>
              <w:spacing w:after="120"/>
              <w:jc w:val="center"/>
              <w:rPr>
                <w:color w:val="010000"/>
                <w:szCs w:val="26"/>
              </w:rPr>
            </w:pPr>
            <w:r w:rsidRPr="00084A15">
              <w:rPr>
                <w:color w:val="010000"/>
                <w:szCs w:val="26"/>
              </w:rPr>
              <w:t>Haşim KILIÇ</w:t>
            </w:r>
          </w:p>
        </w:tc>
        <w:tc>
          <w:tcPr>
            <w:tcW w:w="1667" w:type="pct"/>
            <w:vAlign w:val="center"/>
          </w:tcPr>
          <w:p w:rsidR="001D33B8" w:rsidRPr="00084A15" w:rsidRDefault="001D33B8" w:rsidP="00084A15">
            <w:pPr>
              <w:spacing w:after="120"/>
              <w:jc w:val="center"/>
              <w:rPr>
                <w:color w:val="010000"/>
                <w:szCs w:val="26"/>
              </w:rPr>
            </w:pPr>
            <w:r w:rsidRPr="00084A15">
              <w:rPr>
                <w:color w:val="010000"/>
                <w:szCs w:val="26"/>
              </w:rPr>
              <w:t>Başkanvekili</w:t>
            </w:r>
          </w:p>
          <w:p w:rsidR="001D33B8" w:rsidRPr="00084A15" w:rsidRDefault="001D33B8" w:rsidP="00084A15">
            <w:pPr>
              <w:spacing w:after="120"/>
              <w:jc w:val="center"/>
              <w:rPr>
                <w:color w:val="010000"/>
                <w:szCs w:val="26"/>
              </w:rPr>
            </w:pPr>
            <w:proofErr w:type="spellStart"/>
            <w:r w:rsidRPr="00084A15">
              <w:rPr>
                <w:color w:val="010000"/>
                <w:szCs w:val="26"/>
              </w:rPr>
              <w:t>Serruh</w:t>
            </w:r>
            <w:proofErr w:type="spellEnd"/>
            <w:r w:rsidRPr="00084A15">
              <w:rPr>
                <w:color w:val="010000"/>
                <w:szCs w:val="26"/>
              </w:rPr>
              <w:t xml:space="preserve"> KALELİ</w:t>
            </w:r>
          </w:p>
        </w:tc>
        <w:tc>
          <w:tcPr>
            <w:tcW w:w="1666" w:type="pct"/>
            <w:vAlign w:val="center"/>
          </w:tcPr>
          <w:p w:rsidR="001D33B8" w:rsidRPr="00084A15" w:rsidRDefault="001D33B8" w:rsidP="00084A15">
            <w:pPr>
              <w:spacing w:after="120"/>
              <w:jc w:val="center"/>
              <w:rPr>
                <w:color w:val="010000"/>
                <w:szCs w:val="26"/>
              </w:rPr>
            </w:pPr>
            <w:r w:rsidRPr="00084A15">
              <w:rPr>
                <w:color w:val="010000"/>
                <w:szCs w:val="26"/>
              </w:rPr>
              <w:t>Başkanvekili</w:t>
            </w:r>
          </w:p>
          <w:p w:rsidR="001D33B8" w:rsidRPr="00084A15" w:rsidRDefault="001D33B8" w:rsidP="00084A15">
            <w:pPr>
              <w:spacing w:after="120"/>
              <w:jc w:val="center"/>
              <w:rPr>
                <w:color w:val="010000"/>
                <w:szCs w:val="26"/>
              </w:rPr>
            </w:pPr>
            <w:r w:rsidRPr="00084A15">
              <w:rPr>
                <w:color w:val="010000"/>
                <w:szCs w:val="26"/>
              </w:rPr>
              <w:t>Alparslan ALTAN</w:t>
            </w:r>
          </w:p>
        </w:tc>
      </w:tr>
      <w:tr w:rsidR="001D33B8" w:rsidRPr="00084A15" w:rsidTr="00084A15">
        <w:trPr>
          <w:trHeight w:val="1600"/>
          <w:jc w:val="center"/>
        </w:trPr>
        <w:tc>
          <w:tcPr>
            <w:tcW w:w="1667" w:type="pct"/>
            <w:vAlign w:val="center"/>
          </w:tcPr>
          <w:p w:rsidR="001D33B8" w:rsidRPr="00084A15" w:rsidRDefault="001D33B8" w:rsidP="00084A15">
            <w:pPr>
              <w:spacing w:after="120"/>
              <w:jc w:val="center"/>
              <w:rPr>
                <w:color w:val="010000"/>
                <w:szCs w:val="26"/>
              </w:rPr>
            </w:pPr>
            <w:r w:rsidRPr="00084A15">
              <w:rPr>
                <w:color w:val="010000"/>
                <w:szCs w:val="26"/>
              </w:rPr>
              <w:t>Üye</w:t>
            </w:r>
          </w:p>
          <w:p w:rsidR="001D33B8" w:rsidRPr="00084A15" w:rsidRDefault="001D33B8" w:rsidP="00084A15">
            <w:pPr>
              <w:spacing w:after="120"/>
              <w:jc w:val="center"/>
              <w:rPr>
                <w:color w:val="010000"/>
                <w:szCs w:val="26"/>
              </w:rPr>
            </w:pPr>
            <w:r w:rsidRPr="00084A15">
              <w:rPr>
                <w:color w:val="010000"/>
                <w:szCs w:val="26"/>
              </w:rPr>
              <w:t>Fulya KANTARCIOĞLU</w:t>
            </w:r>
          </w:p>
        </w:tc>
        <w:tc>
          <w:tcPr>
            <w:tcW w:w="1667" w:type="pct"/>
            <w:vAlign w:val="center"/>
          </w:tcPr>
          <w:p w:rsidR="001D33B8" w:rsidRPr="00084A15" w:rsidRDefault="001D33B8" w:rsidP="00084A15">
            <w:pPr>
              <w:spacing w:after="120"/>
              <w:jc w:val="center"/>
              <w:rPr>
                <w:color w:val="010000"/>
                <w:szCs w:val="26"/>
              </w:rPr>
            </w:pPr>
            <w:r w:rsidRPr="00084A15">
              <w:rPr>
                <w:color w:val="010000"/>
                <w:szCs w:val="26"/>
              </w:rPr>
              <w:t>Üye</w:t>
            </w:r>
          </w:p>
          <w:p w:rsidR="001D33B8" w:rsidRPr="00084A15" w:rsidRDefault="001D33B8" w:rsidP="00084A15">
            <w:pPr>
              <w:spacing w:after="120"/>
              <w:jc w:val="center"/>
              <w:rPr>
                <w:color w:val="010000"/>
                <w:szCs w:val="26"/>
              </w:rPr>
            </w:pPr>
            <w:r w:rsidRPr="00084A15">
              <w:rPr>
                <w:color w:val="010000"/>
                <w:szCs w:val="26"/>
              </w:rPr>
              <w:t>Mehmet ERTEN</w:t>
            </w:r>
          </w:p>
        </w:tc>
        <w:tc>
          <w:tcPr>
            <w:tcW w:w="1666" w:type="pct"/>
            <w:vAlign w:val="center"/>
          </w:tcPr>
          <w:p w:rsidR="001D33B8" w:rsidRPr="00084A15" w:rsidRDefault="001D33B8" w:rsidP="00084A15">
            <w:pPr>
              <w:spacing w:after="120"/>
              <w:jc w:val="center"/>
              <w:rPr>
                <w:color w:val="010000"/>
                <w:szCs w:val="26"/>
              </w:rPr>
            </w:pPr>
            <w:r w:rsidRPr="00084A15">
              <w:rPr>
                <w:color w:val="010000"/>
                <w:szCs w:val="26"/>
              </w:rPr>
              <w:t>Üye</w:t>
            </w:r>
          </w:p>
          <w:p w:rsidR="001D33B8" w:rsidRPr="00084A15" w:rsidRDefault="001D33B8" w:rsidP="00084A15">
            <w:pPr>
              <w:spacing w:after="120"/>
              <w:jc w:val="center"/>
              <w:rPr>
                <w:color w:val="010000"/>
                <w:szCs w:val="26"/>
              </w:rPr>
            </w:pPr>
            <w:r w:rsidRPr="00084A15">
              <w:rPr>
                <w:color w:val="010000"/>
                <w:szCs w:val="26"/>
              </w:rPr>
              <w:t>Serdar ÖZGÜLDÜR</w:t>
            </w:r>
          </w:p>
        </w:tc>
      </w:tr>
      <w:tr w:rsidR="001D33B8" w:rsidRPr="00084A15" w:rsidTr="00084A15">
        <w:trPr>
          <w:trHeight w:val="1600"/>
          <w:jc w:val="center"/>
        </w:trPr>
        <w:tc>
          <w:tcPr>
            <w:tcW w:w="1667" w:type="pct"/>
            <w:vAlign w:val="center"/>
          </w:tcPr>
          <w:p w:rsidR="001D33B8" w:rsidRPr="00084A15" w:rsidRDefault="001D33B8" w:rsidP="00084A15">
            <w:pPr>
              <w:spacing w:after="120"/>
              <w:jc w:val="center"/>
              <w:rPr>
                <w:color w:val="010000"/>
                <w:szCs w:val="26"/>
              </w:rPr>
            </w:pPr>
            <w:r w:rsidRPr="00084A15">
              <w:rPr>
                <w:color w:val="010000"/>
                <w:szCs w:val="26"/>
              </w:rPr>
              <w:t>Üye</w:t>
            </w:r>
          </w:p>
          <w:p w:rsidR="001D33B8" w:rsidRPr="00084A15" w:rsidRDefault="001D33B8" w:rsidP="00084A15">
            <w:pPr>
              <w:spacing w:after="120"/>
              <w:jc w:val="center"/>
              <w:rPr>
                <w:color w:val="010000"/>
                <w:szCs w:val="26"/>
              </w:rPr>
            </w:pPr>
            <w:r w:rsidRPr="00084A15">
              <w:rPr>
                <w:color w:val="010000"/>
                <w:szCs w:val="26"/>
              </w:rPr>
              <w:t xml:space="preserve">Osman </w:t>
            </w:r>
            <w:proofErr w:type="spellStart"/>
            <w:r w:rsidRPr="00084A15">
              <w:rPr>
                <w:color w:val="010000"/>
                <w:szCs w:val="26"/>
              </w:rPr>
              <w:t>Alifeyyaz</w:t>
            </w:r>
            <w:proofErr w:type="spellEnd"/>
            <w:r w:rsidRPr="00084A15">
              <w:rPr>
                <w:color w:val="010000"/>
                <w:szCs w:val="26"/>
              </w:rPr>
              <w:t xml:space="preserve"> PAKSÜT</w:t>
            </w:r>
          </w:p>
        </w:tc>
        <w:tc>
          <w:tcPr>
            <w:tcW w:w="1667" w:type="pct"/>
            <w:vAlign w:val="center"/>
          </w:tcPr>
          <w:p w:rsidR="001D33B8" w:rsidRPr="00084A15" w:rsidRDefault="001D33B8" w:rsidP="00084A15">
            <w:pPr>
              <w:spacing w:after="120"/>
              <w:jc w:val="center"/>
              <w:rPr>
                <w:color w:val="010000"/>
                <w:szCs w:val="26"/>
              </w:rPr>
            </w:pPr>
            <w:r w:rsidRPr="00084A15">
              <w:rPr>
                <w:color w:val="010000"/>
                <w:szCs w:val="26"/>
              </w:rPr>
              <w:t>Üye</w:t>
            </w:r>
          </w:p>
          <w:p w:rsidR="001D33B8" w:rsidRPr="00084A15" w:rsidRDefault="001D33B8" w:rsidP="00084A15">
            <w:pPr>
              <w:spacing w:after="120"/>
              <w:jc w:val="center"/>
              <w:rPr>
                <w:color w:val="010000"/>
                <w:szCs w:val="26"/>
              </w:rPr>
            </w:pPr>
            <w:r w:rsidRPr="00084A15">
              <w:rPr>
                <w:color w:val="010000"/>
                <w:szCs w:val="26"/>
              </w:rPr>
              <w:t>Zehra Ayla PERKTAŞ</w:t>
            </w:r>
          </w:p>
        </w:tc>
        <w:tc>
          <w:tcPr>
            <w:tcW w:w="1666" w:type="pct"/>
            <w:vAlign w:val="center"/>
          </w:tcPr>
          <w:p w:rsidR="001D33B8" w:rsidRPr="00084A15" w:rsidRDefault="001D33B8" w:rsidP="00084A15">
            <w:pPr>
              <w:spacing w:after="120"/>
              <w:jc w:val="center"/>
              <w:rPr>
                <w:color w:val="010000"/>
                <w:szCs w:val="26"/>
              </w:rPr>
            </w:pPr>
            <w:r w:rsidRPr="00084A15">
              <w:rPr>
                <w:color w:val="010000"/>
                <w:szCs w:val="26"/>
              </w:rPr>
              <w:t>Üye</w:t>
            </w:r>
          </w:p>
          <w:p w:rsidR="001D33B8" w:rsidRPr="00084A15" w:rsidRDefault="001D33B8" w:rsidP="00084A15">
            <w:pPr>
              <w:spacing w:after="120"/>
              <w:jc w:val="center"/>
              <w:rPr>
                <w:color w:val="010000"/>
                <w:szCs w:val="26"/>
              </w:rPr>
            </w:pPr>
            <w:r w:rsidRPr="00084A15">
              <w:rPr>
                <w:color w:val="010000"/>
                <w:szCs w:val="26"/>
              </w:rPr>
              <w:t>Recep KÖMÜRCÜ</w:t>
            </w:r>
          </w:p>
        </w:tc>
      </w:tr>
      <w:tr w:rsidR="001D33B8" w:rsidRPr="00084A15" w:rsidTr="00084A15">
        <w:trPr>
          <w:trHeight w:val="1600"/>
          <w:jc w:val="center"/>
        </w:trPr>
        <w:tc>
          <w:tcPr>
            <w:tcW w:w="1667" w:type="pct"/>
            <w:vAlign w:val="center"/>
          </w:tcPr>
          <w:p w:rsidR="001D33B8" w:rsidRPr="00084A15" w:rsidRDefault="001D33B8" w:rsidP="00084A15">
            <w:pPr>
              <w:spacing w:after="120"/>
              <w:jc w:val="center"/>
              <w:rPr>
                <w:color w:val="010000"/>
                <w:szCs w:val="26"/>
              </w:rPr>
            </w:pPr>
            <w:r w:rsidRPr="00084A15">
              <w:rPr>
                <w:color w:val="010000"/>
                <w:szCs w:val="26"/>
              </w:rPr>
              <w:t>Üye</w:t>
            </w:r>
          </w:p>
          <w:p w:rsidR="001D33B8" w:rsidRPr="00084A15" w:rsidRDefault="001D33B8" w:rsidP="00084A15">
            <w:pPr>
              <w:spacing w:after="120"/>
              <w:jc w:val="center"/>
              <w:rPr>
                <w:color w:val="010000"/>
                <w:szCs w:val="26"/>
              </w:rPr>
            </w:pPr>
            <w:r w:rsidRPr="00084A15">
              <w:rPr>
                <w:color w:val="010000"/>
                <w:szCs w:val="26"/>
              </w:rPr>
              <w:t>Burhan ÜSTÜN</w:t>
            </w:r>
          </w:p>
        </w:tc>
        <w:tc>
          <w:tcPr>
            <w:tcW w:w="1667" w:type="pct"/>
            <w:vAlign w:val="center"/>
          </w:tcPr>
          <w:p w:rsidR="001D33B8" w:rsidRPr="00084A15" w:rsidRDefault="001D33B8" w:rsidP="00084A15">
            <w:pPr>
              <w:spacing w:after="120"/>
              <w:jc w:val="center"/>
              <w:rPr>
                <w:color w:val="010000"/>
                <w:szCs w:val="26"/>
              </w:rPr>
            </w:pPr>
            <w:r w:rsidRPr="00084A15">
              <w:rPr>
                <w:color w:val="010000"/>
                <w:szCs w:val="26"/>
              </w:rPr>
              <w:t>Üye</w:t>
            </w:r>
          </w:p>
          <w:p w:rsidR="001D33B8" w:rsidRPr="00084A15" w:rsidRDefault="001D33B8" w:rsidP="00084A15">
            <w:pPr>
              <w:spacing w:after="120"/>
              <w:jc w:val="center"/>
              <w:rPr>
                <w:color w:val="010000"/>
                <w:szCs w:val="26"/>
              </w:rPr>
            </w:pPr>
            <w:r w:rsidRPr="00084A15">
              <w:rPr>
                <w:color w:val="010000"/>
                <w:szCs w:val="26"/>
              </w:rPr>
              <w:t>Engin YILDIRIM</w:t>
            </w:r>
          </w:p>
        </w:tc>
        <w:tc>
          <w:tcPr>
            <w:tcW w:w="1666" w:type="pct"/>
            <w:vAlign w:val="center"/>
          </w:tcPr>
          <w:p w:rsidR="001D33B8" w:rsidRPr="00084A15" w:rsidRDefault="001D33B8" w:rsidP="00084A15">
            <w:pPr>
              <w:spacing w:after="120"/>
              <w:jc w:val="center"/>
              <w:rPr>
                <w:color w:val="010000"/>
                <w:szCs w:val="26"/>
              </w:rPr>
            </w:pPr>
            <w:r w:rsidRPr="00084A15">
              <w:rPr>
                <w:color w:val="010000"/>
                <w:szCs w:val="26"/>
              </w:rPr>
              <w:t>Üye</w:t>
            </w:r>
          </w:p>
          <w:p w:rsidR="001D33B8" w:rsidRPr="00084A15" w:rsidRDefault="001D33B8" w:rsidP="00084A15">
            <w:pPr>
              <w:spacing w:after="120"/>
              <w:jc w:val="center"/>
              <w:rPr>
                <w:color w:val="010000"/>
                <w:szCs w:val="26"/>
              </w:rPr>
            </w:pPr>
            <w:r w:rsidRPr="00084A15">
              <w:rPr>
                <w:color w:val="010000"/>
                <w:szCs w:val="26"/>
              </w:rPr>
              <w:t>Nuri NECİPOĞLU</w:t>
            </w:r>
          </w:p>
        </w:tc>
      </w:tr>
      <w:tr w:rsidR="001D33B8" w:rsidRPr="00084A15" w:rsidTr="00084A15">
        <w:trPr>
          <w:trHeight w:val="1600"/>
          <w:jc w:val="center"/>
        </w:trPr>
        <w:tc>
          <w:tcPr>
            <w:tcW w:w="1667" w:type="pct"/>
            <w:vAlign w:val="center"/>
          </w:tcPr>
          <w:p w:rsidR="001D33B8" w:rsidRPr="00084A15" w:rsidRDefault="001D33B8" w:rsidP="00084A15">
            <w:pPr>
              <w:spacing w:after="120"/>
              <w:jc w:val="center"/>
              <w:rPr>
                <w:color w:val="010000"/>
                <w:szCs w:val="26"/>
              </w:rPr>
            </w:pPr>
            <w:r w:rsidRPr="00084A15">
              <w:rPr>
                <w:color w:val="010000"/>
                <w:szCs w:val="26"/>
              </w:rPr>
              <w:lastRenderedPageBreak/>
              <w:t>Üye</w:t>
            </w:r>
          </w:p>
          <w:p w:rsidR="001D33B8" w:rsidRPr="00084A15" w:rsidRDefault="001D33B8" w:rsidP="00084A15">
            <w:pPr>
              <w:spacing w:after="120"/>
              <w:jc w:val="center"/>
              <w:rPr>
                <w:color w:val="010000"/>
                <w:szCs w:val="26"/>
              </w:rPr>
            </w:pPr>
            <w:proofErr w:type="spellStart"/>
            <w:r w:rsidRPr="00084A15">
              <w:rPr>
                <w:color w:val="010000"/>
                <w:szCs w:val="26"/>
              </w:rPr>
              <w:t>Hicabi</w:t>
            </w:r>
            <w:proofErr w:type="spellEnd"/>
            <w:r w:rsidRPr="00084A15">
              <w:rPr>
                <w:color w:val="010000"/>
                <w:szCs w:val="26"/>
              </w:rPr>
              <w:t xml:space="preserve"> DURSUN</w:t>
            </w:r>
          </w:p>
        </w:tc>
        <w:tc>
          <w:tcPr>
            <w:tcW w:w="1667" w:type="pct"/>
            <w:vAlign w:val="center"/>
          </w:tcPr>
          <w:p w:rsidR="001D33B8" w:rsidRPr="00084A15" w:rsidRDefault="001D33B8" w:rsidP="00084A15">
            <w:pPr>
              <w:spacing w:after="120"/>
              <w:jc w:val="center"/>
              <w:rPr>
                <w:color w:val="010000"/>
                <w:szCs w:val="26"/>
              </w:rPr>
            </w:pPr>
            <w:r w:rsidRPr="00084A15">
              <w:rPr>
                <w:color w:val="010000"/>
                <w:szCs w:val="26"/>
              </w:rPr>
              <w:t>Üye</w:t>
            </w:r>
          </w:p>
          <w:p w:rsidR="001D33B8" w:rsidRPr="00084A15" w:rsidRDefault="001D33B8" w:rsidP="00084A15">
            <w:pPr>
              <w:spacing w:after="120"/>
              <w:jc w:val="center"/>
              <w:rPr>
                <w:color w:val="010000"/>
                <w:szCs w:val="26"/>
              </w:rPr>
            </w:pPr>
            <w:r w:rsidRPr="00084A15">
              <w:rPr>
                <w:color w:val="010000"/>
                <w:szCs w:val="26"/>
              </w:rPr>
              <w:t>Celal Mümtaz AKINCI</w:t>
            </w:r>
          </w:p>
        </w:tc>
        <w:tc>
          <w:tcPr>
            <w:tcW w:w="1666" w:type="pct"/>
            <w:vAlign w:val="center"/>
          </w:tcPr>
          <w:p w:rsidR="001D33B8" w:rsidRPr="00084A15" w:rsidRDefault="001D33B8" w:rsidP="00084A15">
            <w:pPr>
              <w:spacing w:after="120"/>
              <w:jc w:val="center"/>
              <w:rPr>
                <w:color w:val="010000"/>
                <w:szCs w:val="26"/>
              </w:rPr>
            </w:pPr>
            <w:r w:rsidRPr="00084A15">
              <w:rPr>
                <w:color w:val="010000"/>
                <w:szCs w:val="26"/>
              </w:rPr>
              <w:t>Üye</w:t>
            </w:r>
          </w:p>
          <w:p w:rsidR="001D33B8" w:rsidRPr="00084A15" w:rsidRDefault="001D33B8" w:rsidP="00084A15">
            <w:pPr>
              <w:spacing w:after="120"/>
              <w:jc w:val="center"/>
              <w:rPr>
                <w:color w:val="010000"/>
                <w:szCs w:val="26"/>
              </w:rPr>
            </w:pPr>
            <w:r w:rsidRPr="00084A15">
              <w:rPr>
                <w:color w:val="010000"/>
                <w:szCs w:val="26"/>
              </w:rPr>
              <w:t>Erdal TERCAN</w:t>
            </w:r>
          </w:p>
        </w:tc>
      </w:tr>
    </w:tbl>
    <w:p w:rsidR="00A74761" w:rsidRPr="00084A15" w:rsidRDefault="00A74761" w:rsidP="00084A15">
      <w:pPr>
        <w:pStyle w:val="Gvdemetni0"/>
        <w:tabs>
          <w:tab w:val="left" w:pos="1134"/>
        </w:tabs>
        <w:spacing w:before="0" w:after="0" w:line="240" w:lineRule="auto"/>
        <w:ind w:firstLine="1140"/>
        <w:rPr>
          <w:color w:val="010000"/>
        </w:rPr>
      </w:pPr>
    </w:p>
    <w:sectPr w:rsidR="00A74761" w:rsidRPr="00084A15" w:rsidSect="00084A15">
      <w:headerReference w:type="default" r:id="rId7"/>
      <w:footerReference w:type="even" r:id="rId8"/>
      <w:footerReference w:type="default" r:id="rId9"/>
      <w:headerReference w:type="first" r:id="rId10"/>
      <w:pgSz w:w="11905" w:h="16837"/>
      <w:pgMar w:top="1417" w:right="992" w:bottom="1417"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1C2" w:rsidRDefault="00BA61C2">
      <w:r>
        <w:separator/>
      </w:r>
    </w:p>
  </w:endnote>
  <w:endnote w:type="continuationSeparator" w:id="0">
    <w:p w:rsidR="00BA61C2" w:rsidRDefault="00BA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D36" w:rsidRDefault="008A2D36" w:rsidP="00084A1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A2D36" w:rsidRDefault="008A2D36" w:rsidP="00084A1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D36" w:rsidRPr="00084A15" w:rsidRDefault="008A2D36" w:rsidP="00084A15">
    <w:pPr>
      <w:pStyle w:val="AltBilgi"/>
      <w:framePr w:wrap="around" w:vAnchor="text" w:hAnchor="margin" w:xAlign="right" w:y="1"/>
      <w:rPr>
        <w:rStyle w:val="SayfaNumaras"/>
        <w:szCs w:val="20"/>
      </w:rPr>
    </w:pPr>
    <w:r w:rsidRPr="00084A15">
      <w:rPr>
        <w:rStyle w:val="SayfaNumaras"/>
        <w:szCs w:val="20"/>
      </w:rPr>
      <w:fldChar w:fldCharType="begin"/>
    </w:r>
    <w:r w:rsidRPr="00084A15">
      <w:rPr>
        <w:rStyle w:val="SayfaNumaras"/>
        <w:szCs w:val="20"/>
      </w:rPr>
      <w:instrText xml:space="preserve">PAGE  </w:instrText>
    </w:r>
    <w:r w:rsidRPr="00084A15">
      <w:rPr>
        <w:rStyle w:val="SayfaNumaras"/>
        <w:szCs w:val="20"/>
      </w:rPr>
      <w:fldChar w:fldCharType="separate"/>
    </w:r>
    <w:r w:rsidR="006817B5" w:rsidRPr="00084A15">
      <w:rPr>
        <w:rStyle w:val="SayfaNumaras"/>
        <w:noProof/>
        <w:szCs w:val="20"/>
      </w:rPr>
      <w:t>7</w:t>
    </w:r>
    <w:r w:rsidRPr="00084A15">
      <w:rPr>
        <w:rStyle w:val="SayfaNumaras"/>
        <w:szCs w:val="20"/>
      </w:rPr>
      <w:fldChar w:fldCharType="end"/>
    </w:r>
  </w:p>
  <w:p w:rsidR="008A2D36" w:rsidRDefault="008A2D36" w:rsidP="00084A15">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1C2" w:rsidRDefault="00BA61C2">
      <w:r>
        <w:separator/>
      </w:r>
    </w:p>
  </w:footnote>
  <w:footnote w:type="continuationSeparator" w:id="0">
    <w:p w:rsidR="00BA61C2" w:rsidRDefault="00BA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A15" w:rsidRPr="00084A15" w:rsidRDefault="00084A15" w:rsidP="00084A15">
    <w:pPr>
      <w:pStyle w:val="stBilgi"/>
      <w:rPr>
        <w:b/>
      </w:rPr>
    </w:pPr>
    <w:r w:rsidRPr="00084A15">
      <w:rPr>
        <w:b/>
      </w:rPr>
      <w:t xml:space="preserve">Esas </w:t>
    </w:r>
    <w:proofErr w:type="gramStart"/>
    <w:r w:rsidRPr="00084A15">
      <w:rPr>
        <w:b/>
      </w:rPr>
      <w:t>Sayısı :</w:t>
    </w:r>
    <w:proofErr w:type="gramEnd"/>
    <w:r w:rsidRPr="00084A15">
      <w:rPr>
        <w:b/>
      </w:rPr>
      <w:t xml:space="preserve"> 2011/119</w:t>
    </w:r>
  </w:p>
  <w:p w:rsidR="00084A15" w:rsidRDefault="00084A15" w:rsidP="00084A15">
    <w:pPr>
      <w:pStyle w:val="stBilgi"/>
      <w:rPr>
        <w:b/>
      </w:rPr>
    </w:pPr>
    <w:r>
      <w:rPr>
        <w:b/>
      </w:rPr>
      <w:t xml:space="preserve">Karar </w:t>
    </w:r>
    <w:proofErr w:type="gramStart"/>
    <w:r>
      <w:rPr>
        <w:b/>
      </w:rPr>
      <w:t>Sayısı :</w:t>
    </w:r>
    <w:proofErr w:type="gramEnd"/>
    <w:r>
      <w:rPr>
        <w:b/>
      </w:rPr>
      <w:t xml:space="preserve"> 2012/33</w:t>
    </w:r>
  </w:p>
  <w:p w:rsidR="008A2D36" w:rsidRPr="00084A15" w:rsidRDefault="008A2D36" w:rsidP="00084A15">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D36" w:rsidRDefault="008A2D36" w:rsidP="00A74761">
    <w:pPr>
      <w:pStyle w:val="Gvdemetni21"/>
      <w:tabs>
        <w:tab w:val="left" w:pos="1134"/>
      </w:tabs>
      <w:spacing w:line="240" w:lineRule="auto"/>
      <w:jc w:val="center"/>
    </w:pPr>
  </w:p>
  <w:p w:rsidR="008A2D36" w:rsidRPr="00297E19" w:rsidRDefault="008A2D36" w:rsidP="00A74761">
    <w:pPr>
      <w:pStyle w:val="Gvdemetni21"/>
      <w:tabs>
        <w:tab w:val="left" w:pos="1134"/>
      </w:tabs>
      <w:spacing w:line="240" w:lineRule="auto"/>
      <w:jc w:val="center"/>
      <w:rPr>
        <w:sz w:val="20"/>
        <w:szCs w:val="20"/>
      </w:rPr>
    </w:pPr>
  </w:p>
  <w:p w:rsidR="008A2D36" w:rsidRPr="00297E19" w:rsidRDefault="008A2D36" w:rsidP="00C91DEE">
    <w:pPr>
      <w:pStyle w:val="Gvdemetni21"/>
      <w:tabs>
        <w:tab w:val="left" w:pos="1134"/>
      </w:tabs>
      <w:spacing w:line="240" w:lineRule="auto"/>
      <w:jc w:val="center"/>
    </w:pPr>
    <w:r w:rsidRPr="00297E19">
      <w:tab/>
    </w:r>
    <w:r w:rsidRPr="00297E19">
      <w:tab/>
    </w:r>
    <w:r w:rsidRPr="00297E19">
      <w:tab/>
    </w:r>
    <w:r w:rsidRPr="00297E19">
      <w:tab/>
    </w:r>
    <w:r w:rsidRPr="00297E19">
      <w:tab/>
    </w:r>
    <w:r w:rsidRPr="00297E19">
      <w:tab/>
    </w:r>
    <w:r w:rsidRPr="00297E19">
      <w:tab/>
    </w:r>
    <w:r w:rsidRPr="00297E19">
      <w:tab/>
    </w:r>
    <w:r w:rsidRPr="00297E1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DDACCB8"/>
    <w:lvl w:ilvl="0">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1">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2">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3">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4">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5">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6">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7">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lvl w:ilvl="8">
      <w:start w:val="1"/>
      <w:numFmt w:val="upperRoman"/>
      <w:lvlText w:val="%1-"/>
      <w:lvlJc w:val="left"/>
      <w:pPr>
        <w:ind w:left="0" w:firstLine="0"/>
      </w:pPr>
      <w:rPr>
        <w:rFonts w:ascii="Times New Roman" w:hAnsi="Times New Roman" w:cs="Times New Roman"/>
        <w:b/>
        <w:bCs/>
        <w:i w:val="0"/>
        <w:iCs w:val="0"/>
        <w:smallCaps w:val="0"/>
        <w:strike w:val="0"/>
        <w:dstrike w:val="0"/>
        <w:color w:val="000000"/>
        <w:spacing w:val="0"/>
        <w:w w:val="100"/>
        <w:position w:val="0"/>
        <w:sz w:val="24"/>
        <w:szCs w:val="24"/>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84A15"/>
    <w:rsid w:val="00112759"/>
    <w:rsid w:val="0018418A"/>
    <w:rsid w:val="00186E25"/>
    <w:rsid w:val="001A712F"/>
    <w:rsid w:val="001D33B8"/>
    <w:rsid w:val="00297E19"/>
    <w:rsid w:val="0043454C"/>
    <w:rsid w:val="004778E1"/>
    <w:rsid w:val="004F391A"/>
    <w:rsid w:val="00564B02"/>
    <w:rsid w:val="005E6D65"/>
    <w:rsid w:val="006817B5"/>
    <w:rsid w:val="00682242"/>
    <w:rsid w:val="00764528"/>
    <w:rsid w:val="007D0F0C"/>
    <w:rsid w:val="007E22D6"/>
    <w:rsid w:val="00857B7B"/>
    <w:rsid w:val="008A2D36"/>
    <w:rsid w:val="008E52CC"/>
    <w:rsid w:val="00924DAB"/>
    <w:rsid w:val="00940059"/>
    <w:rsid w:val="00952B5F"/>
    <w:rsid w:val="00A74761"/>
    <w:rsid w:val="00A84D5A"/>
    <w:rsid w:val="00B10365"/>
    <w:rsid w:val="00BA61C2"/>
    <w:rsid w:val="00BC247B"/>
    <w:rsid w:val="00C91DEE"/>
    <w:rsid w:val="00D025DB"/>
    <w:rsid w:val="00D07BB9"/>
    <w:rsid w:val="00D42D07"/>
    <w:rsid w:val="00FC52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8EC43"/>
  <w15:chartTrackingRefBased/>
  <w15:docId w15:val="{93DF6299-4F46-4576-BE0D-699A4268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link w:val="CharCharCharCharCharCharCharCharCharCharCharCharChar"/>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Gvdemetni2">
    <w:name w:val="Gövde metni (2)_"/>
    <w:link w:val="Gvdemetni21"/>
    <w:locked/>
    <w:rsid w:val="00BC247B"/>
    <w:rPr>
      <w:b/>
      <w:bCs/>
      <w:sz w:val="18"/>
      <w:szCs w:val="18"/>
      <w:lang w:bidi="ar-SA"/>
    </w:rPr>
  </w:style>
  <w:style w:type="paragraph" w:customStyle="1" w:styleId="Gvdemetni21">
    <w:name w:val="Gövde metni (2)1"/>
    <w:basedOn w:val="Normal"/>
    <w:link w:val="Gvdemetni2"/>
    <w:rsid w:val="00BC247B"/>
    <w:pPr>
      <w:spacing w:line="226" w:lineRule="exact"/>
      <w:jc w:val="right"/>
    </w:pPr>
    <w:rPr>
      <w:b/>
      <w:bCs/>
      <w:sz w:val="18"/>
      <w:szCs w:val="18"/>
      <w:lang w:val="tr-TR" w:eastAsia="tr-TR"/>
    </w:rPr>
  </w:style>
  <w:style w:type="character" w:customStyle="1" w:styleId="Balk1">
    <w:name w:val="Başlık #1_"/>
    <w:link w:val="Balk10"/>
    <w:locked/>
    <w:rsid w:val="00BC247B"/>
    <w:rPr>
      <w:b/>
      <w:bCs/>
      <w:sz w:val="24"/>
      <w:szCs w:val="24"/>
      <w:lang w:bidi="ar-SA"/>
    </w:rPr>
  </w:style>
  <w:style w:type="paragraph" w:customStyle="1" w:styleId="Balk10">
    <w:name w:val="Başlık #1"/>
    <w:basedOn w:val="Normal"/>
    <w:link w:val="Balk1"/>
    <w:rsid w:val="00BC247B"/>
    <w:pPr>
      <w:spacing w:before="660" w:after="660" w:line="240" w:lineRule="atLeast"/>
      <w:outlineLvl w:val="0"/>
    </w:pPr>
    <w:rPr>
      <w:b/>
      <w:bCs/>
      <w:lang w:val="tr-TR" w:eastAsia="tr-TR"/>
    </w:rPr>
  </w:style>
  <w:style w:type="character" w:customStyle="1" w:styleId="Gvdemetni">
    <w:name w:val="Gövde metni_"/>
    <w:link w:val="Gvdemetni0"/>
    <w:locked/>
    <w:rsid w:val="00BC247B"/>
    <w:rPr>
      <w:sz w:val="24"/>
      <w:szCs w:val="24"/>
      <w:lang w:bidi="ar-SA"/>
    </w:rPr>
  </w:style>
  <w:style w:type="paragraph" w:customStyle="1" w:styleId="Gvdemetni0">
    <w:name w:val="Gövde metni"/>
    <w:basedOn w:val="Normal"/>
    <w:link w:val="Gvdemetni"/>
    <w:rsid w:val="00BC247B"/>
    <w:pPr>
      <w:spacing w:before="240" w:after="300" w:line="240" w:lineRule="atLeast"/>
      <w:jc w:val="both"/>
    </w:pPr>
    <w:rPr>
      <w:lang w:val="tr-TR" w:eastAsia="tr-TR"/>
    </w:rPr>
  </w:style>
  <w:style w:type="character" w:customStyle="1" w:styleId="Balk2">
    <w:name w:val="Başlık #2_"/>
    <w:link w:val="Balk20"/>
    <w:locked/>
    <w:rsid w:val="00BC247B"/>
    <w:rPr>
      <w:b/>
      <w:bCs/>
      <w:sz w:val="24"/>
      <w:szCs w:val="24"/>
      <w:lang w:bidi="ar-SA"/>
    </w:rPr>
  </w:style>
  <w:style w:type="paragraph" w:customStyle="1" w:styleId="Balk20">
    <w:name w:val="Başlık #2"/>
    <w:basedOn w:val="Normal"/>
    <w:link w:val="Balk2"/>
    <w:rsid w:val="00BC247B"/>
    <w:pPr>
      <w:spacing w:before="840" w:after="300" w:line="240" w:lineRule="atLeast"/>
      <w:ind w:firstLine="1140"/>
      <w:jc w:val="both"/>
      <w:outlineLvl w:val="1"/>
    </w:pPr>
    <w:rPr>
      <w:b/>
      <w:bCs/>
      <w:lang w:val="tr-TR" w:eastAsia="tr-TR"/>
    </w:rPr>
  </w:style>
  <w:style w:type="character" w:customStyle="1" w:styleId="Gvdemetni20">
    <w:name w:val="Gövde metni (2)"/>
    <w:rsid w:val="00BC247B"/>
    <w:rPr>
      <w:b/>
      <w:bCs/>
      <w:sz w:val="18"/>
      <w:szCs w:val="18"/>
      <w:u w:val="single"/>
      <w:lang w:bidi="ar-SA"/>
    </w:rPr>
  </w:style>
  <w:style w:type="character" w:customStyle="1" w:styleId="GvdemetniKaln">
    <w:name w:val="Gövde metni + Kalın"/>
    <w:rsid w:val="00BC247B"/>
    <w:rPr>
      <w:b/>
      <w:bCs/>
      <w:sz w:val="24"/>
      <w:szCs w:val="24"/>
      <w:lang w:bidi="ar-SA"/>
    </w:rPr>
  </w:style>
  <w:style w:type="character" w:customStyle="1" w:styleId="GvdemetniKaln1">
    <w:name w:val="Gövde metni + Kalın1"/>
    <w:rsid w:val="00BC247B"/>
    <w:rPr>
      <w:b/>
      <w:bCs/>
      <w:sz w:val="24"/>
      <w:szCs w:val="24"/>
      <w:lang w:bidi="ar-SA"/>
    </w:rPr>
  </w:style>
  <w:style w:type="paragraph" w:styleId="AltBilgi">
    <w:name w:val="footer"/>
    <w:basedOn w:val="Normal"/>
    <w:rsid w:val="00A74761"/>
    <w:pPr>
      <w:tabs>
        <w:tab w:val="center" w:pos="4536"/>
        <w:tab w:val="right" w:pos="9072"/>
      </w:tabs>
    </w:pPr>
  </w:style>
  <w:style w:type="character" w:styleId="SayfaNumaras">
    <w:name w:val="page number"/>
    <w:basedOn w:val="VarsaylanParagrafYazTipi"/>
    <w:rsid w:val="00A74761"/>
  </w:style>
  <w:style w:type="paragraph" w:styleId="stBilgi">
    <w:name w:val="header"/>
    <w:basedOn w:val="Normal"/>
    <w:rsid w:val="00A74761"/>
    <w:pPr>
      <w:tabs>
        <w:tab w:val="center" w:pos="4536"/>
        <w:tab w:val="right" w:pos="9072"/>
      </w:tabs>
    </w:pPr>
  </w:style>
  <w:style w:type="table" w:styleId="TabloKlavuzu">
    <w:name w:val="Table Grid"/>
    <w:basedOn w:val="NormalTablo"/>
    <w:rsid w:val="00A74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 Char Char Char Char Char Char Char Char Char Char Char Char Char"/>
    <w:basedOn w:val="Normal"/>
    <w:link w:val="VarsaylanParagrafYazTipi"/>
    <w:rsid w:val="001D33B8"/>
    <w:rPr>
      <w:lang w:val="pl-PL" w:eastAsia="pl-PL"/>
    </w:rPr>
  </w:style>
  <w:style w:type="paragraph" w:customStyle="1" w:styleId="CharCharCharCharCharCharCharCharCharCharCharCharChar0">
    <w:name w:val="Char Char Char Char Char Char Char Char Char Char Char Char Char"/>
    <w:basedOn w:val="Normal"/>
    <w:rsid w:val="00C91DEE"/>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88412">
      <w:bodyDiv w:val="1"/>
      <w:marLeft w:val="0"/>
      <w:marRight w:val="0"/>
      <w:marTop w:val="0"/>
      <w:marBottom w:val="0"/>
      <w:divBdr>
        <w:top w:val="none" w:sz="0" w:space="0" w:color="auto"/>
        <w:left w:val="none" w:sz="0" w:space="0" w:color="auto"/>
        <w:bottom w:val="none" w:sz="0" w:space="0" w:color="auto"/>
        <w:right w:val="none" w:sz="0" w:space="0" w:color="auto"/>
      </w:divBdr>
    </w:div>
    <w:div w:id="89909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2243</Words>
  <Characters>12786</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2012-10-12T13:26:00Z</cp:lastPrinted>
  <dcterms:created xsi:type="dcterms:W3CDTF">2021-06-08T11:35:00Z</dcterms:created>
  <dcterms:modified xsi:type="dcterms:W3CDTF">2021-06-08T11:35:00Z</dcterms:modified>
</cp:coreProperties>
</file>