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43F" w:rsidRPr="0045643F" w:rsidRDefault="0045643F" w:rsidP="0045643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b/>
          <w:bCs/>
          <w:color w:val="000000"/>
          <w:sz w:val="24"/>
          <w:szCs w:val="26"/>
          <w:lang w:eastAsia="tr-TR"/>
        </w:rPr>
        <w:t>ANAYASA MAHKEMESİ KARARI</w:t>
      </w:r>
      <w:r w:rsidRPr="0045643F">
        <w:rPr>
          <w:rFonts w:ascii="Times New Roman" w:eastAsia="Times New Roman" w:hAnsi="Times New Roman" w:cs="Times New Roman"/>
          <w:color w:val="000000"/>
          <w:sz w:val="24"/>
          <w:szCs w:val="24"/>
          <w:lang w:eastAsia="tr-TR"/>
        </w:rPr>
        <w:t> </w:t>
      </w:r>
    </w:p>
    <w:p w:rsidR="0045643F" w:rsidRP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 </w:t>
      </w:r>
    </w:p>
    <w:p w:rsidR="0045643F" w:rsidRPr="0045643F" w:rsidRDefault="0045643F" w:rsidP="0045643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5643F">
        <w:rPr>
          <w:rFonts w:ascii="Times New Roman" w:eastAsia="Times New Roman" w:hAnsi="Times New Roman" w:cs="Times New Roman"/>
          <w:b/>
          <w:bCs/>
          <w:color w:val="000000"/>
          <w:sz w:val="24"/>
          <w:szCs w:val="26"/>
          <w:lang w:eastAsia="tr-TR"/>
        </w:rPr>
        <w:t>Esas Sayısı : 2012/78</w:t>
      </w:r>
    </w:p>
    <w:p w:rsidR="0045643F" w:rsidRPr="0045643F" w:rsidRDefault="0045643F" w:rsidP="0045643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5643F">
        <w:rPr>
          <w:rFonts w:ascii="Times New Roman" w:eastAsia="Times New Roman" w:hAnsi="Times New Roman" w:cs="Times New Roman"/>
          <w:b/>
          <w:bCs/>
          <w:color w:val="000000"/>
          <w:sz w:val="24"/>
          <w:szCs w:val="26"/>
          <w:lang w:eastAsia="tr-TR"/>
        </w:rPr>
        <w:t>Karar Sayısı : 2012/111</w:t>
      </w:r>
    </w:p>
    <w:p w:rsidR="0045643F" w:rsidRPr="0045643F" w:rsidRDefault="0045643F" w:rsidP="0045643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5643F">
        <w:rPr>
          <w:rFonts w:ascii="Times New Roman" w:eastAsia="Times New Roman" w:hAnsi="Times New Roman" w:cs="Times New Roman"/>
          <w:b/>
          <w:bCs/>
          <w:color w:val="000000"/>
          <w:sz w:val="24"/>
          <w:szCs w:val="26"/>
          <w:lang w:eastAsia="tr-TR"/>
        </w:rPr>
        <w:t>Karar Günü : 12.9.2012</w:t>
      </w:r>
    </w:p>
    <w:p w:rsidR="0045643F" w:rsidRPr="0045643F" w:rsidRDefault="0045643F" w:rsidP="0045643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5643F">
        <w:rPr>
          <w:rFonts w:ascii="Times New Roman" w:eastAsia="Times New Roman" w:hAnsi="Times New Roman" w:cs="Times New Roman"/>
          <w:b/>
          <w:bCs/>
          <w:color w:val="000000"/>
          <w:sz w:val="24"/>
          <w:szCs w:val="26"/>
          <w:lang w:eastAsia="tr-TR"/>
        </w:rPr>
        <w:t>R.G. Tarih-Sayı : 01.12.2012-28484</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b/>
          <w:bCs/>
          <w:color w:val="000000"/>
          <w:sz w:val="24"/>
          <w:szCs w:val="26"/>
          <w:lang w:eastAsia="tr-TR"/>
        </w:rPr>
        <w:t>İTİRAZ YOLUNA BAŞVURAN :</w:t>
      </w:r>
      <w:r w:rsidRPr="0045643F">
        <w:rPr>
          <w:rFonts w:ascii="Times New Roman" w:eastAsia="Times New Roman" w:hAnsi="Times New Roman" w:cs="Times New Roman"/>
          <w:color w:val="000000"/>
          <w:sz w:val="24"/>
          <w:szCs w:val="26"/>
          <w:lang w:eastAsia="tr-TR"/>
        </w:rPr>
        <w:t> Dinar Sulh Ceza Mahkemesi</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b/>
          <w:bCs/>
          <w:color w:val="000000"/>
          <w:sz w:val="24"/>
          <w:szCs w:val="26"/>
          <w:lang w:eastAsia="tr-TR"/>
        </w:rPr>
        <w:t>İTİRAZIN KONUSU :</w:t>
      </w:r>
      <w:r w:rsidRPr="0045643F">
        <w:rPr>
          <w:rFonts w:ascii="Times New Roman" w:eastAsia="Times New Roman" w:hAnsi="Times New Roman" w:cs="Times New Roman"/>
          <w:color w:val="000000"/>
          <w:sz w:val="24"/>
          <w:szCs w:val="26"/>
          <w:lang w:eastAsia="tr-TR"/>
        </w:rPr>
        <w:t> 26.9.2004 günlü, 5237 sayılı Türk Ceza Kanunu'nun 125. maddesinin (3) numaralı fıkrasının (a) bendinin son cümlesinin, Anayasa'nın Başlangıç'ı ile 13., 17., 19. ve 38. maddelerine aykırılığı savıyla iptali istemidir.</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b/>
          <w:bCs/>
          <w:color w:val="000000"/>
          <w:sz w:val="24"/>
          <w:szCs w:val="26"/>
          <w:lang w:eastAsia="tr-TR"/>
        </w:rPr>
        <w:t>I- OLAY</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Sanık hakkında kamu görevlisine karşı görevinden dolayı hakaret suçundan açılan kamu davasında itiraz konusu kuralın Anayasa'ya aykırı olduğu kanısına varan Mahkeme, iptali için başvurmuştur.</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b/>
          <w:bCs/>
          <w:color w:val="000000"/>
          <w:sz w:val="24"/>
          <w:szCs w:val="26"/>
          <w:lang w:eastAsia="tr-TR"/>
        </w:rPr>
        <w:t>III- YASA METİNLERİ</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b/>
          <w:bCs/>
          <w:color w:val="000000"/>
          <w:sz w:val="24"/>
          <w:szCs w:val="26"/>
          <w:lang w:eastAsia="tr-TR"/>
        </w:rPr>
        <w:t>A- İtiraz Konusu Yasa Kuralı</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26.9.2004 günlü, 5237 sayılı Türk Ceza Kanunu'nun iptali istenen cümleyi de içeren 'Hakaret' başlıklı 125. maddesi şöyledir:</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w:t>
      </w:r>
      <w:r w:rsidRPr="0045643F">
        <w:rPr>
          <w:rFonts w:ascii="Times New Roman" w:eastAsia="Times New Roman" w:hAnsi="Times New Roman" w:cs="Times New Roman"/>
          <w:i/>
          <w:iCs/>
          <w:color w:val="000000"/>
          <w:sz w:val="24"/>
          <w:szCs w:val="26"/>
          <w:lang w:eastAsia="tr-TR"/>
        </w:rPr>
        <w:t>MADDE 125- (1) Bir kimseye onur, şeref ve saygınlığını rencide edebilecek nitelikte somut bir fiil veya olgu isnat eden (...)veya sövmek suretiyle bir kimsenin onur, şeref ve saygınlığına saldıran kişi, üç aydan iki yıla kadar hapis veya adlî para cezası ile cezalandırılır. Mağdurun gıyabında hakaretin cezalandırılabilmesi için fiilin en az üç kişiyle ihtilat ederek işlenmesi gerekir.</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i/>
          <w:iCs/>
          <w:color w:val="000000"/>
          <w:sz w:val="24"/>
          <w:szCs w:val="26"/>
          <w:lang w:eastAsia="tr-TR"/>
        </w:rPr>
        <w:t>(2) Fiilin, mağduru muhatap alan sesli, yazılı veya görüntülü bir iletiyle işlenmesi halinde, yukarıdaki fıkrada belirtilen cezaya hükmolunur.</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i/>
          <w:iCs/>
          <w:color w:val="000000"/>
          <w:sz w:val="24"/>
          <w:szCs w:val="26"/>
          <w:lang w:eastAsia="tr-TR"/>
        </w:rPr>
        <w:t>(3) Hakaret suçunun;</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i/>
          <w:iCs/>
          <w:color w:val="000000"/>
          <w:sz w:val="24"/>
          <w:szCs w:val="26"/>
          <w:lang w:eastAsia="tr-TR"/>
        </w:rPr>
        <w:t>a) Kamu görevlisine karşı görevinden dolayı,</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i/>
          <w:iCs/>
          <w:color w:val="000000"/>
          <w:sz w:val="24"/>
          <w:szCs w:val="26"/>
          <w:lang w:eastAsia="tr-TR"/>
        </w:rPr>
        <w:t>b) Dini, siyasi, sosyal, felsefi inanç, düşünce ve kanaatlerini açıklamasından, değiştirmesinden, yaymaya çalışmasından, mensup olduğu dinin emir ve yasaklarına uygun davranmasından dolayı,</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i/>
          <w:iCs/>
          <w:color w:val="000000"/>
          <w:sz w:val="24"/>
          <w:szCs w:val="26"/>
          <w:lang w:eastAsia="tr-TR"/>
        </w:rPr>
        <w:t>c) Kişinin mensup bulunduğu dine göre kutsal sayılan değerlerden bahisle,</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b/>
          <w:bCs/>
          <w:i/>
          <w:iCs/>
          <w:color w:val="000000"/>
          <w:sz w:val="24"/>
          <w:szCs w:val="26"/>
          <w:lang w:eastAsia="tr-TR"/>
        </w:rPr>
        <w:t>İşlenmesi halinde, cezanın alt sınırı bir yıldan az olamaz</w:t>
      </w:r>
      <w:r w:rsidRPr="0045643F">
        <w:rPr>
          <w:rFonts w:ascii="Times New Roman" w:eastAsia="Times New Roman" w:hAnsi="Times New Roman" w:cs="Times New Roman"/>
          <w:i/>
          <w:iCs/>
          <w:color w:val="000000"/>
          <w:sz w:val="24"/>
          <w:szCs w:val="26"/>
          <w:lang w:eastAsia="tr-TR"/>
        </w:rPr>
        <w:t>.</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i/>
          <w:iCs/>
          <w:color w:val="000000"/>
          <w:sz w:val="24"/>
          <w:szCs w:val="26"/>
          <w:lang w:eastAsia="tr-TR"/>
        </w:rPr>
        <w:lastRenderedPageBreak/>
        <w:t>(Değişik 4. fıkra: 5377 - 29.6.2005/ m.15) (4) Hakaretin alenen işlenmesi halinde ceza altıda biri oranında artırılır.</w:t>
      </w:r>
    </w:p>
    <w:p w:rsidR="0045643F" w:rsidRP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i/>
          <w:iCs/>
          <w:color w:val="000000"/>
          <w:sz w:val="24"/>
          <w:szCs w:val="26"/>
          <w:lang w:eastAsia="tr-TR"/>
        </w:rPr>
        <w:t>(Değişik 5. fıkra: 5377 - 29.6.2005/ m.15) (5) Kurul halinde çalışan kamu görevlilerine görevlerinden dolayı hakaret edilmesi halinde suç, kurulu oluşturan üyelere karşı işlenmiş sayılır. Ancak, bu durumda zincirleme suça ilişkin madde hükümleri uygulanır. '</w:t>
      </w:r>
      <w:r w:rsidRPr="0045643F">
        <w:rPr>
          <w:rFonts w:ascii="Times New Roman" w:eastAsia="Times New Roman" w:hAnsi="Times New Roman" w:cs="Times New Roman"/>
          <w:color w:val="000000"/>
          <w:sz w:val="24"/>
          <w:szCs w:val="24"/>
          <w:lang w:eastAsia="tr-TR"/>
        </w:rPr>
        <w:t> </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b/>
          <w:bCs/>
          <w:color w:val="000000"/>
          <w:sz w:val="24"/>
          <w:szCs w:val="26"/>
          <w:lang w:eastAsia="tr-TR"/>
        </w:rPr>
        <w:t>B- Dayanılan ve İlgili Görülen Anayasa Kuralları</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Başvuru kararında, Anayasa'nın Başlangıç'ı ile 13., 17., 19. ve 38. maddelerine dayanılmış, 2. maddesi ise ilgili görülmüştür.</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b/>
          <w:bCs/>
          <w:color w:val="000000"/>
          <w:sz w:val="24"/>
          <w:szCs w:val="26"/>
          <w:lang w:eastAsia="tr-TR"/>
        </w:rPr>
        <w:t>IV- İLK İNCELEME</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Anayasa Mahkemesi İçtüzüğü'nün 48. maddesi gereğince Serruh KALELİ, Alparslan ALTAN, Fulya KANTARCIOĞLU, Mehmet ERTEN, Serdar ÖZGÜLDÜR, Osman Alifeyyaz PAKSÜT, Zehra Ayla PERKTAŞ, Recep KÖMÜRCÜ, Burhan ÜSTÜN, Engin YILDIRIM, Nuri NECİPOĞLU, Hicabi DURSUN, Celal Mümtaz AKINCI, Erdal TERCAN, Muammer TOPAL ve Zühtü ARSLAN'ın katılımlarıyla 12.9.2012 gününde yapılan ilk inceleme toplantısında, dosyada eksiklik bulunmadığından işin esasının incelenmesine, OYBİRLİĞİYLE karar verilmiştir.</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b/>
          <w:bCs/>
          <w:color w:val="000000"/>
          <w:sz w:val="24"/>
          <w:szCs w:val="26"/>
          <w:lang w:eastAsia="tr-TR"/>
        </w:rPr>
        <w:t>V- ESASIN İNCELENMESİ</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Başvuru kararı ve ekleri, Anayasa Mahkemesi Raportörü Yunus HEPER tarafından hazırlanan işin esasına ilişkin rapor, itiraz konusu yasa kuralı, dayanılan ve ilgili görülen Anayasa kuralları ve bunların gerekçeleri ile diğer yasama belgeleri okunup incelendikten sonra gereği görüşülüp düşünüldü:</w:t>
      </w:r>
    </w:p>
    <w:p w:rsidR="0045643F" w:rsidRP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Başvuru kararında, kanun koyucunun suç olarak kabul ettiği eyleme uygulanan yaptırım ile öngörülen cezanın orantılı olması gerektiği, 5237 sayılı Türk Ceza Kanunu'nun 125. maddesinde yer alan ve kamu görevlisine karşı görevinden dolayı hakaret suçunun cezasının bir yıldan az olamayacağına ilişkin kuralda, suç ile ceza arasında orantı bulunmadığı belirtilerek, kuralın, Anayasa'nın Başlangıç'ı ile 13., 17., 19. ve 38. maddelerine aykırı olduğu ileri sürülmüştür.</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5643F">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itiraz konusu ibare Anayasa'nın 2. maddesi yönünden de incelenmiştir.</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5237 sayılı Türk Ceza Kanunu'nun 125. maddesinin birinci fıkrasında, hakaret suçunun basit haline üç aydan iki yıla kadar hapis veya adli para cezası öngörülmüştür. İtiraz konusu 125. maddenin üçüncü fıkrasının (a) bendinde ise hakaret suçunun kamu görevlisine karşı görevinden dolayı işlenmesi bu suçun nitelikli hali olarak kabul edilmiş ve cezanın alt sınırının bir yıldan az olamayacağı hüküm altına alınmıştır. Buna göre, itiraz konusu kural uyarınca kamu görevlisine görevinden dolayı hakaret eden kişi, bir yıldan iki yıla kadar hapis veya adli para cezası ile cezalandırılacaktır.</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w:t>
      </w:r>
      <w:r w:rsidRPr="0045643F">
        <w:rPr>
          <w:rFonts w:ascii="Times New Roman" w:eastAsia="Times New Roman" w:hAnsi="Times New Roman" w:cs="Times New Roman"/>
          <w:color w:val="000000"/>
          <w:sz w:val="24"/>
          <w:szCs w:val="26"/>
          <w:lang w:eastAsia="tr-TR"/>
        </w:rPr>
        <w:lastRenderedPageBreak/>
        <w:t>bir hukuk düzeni kurup bunu geliştirerek sürdüren, Anayasa'ya aykırı durum ve tutumlardan kaçınan, hukuku tüm devlet organlarına egemen kılan, Anayasa ve kanunlarla kendini bağlı sayan, yargı denetimine açık olan devlettir.</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Hukuk devletinde, ceza ve ceza yerine geçen güvenlik tedbirlerine ilişkin kurallar, ceza hukukunun ana ilkeleri ile Anayasa'nın konuya ilişkin kuralları başta olmak üzere, ülkenin sosyal, kültürel yapısı, etik değerleri ve ekonomik hayatın gereksinmeleri göz önüne alınarak saptanacak ceza siyasetine göre belirlenir. Kanun koyucu, cezalandırma yetkisini kullanırken toplumda hangi eylemlerin suç sayılacağı, bunun hangi tür ve ölçüdeki ceza yaptırımı ile karşılanacağı, nelerin ağırlaştırıcı veya hafifletici sebep olarak kabul edilebileceği konularında takdir yetkisine sahiptir. Ancak hukuk devletinde, ceza hukuku kurallarının, önleme ve iyileştirme amaçlarına uygun olarak ölçülü, adil ve orantılı olması gerekir. Bununla birlikte sadece suçun temel şeklini esas alarak ve suçun temel şekli için öngörülen ceza miktarlarını suçun nitelikli halleri ile kıyaslayarak suç ve ceza arasında adil denge bulunup bulunmadığı konusunda bir karar vermek sorunu eksik olarak ele almak anlamına gelir. Bu nedenle suç ve ceza arasında adalete uygun bir oranın bulunup bulunmadığının saptanmasında o suçun toplumda yarattığı infial ve etki, kişiler üzerinde oluşturduğu tehlike, zarar görenin kişiliği ile ona verilen zararın azlığı veya çokluğu, işlenme oranındaki azalma veya artış gibi faktörlerin de dikkate alınması gerekir.</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Kamu görevlisine karşı işlenen hakaret suçunun nitelikli hal kapsamında sayılabilmesi için hakaret suçunun kamu görevlisinin görevinden dolayı işlenmesi gerekir. Bu bakımdan itiraz konusu kural ile korunmak istenen hukuksal yarar, yaptığı görev dolayısıyla devleti temsil eden kamu görevlilerinin toplum içindeki itibarı ve diğer bireyler nezdindeki saygınlığı yanında; kamu görevlisinin yürütülmesine katıldığı kamusal hizmetlerin daha etkin yerine getirilmesini sağlamak ve kamu menfaatini korumaktır. Buna göre kamu görevlisine karşı işlenen hakaret suçu için öngörülen ceza ile korunan hukuki fayda dikkate alındığında, suçun basit haline göre alt sınırı daha ağır bir ceza öngörülmesinde ölçülülük ilkesi ile çelişen bir yön bulunmamaktadır.</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Açıklanan nedenlerle itiraz konusu kural, Anayasa'nın 2. maddesine aykırı değildir. İptal isteminin reddi gerekir.</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İtiraz konusu kuralın Anayasa'nın Başlangıç'ı, 13., 17., 19. ve 38. maddeleri ile ilgisi görülmemiştir.</w:t>
      </w:r>
    </w:p>
    <w:p w:rsid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b/>
          <w:bCs/>
          <w:color w:val="000000"/>
          <w:sz w:val="24"/>
          <w:szCs w:val="26"/>
          <w:lang w:eastAsia="tr-TR"/>
        </w:rPr>
        <w:t>VI- SONUÇ</w:t>
      </w:r>
    </w:p>
    <w:p w:rsidR="0045643F" w:rsidRP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26.9.2004 günlü, 5237 sayılı Türk Ceza Kanunu'nun 125. maddesinin (3) numaralı fıkrasının (a) bendinin son cümlesinin Anayasa'ya aykırı olmadığına ve itirazın REDDİNE, 12.9.2012 gününde OYBİRLİĞİYLE karar verildi.</w:t>
      </w:r>
    </w:p>
    <w:p w:rsidR="0045643F" w:rsidRP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5643F" w:rsidRPr="0045643F" w:rsidTr="0045643F">
        <w:tc>
          <w:tcPr>
            <w:tcW w:w="1667" w:type="pct"/>
            <w:tcMar>
              <w:top w:w="0" w:type="dxa"/>
              <w:left w:w="70" w:type="dxa"/>
              <w:bottom w:w="0" w:type="dxa"/>
              <w:right w:w="70" w:type="dxa"/>
            </w:tcMar>
            <w:hideMark/>
          </w:tcPr>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Başkanvekili</w:t>
            </w:r>
          </w:p>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Serruh KALELİ</w:t>
            </w:r>
          </w:p>
        </w:tc>
        <w:tc>
          <w:tcPr>
            <w:tcW w:w="1667" w:type="pct"/>
            <w:tcMar>
              <w:top w:w="0" w:type="dxa"/>
              <w:left w:w="70" w:type="dxa"/>
              <w:bottom w:w="0" w:type="dxa"/>
              <w:right w:w="70" w:type="dxa"/>
            </w:tcMar>
            <w:hideMark/>
          </w:tcPr>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Başkanvekili</w:t>
            </w:r>
          </w:p>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Alparslan ALTAN</w:t>
            </w:r>
          </w:p>
        </w:tc>
        <w:tc>
          <w:tcPr>
            <w:tcW w:w="1667" w:type="pct"/>
            <w:tcMar>
              <w:top w:w="0" w:type="dxa"/>
              <w:left w:w="70" w:type="dxa"/>
              <w:bottom w:w="0" w:type="dxa"/>
              <w:right w:w="70" w:type="dxa"/>
            </w:tcMar>
            <w:hideMark/>
          </w:tcPr>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Üye</w:t>
            </w:r>
          </w:p>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Fulya KANTARCIOĞLU</w:t>
            </w:r>
          </w:p>
        </w:tc>
      </w:tr>
    </w:tbl>
    <w:p w:rsidR="0045643F" w:rsidRDefault="0045643F" w:rsidP="004564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 </w:t>
      </w:r>
    </w:p>
    <w:p w:rsidR="0045643F" w:rsidRDefault="0045643F" w:rsidP="004564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lastRenderedPageBreak/>
        <w:t> </w:t>
      </w:r>
    </w:p>
    <w:p w:rsidR="0045643F" w:rsidRPr="0045643F" w:rsidRDefault="0045643F" w:rsidP="004564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5643F" w:rsidRPr="0045643F" w:rsidTr="0045643F">
        <w:tc>
          <w:tcPr>
            <w:tcW w:w="1667" w:type="pct"/>
            <w:tcMar>
              <w:top w:w="0" w:type="dxa"/>
              <w:left w:w="70" w:type="dxa"/>
              <w:bottom w:w="0" w:type="dxa"/>
              <w:right w:w="70" w:type="dxa"/>
            </w:tcMar>
            <w:hideMark/>
          </w:tcPr>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Üye</w:t>
            </w:r>
          </w:p>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Üye</w:t>
            </w:r>
          </w:p>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Üye</w:t>
            </w:r>
          </w:p>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Osman Alifeyyaz PAKSÜT</w:t>
            </w:r>
          </w:p>
        </w:tc>
      </w:tr>
    </w:tbl>
    <w:p w:rsidR="0045643F" w:rsidRDefault="0045643F" w:rsidP="004564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 </w:t>
      </w:r>
    </w:p>
    <w:p w:rsidR="0045643F" w:rsidRDefault="0045643F" w:rsidP="004564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 </w:t>
      </w:r>
    </w:p>
    <w:p w:rsidR="0045643F" w:rsidRPr="0045643F" w:rsidRDefault="0045643F" w:rsidP="004564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5643F" w:rsidRPr="0045643F" w:rsidTr="0045643F">
        <w:tc>
          <w:tcPr>
            <w:tcW w:w="1667" w:type="pct"/>
            <w:tcMar>
              <w:top w:w="0" w:type="dxa"/>
              <w:left w:w="70" w:type="dxa"/>
              <w:bottom w:w="0" w:type="dxa"/>
              <w:right w:w="70" w:type="dxa"/>
            </w:tcMar>
            <w:hideMark/>
          </w:tcPr>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Üye</w:t>
            </w:r>
          </w:p>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Üye</w:t>
            </w:r>
          </w:p>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Üye</w:t>
            </w:r>
          </w:p>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Burhan ÜSTÜN</w:t>
            </w:r>
          </w:p>
        </w:tc>
      </w:tr>
    </w:tbl>
    <w:p w:rsidR="0045643F" w:rsidRDefault="0045643F" w:rsidP="004564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 </w:t>
      </w:r>
    </w:p>
    <w:p w:rsidR="0045643F" w:rsidRDefault="0045643F" w:rsidP="004564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 </w:t>
      </w:r>
    </w:p>
    <w:p w:rsidR="0045643F" w:rsidRPr="0045643F" w:rsidRDefault="0045643F" w:rsidP="004564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5643F" w:rsidRPr="0045643F" w:rsidTr="0045643F">
        <w:tc>
          <w:tcPr>
            <w:tcW w:w="1667" w:type="pct"/>
            <w:tcMar>
              <w:top w:w="0" w:type="dxa"/>
              <w:left w:w="70" w:type="dxa"/>
              <w:bottom w:w="0" w:type="dxa"/>
              <w:right w:w="70" w:type="dxa"/>
            </w:tcMar>
            <w:hideMark/>
          </w:tcPr>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Üye</w:t>
            </w:r>
          </w:p>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Üye</w:t>
            </w:r>
          </w:p>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Üye</w:t>
            </w:r>
          </w:p>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Hicabi DURSUN</w:t>
            </w:r>
          </w:p>
        </w:tc>
      </w:tr>
    </w:tbl>
    <w:p w:rsidR="0045643F" w:rsidRDefault="0045643F" w:rsidP="004564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 </w:t>
      </w:r>
    </w:p>
    <w:p w:rsidR="0045643F" w:rsidRDefault="0045643F" w:rsidP="004564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 </w:t>
      </w:r>
    </w:p>
    <w:p w:rsidR="0045643F" w:rsidRPr="0045643F" w:rsidRDefault="0045643F" w:rsidP="004564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5643F" w:rsidRPr="0045643F" w:rsidTr="0045643F">
        <w:tc>
          <w:tcPr>
            <w:tcW w:w="2500" w:type="pct"/>
            <w:tcMar>
              <w:top w:w="0" w:type="dxa"/>
              <w:left w:w="70" w:type="dxa"/>
              <w:bottom w:w="0" w:type="dxa"/>
              <w:right w:w="70" w:type="dxa"/>
            </w:tcMar>
            <w:hideMark/>
          </w:tcPr>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Üye</w:t>
            </w:r>
          </w:p>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Celal Mümtaz AKINCI</w:t>
            </w:r>
          </w:p>
        </w:tc>
        <w:tc>
          <w:tcPr>
            <w:tcW w:w="2500" w:type="pct"/>
            <w:tcMar>
              <w:top w:w="0" w:type="dxa"/>
              <w:left w:w="70" w:type="dxa"/>
              <w:bottom w:w="0" w:type="dxa"/>
              <w:right w:w="70" w:type="dxa"/>
            </w:tcMar>
            <w:hideMark/>
          </w:tcPr>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Üye</w:t>
            </w:r>
          </w:p>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Erdal TERCAN</w:t>
            </w:r>
          </w:p>
        </w:tc>
      </w:tr>
    </w:tbl>
    <w:p w:rsidR="0045643F" w:rsidRDefault="0045643F" w:rsidP="004564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 </w:t>
      </w:r>
    </w:p>
    <w:p w:rsidR="0045643F" w:rsidRDefault="0045643F" w:rsidP="004564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 </w:t>
      </w:r>
    </w:p>
    <w:p w:rsidR="0045643F" w:rsidRPr="0045643F" w:rsidRDefault="0045643F" w:rsidP="004564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5643F" w:rsidRPr="0045643F" w:rsidTr="0045643F">
        <w:tc>
          <w:tcPr>
            <w:tcW w:w="2500" w:type="pct"/>
            <w:tcMar>
              <w:top w:w="0" w:type="dxa"/>
              <w:left w:w="70" w:type="dxa"/>
              <w:bottom w:w="0" w:type="dxa"/>
              <w:right w:w="70" w:type="dxa"/>
            </w:tcMar>
            <w:hideMark/>
          </w:tcPr>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Üye</w:t>
            </w:r>
          </w:p>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Üye</w:t>
            </w:r>
          </w:p>
          <w:p w:rsidR="0045643F" w:rsidRPr="0045643F" w:rsidRDefault="0045643F" w:rsidP="00456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643F">
              <w:rPr>
                <w:rFonts w:ascii="Times New Roman" w:eastAsia="Times New Roman" w:hAnsi="Times New Roman" w:cs="Times New Roman"/>
                <w:sz w:val="24"/>
                <w:szCs w:val="26"/>
                <w:lang w:eastAsia="tr-TR"/>
              </w:rPr>
              <w:t>Zühtü ARSLAN</w:t>
            </w:r>
          </w:p>
        </w:tc>
      </w:tr>
    </w:tbl>
    <w:p w:rsidR="00CE1FB9" w:rsidRPr="0045643F" w:rsidRDefault="0045643F" w:rsidP="00456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643F">
        <w:rPr>
          <w:rFonts w:ascii="Times New Roman" w:eastAsia="Times New Roman" w:hAnsi="Times New Roman" w:cs="Times New Roman"/>
          <w:color w:val="000000"/>
          <w:sz w:val="24"/>
          <w:szCs w:val="24"/>
          <w:lang w:eastAsia="tr-TR"/>
        </w:rPr>
        <w:t> </w:t>
      </w:r>
      <w:bookmarkStart w:id="0" w:name="_GoBack"/>
      <w:bookmarkEnd w:id="0"/>
    </w:p>
    <w:sectPr w:rsidR="00CE1FB9" w:rsidRPr="0045643F" w:rsidSect="0045643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879" w:rsidRDefault="00593879" w:rsidP="0045643F">
      <w:pPr>
        <w:spacing w:after="0" w:line="240" w:lineRule="auto"/>
      </w:pPr>
      <w:r>
        <w:separator/>
      </w:r>
    </w:p>
  </w:endnote>
  <w:endnote w:type="continuationSeparator" w:id="0">
    <w:p w:rsidR="00593879" w:rsidRDefault="00593879" w:rsidP="00456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43F" w:rsidRDefault="0045643F" w:rsidP="009759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5643F" w:rsidRDefault="0045643F" w:rsidP="0045643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43F" w:rsidRPr="0045643F" w:rsidRDefault="0045643F" w:rsidP="00975974">
    <w:pPr>
      <w:pStyle w:val="Altbilgi"/>
      <w:framePr w:wrap="around" w:vAnchor="text" w:hAnchor="margin" w:xAlign="right" w:y="1"/>
      <w:rPr>
        <w:rStyle w:val="SayfaNumaras"/>
        <w:rFonts w:ascii="Times New Roman" w:hAnsi="Times New Roman" w:cs="Times New Roman"/>
      </w:rPr>
    </w:pPr>
    <w:r w:rsidRPr="0045643F">
      <w:rPr>
        <w:rStyle w:val="SayfaNumaras"/>
        <w:rFonts w:ascii="Times New Roman" w:hAnsi="Times New Roman" w:cs="Times New Roman"/>
      </w:rPr>
      <w:fldChar w:fldCharType="begin"/>
    </w:r>
    <w:r w:rsidRPr="0045643F">
      <w:rPr>
        <w:rStyle w:val="SayfaNumaras"/>
        <w:rFonts w:ascii="Times New Roman" w:hAnsi="Times New Roman" w:cs="Times New Roman"/>
      </w:rPr>
      <w:instrText xml:space="preserve">PAGE  </w:instrText>
    </w:r>
    <w:r w:rsidRPr="0045643F">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45643F">
      <w:rPr>
        <w:rStyle w:val="SayfaNumaras"/>
        <w:rFonts w:ascii="Times New Roman" w:hAnsi="Times New Roman" w:cs="Times New Roman"/>
      </w:rPr>
      <w:fldChar w:fldCharType="end"/>
    </w:r>
  </w:p>
  <w:p w:rsidR="0045643F" w:rsidRPr="0045643F" w:rsidRDefault="0045643F" w:rsidP="0045643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43F" w:rsidRDefault="004564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879" w:rsidRDefault="00593879" w:rsidP="0045643F">
      <w:pPr>
        <w:spacing w:after="0" w:line="240" w:lineRule="auto"/>
      </w:pPr>
      <w:r>
        <w:separator/>
      </w:r>
    </w:p>
  </w:footnote>
  <w:footnote w:type="continuationSeparator" w:id="0">
    <w:p w:rsidR="00593879" w:rsidRDefault="00593879" w:rsidP="004564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43F" w:rsidRDefault="0045643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43F" w:rsidRDefault="0045643F">
    <w:pPr>
      <w:pStyle w:val="stbilgi"/>
      <w:rPr>
        <w:rFonts w:ascii="Times New Roman" w:hAnsi="Times New Roman" w:cs="Times New Roman"/>
        <w:b/>
      </w:rPr>
    </w:pPr>
    <w:r>
      <w:rPr>
        <w:rFonts w:ascii="Times New Roman" w:hAnsi="Times New Roman" w:cs="Times New Roman"/>
        <w:b/>
      </w:rPr>
      <w:t>Esas Sayısı : 2012/78</w:t>
    </w:r>
  </w:p>
  <w:p w:rsidR="0045643F" w:rsidRDefault="0045643F">
    <w:pPr>
      <w:pStyle w:val="stbilgi"/>
      <w:rPr>
        <w:rFonts w:ascii="Times New Roman" w:hAnsi="Times New Roman" w:cs="Times New Roman"/>
        <w:b/>
      </w:rPr>
    </w:pPr>
    <w:r>
      <w:rPr>
        <w:rFonts w:ascii="Times New Roman" w:hAnsi="Times New Roman" w:cs="Times New Roman"/>
        <w:b/>
      </w:rPr>
      <w:t>Karar Sayısı : 2012/111</w:t>
    </w:r>
  </w:p>
  <w:p w:rsidR="0045643F" w:rsidRPr="0045643F" w:rsidRDefault="0045643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43F" w:rsidRDefault="0045643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02"/>
    <w:rsid w:val="0045643F"/>
    <w:rsid w:val="00593879"/>
    <w:rsid w:val="00CE1FB9"/>
    <w:rsid w:val="00E200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FBBF2-7806-4BCE-998A-79B38A63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5643F"/>
    <w:rPr>
      <w:color w:val="0000FF"/>
      <w:u w:val="single"/>
    </w:rPr>
  </w:style>
  <w:style w:type="paragraph" w:styleId="GvdeMetni">
    <w:name w:val="Body Text"/>
    <w:basedOn w:val="Normal"/>
    <w:link w:val="GvdeMetniChar"/>
    <w:uiPriority w:val="99"/>
    <w:semiHidden/>
    <w:unhideWhenUsed/>
    <w:rsid w:val="004564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45643F"/>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4564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er2">
    <w:name w:val="ver2"/>
    <w:basedOn w:val="VarsaylanParagrafYazTipi"/>
    <w:rsid w:val="0045643F"/>
  </w:style>
  <w:style w:type="paragraph" w:styleId="KonuBal">
    <w:name w:val="Title"/>
    <w:basedOn w:val="Normal"/>
    <w:link w:val="KonuBalChar"/>
    <w:uiPriority w:val="10"/>
    <w:qFormat/>
    <w:rsid w:val="004564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45643F"/>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564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5643F"/>
  </w:style>
  <w:style w:type="paragraph" w:styleId="Altbilgi">
    <w:name w:val="footer"/>
    <w:basedOn w:val="Normal"/>
    <w:link w:val="AltbilgiChar"/>
    <w:uiPriority w:val="99"/>
    <w:unhideWhenUsed/>
    <w:rsid w:val="004564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643F"/>
  </w:style>
  <w:style w:type="character" w:styleId="SayfaNumaras">
    <w:name w:val="page number"/>
    <w:basedOn w:val="VarsaylanParagrafYazTipi"/>
    <w:uiPriority w:val="99"/>
    <w:semiHidden/>
    <w:unhideWhenUsed/>
    <w:rsid w:val="00456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8259">
      <w:bodyDiv w:val="1"/>
      <w:marLeft w:val="0"/>
      <w:marRight w:val="0"/>
      <w:marTop w:val="0"/>
      <w:marBottom w:val="0"/>
      <w:divBdr>
        <w:top w:val="none" w:sz="0" w:space="0" w:color="auto"/>
        <w:left w:val="none" w:sz="0" w:space="0" w:color="auto"/>
        <w:bottom w:val="none" w:sz="0" w:space="0" w:color="auto"/>
        <w:right w:val="none" w:sz="0" w:space="0" w:color="auto"/>
      </w:divBdr>
      <w:divsChild>
        <w:div w:id="467283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1137</Words>
  <Characters>6484</Characters>
  <Application>Microsoft Office Word</Application>
  <DocSecurity>0</DocSecurity>
  <Lines>54</Lines>
  <Paragraphs>15</Paragraphs>
  <ScaleCrop>false</ScaleCrop>
  <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2019-02-07T10:32:00Z</dcterms:created>
  <dcterms:modified xsi:type="dcterms:W3CDTF">2019-02-07T10:33:00Z</dcterms:modified>
</cp:coreProperties>
</file>