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b/>
          <w:bCs/>
          <w:color w:val="000000"/>
          <w:sz w:val="24"/>
          <w:szCs w:val="26"/>
          <w:lang w:eastAsia="tr-TR"/>
        </w:rPr>
        <w:t>ANAYASA MAHKEMESİ KARARI</w:t>
      </w:r>
      <w:r w:rsidRPr="00C62423">
        <w:rPr>
          <w:rFonts w:ascii="Times New Roman" w:eastAsia="Times New Roman" w:hAnsi="Times New Roman" w:cs="Times New Roman"/>
          <w:color w:val="000000"/>
          <w:sz w:val="24"/>
          <w:szCs w:val="27"/>
          <w:lang w:eastAsia="tr-TR"/>
        </w:rPr>
        <w:t> </w:t>
      </w:r>
    </w:p>
    <w:p w:rsidR="00C62423" w:rsidRP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7"/>
          <w:lang w:eastAsia="tr-TR"/>
        </w:rPr>
        <w:t> </w:t>
      </w:r>
    </w:p>
    <w:p w:rsidR="00C62423" w:rsidRPr="00C62423" w:rsidRDefault="00C62423" w:rsidP="00C62423">
      <w:pPr>
        <w:spacing w:after="0" w:line="240" w:lineRule="auto"/>
        <w:jc w:val="both"/>
        <w:rPr>
          <w:rFonts w:ascii="Times New Roman" w:eastAsia="Times New Roman" w:hAnsi="Times New Roman" w:cs="Times New Roman"/>
          <w:b/>
          <w:color w:val="000000"/>
          <w:sz w:val="24"/>
          <w:szCs w:val="27"/>
          <w:lang w:eastAsia="tr-TR"/>
        </w:rPr>
      </w:pPr>
      <w:r w:rsidRPr="00C62423">
        <w:rPr>
          <w:rFonts w:ascii="Times New Roman" w:eastAsia="Times New Roman" w:hAnsi="Times New Roman" w:cs="Times New Roman"/>
          <w:b/>
          <w:bCs/>
          <w:color w:val="000000"/>
          <w:sz w:val="24"/>
          <w:szCs w:val="26"/>
          <w:lang w:eastAsia="tr-TR"/>
        </w:rPr>
        <w:t xml:space="preserve">Esas </w:t>
      </w:r>
      <w:proofErr w:type="gramStart"/>
      <w:r w:rsidRPr="00C62423">
        <w:rPr>
          <w:rFonts w:ascii="Times New Roman" w:eastAsia="Times New Roman" w:hAnsi="Times New Roman" w:cs="Times New Roman"/>
          <w:b/>
          <w:bCs/>
          <w:color w:val="000000"/>
          <w:sz w:val="24"/>
          <w:szCs w:val="26"/>
          <w:lang w:eastAsia="tr-TR"/>
        </w:rPr>
        <w:t>Sayısı : 2004</w:t>
      </w:r>
      <w:proofErr w:type="gramEnd"/>
      <w:r w:rsidRPr="00C62423">
        <w:rPr>
          <w:rFonts w:ascii="Times New Roman" w:eastAsia="Times New Roman" w:hAnsi="Times New Roman" w:cs="Times New Roman"/>
          <w:b/>
          <w:bCs/>
          <w:color w:val="000000"/>
          <w:sz w:val="24"/>
          <w:szCs w:val="26"/>
          <w:lang w:eastAsia="tr-TR"/>
        </w:rPr>
        <w:t>/17</w:t>
      </w:r>
    </w:p>
    <w:p w:rsidR="00C62423" w:rsidRPr="00C62423" w:rsidRDefault="00C62423" w:rsidP="00C62423">
      <w:pPr>
        <w:spacing w:after="0" w:line="240" w:lineRule="auto"/>
        <w:jc w:val="both"/>
        <w:rPr>
          <w:rFonts w:ascii="Times New Roman" w:eastAsia="Times New Roman" w:hAnsi="Times New Roman" w:cs="Times New Roman"/>
          <w:b/>
          <w:color w:val="000000"/>
          <w:sz w:val="24"/>
          <w:szCs w:val="27"/>
          <w:lang w:eastAsia="tr-TR"/>
        </w:rPr>
      </w:pPr>
      <w:r w:rsidRPr="00C62423">
        <w:rPr>
          <w:rFonts w:ascii="Times New Roman" w:eastAsia="Times New Roman" w:hAnsi="Times New Roman" w:cs="Times New Roman"/>
          <w:b/>
          <w:bCs/>
          <w:color w:val="000000"/>
          <w:sz w:val="24"/>
          <w:szCs w:val="26"/>
          <w:lang w:eastAsia="tr-TR"/>
        </w:rPr>
        <w:t xml:space="preserve">Karar </w:t>
      </w:r>
      <w:proofErr w:type="gramStart"/>
      <w:r w:rsidRPr="00C62423">
        <w:rPr>
          <w:rFonts w:ascii="Times New Roman" w:eastAsia="Times New Roman" w:hAnsi="Times New Roman" w:cs="Times New Roman"/>
          <w:b/>
          <w:bCs/>
          <w:color w:val="000000"/>
          <w:sz w:val="24"/>
          <w:szCs w:val="26"/>
          <w:lang w:eastAsia="tr-TR"/>
        </w:rPr>
        <w:t>Sayısı : 2007</w:t>
      </w:r>
      <w:proofErr w:type="gramEnd"/>
      <w:r w:rsidRPr="00C62423">
        <w:rPr>
          <w:rFonts w:ascii="Times New Roman" w:eastAsia="Times New Roman" w:hAnsi="Times New Roman" w:cs="Times New Roman"/>
          <w:b/>
          <w:bCs/>
          <w:color w:val="000000"/>
          <w:sz w:val="24"/>
          <w:szCs w:val="26"/>
          <w:lang w:eastAsia="tr-TR"/>
        </w:rPr>
        <w:t>/59</w:t>
      </w:r>
    </w:p>
    <w:p w:rsidR="00C62423" w:rsidRPr="00C62423" w:rsidRDefault="00C62423" w:rsidP="00C62423">
      <w:pPr>
        <w:spacing w:after="0" w:line="240" w:lineRule="auto"/>
        <w:jc w:val="both"/>
        <w:rPr>
          <w:rFonts w:ascii="Times New Roman" w:eastAsia="Times New Roman" w:hAnsi="Times New Roman" w:cs="Times New Roman"/>
          <w:b/>
          <w:color w:val="000000"/>
          <w:sz w:val="24"/>
          <w:szCs w:val="27"/>
          <w:lang w:eastAsia="tr-TR"/>
        </w:rPr>
      </w:pPr>
      <w:r w:rsidRPr="00C62423">
        <w:rPr>
          <w:rFonts w:ascii="Times New Roman" w:eastAsia="Times New Roman" w:hAnsi="Times New Roman" w:cs="Times New Roman"/>
          <w:b/>
          <w:bCs/>
          <w:color w:val="000000"/>
          <w:sz w:val="24"/>
          <w:szCs w:val="26"/>
          <w:lang w:eastAsia="tr-TR"/>
        </w:rPr>
        <w:t xml:space="preserve">Karar </w:t>
      </w:r>
      <w:proofErr w:type="gramStart"/>
      <w:r w:rsidRPr="00C62423">
        <w:rPr>
          <w:rFonts w:ascii="Times New Roman" w:eastAsia="Times New Roman" w:hAnsi="Times New Roman" w:cs="Times New Roman"/>
          <w:b/>
          <w:bCs/>
          <w:color w:val="000000"/>
          <w:sz w:val="24"/>
          <w:szCs w:val="26"/>
          <w:lang w:eastAsia="tr-TR"/>
        </w:rPr>
        <w:t>Günü : 17</w:t>
      </w:r>
      <w:proofErr w:type="gramEnd"/>
      <w:r w:rsidRPr="00C62423">
        <w:rPr>
          <w:rFonts w:ascii="Times New Roman" w:eastAsia="Times New Roman" w:hAnsi="Times New Roman" w:cs="Times New Roman"/>
          <w:b/>
          <w:bCs/>
          <w:color w:val="000000"/>
          <w:sz w:val="24"/>
          <w:szCs w:val="26"/>
          <w:lang w:eastAsia="tr-TR"/>
        </w:rPr>
        <w:t>.5.2007</w:t>
      </w:r>
    </w:p>
    <w:p w:rsidR="00C62423" w:rsidRPr="00C62423" w:rsidRDefault="00C62423" w:rsidP="00C62423">
      <w:pPr>
        <w:spacing w:after="0" w:line="240" w:lineRule="auto"/>
        <w:jc w:val="both"/>
        <w:rPr>
          <w:rFonts w:ascii="Times New Roman" w:eastAsia="Times New Roman" w:hAnsi="Times New Roman" w:cs="Times New Roman"/>
          <w:b/>
          <w:bCs/>
          <w:color w:val="000000"/>
          <w:sz w:val="24"/>
          <w:szCs w:val="26"/>
          <w:lang w:eastAsia="tr-TR"/>
        </w:rPr>
      </w:pPr>
      <w:r w:rsidRPr="00C62423">
        <w:rPr>
          <w:rFonts w:ascii="Times New Roman" w:eastAsia="Times New Roman" w:hAnsi="Times New Roman" w:cs="Times New Roman"/>
          <w:b/>
          <w:bCs/>
          <w:color w:val="000000"/>
          <w:sz w:val="24"/>
          <w:szCs w:val="26"/>
          <w:lang w:eastAsia="tr-TR"/>
        </w:rPr>
        <w:t>Resmi Gazete Tarih-</w:t>
      </w:r>
      <w:proofErr w:type="gramStart"/>
      <w:r w:rsidRPr="00C62423">
        <w:rPr>
          <w:rFonts w:ascii="Times New Roman" w:eastAsia="Times New Roman" w:hAnsi="Times New Roman" w:cs="Times New Roman"/>
          <w:b/>
          <w:bCs/>
          <w:color w:val="000000"/>
          <w:sz w:val="24"/>
          <w:szCs w:val="26"/>
          <w:lang w:eastAsia="tr-TR"/>
        </w:rPr>
        <w:t>Sayısı : 21</w:t>
      </w:r>
      <w:proofErr w:type="gramEnd"/>
      <w:r w:rsidRPr="00C62423">
        <w:rPr>
          <w:rFonts w:ascii="Times New Roman" w:eastAsia="Times New Roman" w:hAnsi="Times New Roman" w:cs="Times New Roman"/>
          <w:b/>
          <w:bCs/>
          <w:color w:val="000000"/>
          <w:sz w:val="24"/>
          <w:szCs w:val="26"/>
          <w:lang w:eastAsia="tr-TR"/>
        </w:rPr>
        <w:t>.11.2007-26707</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b/>
          <w:bCs/>
          <w:color w:val="000000"/>
          <w:sz w:val="24"/>
          <w:szCs w:val="26"/>
          <w:lang w:eastAsia="tr-TR"/>
        </w:rPr>
        <w:t>İTİRAZ YOLUNA BAŞVURAN: </w:t>
      </w:r>
      <w:r w:rsidRPr="00C62423">
        <w:rPr>
          <w:rFonts w:ascii="Times New Roman" w:eastAsia="Times New Roman" w:hAnsi="Times New Roman" w:cs="Times New Roman"/>
          <w:color w:val="000000"/>
          <w:sz w:val="24"/>
          <w:szCs w:val="26"/>
          <w:lang w:eastAsia="tr-TR"/>
        </w:rPr>
        <w:t>Konya 1. İdare Mahkemesi</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b/>
          <w:bCs/>
          <w:color w:val="000000"/>
          <w:sz w:val="24"/>
          <w:szCs w:val="26"/>
          <w:lang w:eastAsia="tr-TR"/>
        </w:rPr>
        <w:t>İTİRAZIN KONUSU : </w:t>
      </w:r>
      <w:r w:rsidRPr="00C62423">
        <w:rPr>
          <w:rFonts w:ascii="Times New Roman" w:eastAsia="Times New Roman" w:hAnsi="Times New Roman" w:cs="Times New Roman"/>
          <w:color w:val="000000"/>
          <w:sz w:val="24"/>
          <w:szCs w:val="26"/>
          <w:lang w:eastAsia="tr-TR"/>
        </w:rPr>
        <w:t>2.6.1934 günlü, 2489 sayılı Kefalet Kanunu'nun 6. maddesinin Anayasa'nın 2</w:t>
      </w:r>
      <w:proofErr w:type="gramStart"/>
      <w:r w:rsidRPr="00C62423">
        <w:rPr>
          <w:rFonts w:ascii="Times New Roman" w:eastAsia="Times New Roman" w:hAnsi="Times New Roman" w:cs="Times New Roman"/>
          <w:color w:val="000000"/>
          <w:sz w:val="24"/>
          <w:szCs w:val="26"/>
          <w:lang w:eastAsia="tr-TR"/>
        </w:rPr>
        <w:t>.,</w:t>
      </w:r>
      <w:proofErr w:type="gramEnd"/>
      <w:r w:rsidRPr="00C62423">
        <w:rPr>
          <w:rFonts w:ascii="Times New Roman" w:eastAsia="Times New Roman" w:hAnsi="Times New Roman" w:cs="Times New Roman"/>
          <w:color w:val="000000"/>
          <w:sz w:val="24"/>
          <w:szCs w:val="26"/>
          <w:lang w:eastAsia="tr-TR"/>
        </w:rPr>
        <w:t xml:space="preserve"> 10., 38. ve 70. maddelerine aykırılığı savıyla iptali istemidir.</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b/>
          <w:bCs/>
          <w:color w:val="000000"/>
          <w:sz w:val="24"/>
          <w:szCs w:val="26"/>
          <w:lang w:eastAsia="tr-TR"/>
        </w:rPr>
        <w:t>I- OLAY</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6"/>
          <w:lang w:eastAsia="tr-TR"/>
        </w:rPr>
        <w:t>PTT'de memur olarak görev yapan davacının, bir kısım telefon abonelerinden tahsil ettiği telefon ücretlerini ilgili hesaba intikal ettirmemesi nedeniyle zimmet suçu işlediği gerekçesiyle hizmetten çıkarılmasına ilişkin işlemin iptali istemiyle açılan davada, itiraz konusu kuralın Anayasa'ya aykırı olduğu kanısına varan Mahkeme, iptali için başvurmuştur.</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b/>
          <w:bCs/>
          <w:color w:val="000000"/>
          <w:sz w:val="24"/>
          <w:szCs w:val="26"/>
          <w:lang w:eastAsia="tr-TR"/>
        </w:rPr>
        <w:t>III- YASA METİNLERİ</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b/>
          <w:bCs/>
          <w:color w:val="000000"/>
          <w:sz w:val="24"/>
          <w:szCs w:val="26"/>
          <w:lang w:eastAsia="tr-TR"/>
        </w:rPr>
        <w:t>A- İtiraz Konusu Yasa Kuralı</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6"/>
          <w:lang w:eastAsia="tr-TR"/>
        </w:rPr>
        <w:t>2489 sayılı Kefalet Kanunu'nun itiraz konusu 6. maddesi şöyledir:</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b/>
          <w:bCs/>
          <w:color w:val="000000"/>
          <w:sz w:val="24"/>
          <w:szCs w:val="26"/>
          <w:lang w:eastAsia="tr-TR"/>
        </w:rPr>
        <w:t>“</w:t>
      </w:r>
      <w:proofErr w:type="spellStart"/>
      <w:r w:rsidRPr="00C62423">
        <w:rPr>
          <w:rFonts w:ascii="Times New Roman" w:eastAsia="Times New Roman" w:hAnsi="Times New Roman" w:cs="Times New Roman"/>
          <w:b/>
          <w:bCs/>
          <w:color w:val="000000"/>
          <w:sz w:val="24"/>
          <w:szCs w:val="26"/>
          <w:lang w:eastAsia="tr-TR"/>
        </w:rPr>
        <w:t>Kefaletli</w:t>
      </w:r>
      <w:proofErr w:type="spellEnd"/>
      <w:r w:rsidRPr="00C62423">
        <w:rPr>
          <w:rFonts w:ascii="Times New Roman" w:eastAsia="Times New Roman" w:hAnsi="Times New Roman" w:cs="Times New Roman"/>
          <w:b/>
          <w:bCs/>
          <w:color w:val="000000"/>
          <w:sz w:val="24"/>
          <w:szCs w:val="26"/>
          <w:lang w:eastAsia="tr-TR"/>
        </w:rPr>
        <w:t xml:space="preserve"> memur ve müstahdemlerden teftiş ve tahkik neticesinde zimmet veya ihtilâsları anlaşılanlar derhal usulüne göre hizmetlerinden çıkarılır ve haklarında ayrıca kanuni takibat yapılır. Bunlara açıkta kaldıkları müddetçe herhangi bir nam ile maaş veya ücret verilmez. Ancak suçları muhakeme ile sabit olduğu takdirde zimmete geçirilen para ve menkul kıymetleri ve ayniyatı verseler bile ihtilâs şeklinde zimmet yapanlar bir daha Devlet işlerinde kullanılmazlar. Yetim ve dulların hakları mahfuz kalmak </w:t>
      </w:r>
      <w:proofErr w:type="spellStart"/>
      <w:r w:rsidRPr="00C62423">
        <w:rPr>
          <w:rFonts w:ascii="Times New Roman" w:eastAsia="Times New Roman" w:hAnsi="Times New Roman" w:cs="Times New Roman"/>
          <w:b/>
          <w:bCs/>
          <w:color w:val="000000"/>
          <w:sz w:val="24"/>
          <w:szCs w:val="26"/>
          <w:lang w:eastAsia="tr-TR"/>
        </w:rPr>
        <w:t>şartiyle</w:t>
      </w:r>
      <w:proofErr w:type="spellEnd"/>
      <w:r w:rsidRPr="00C62423">
        <w:rPr>
          <w:rFonts w:ascii="Times New Roman" w:eastAsia="Times New Roman" w:hAnsi="Times New Roman" w:cs="Times New Roman"/>
          <w:b/>
          <w:bCs/>
          <w:color w:val="000000"/>
          <w:sz w:val="24"/>
          <w:szCs w:val="26"/>
          <w:lang w:eastAsia="tr-TR"/>
        </w:rPr>
        <w:t xml:space="preserve"> tekaüt hakkından da mahrum kalırlar.</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C62423">
        <w:rPr>
          <w:rFonts w:ascii="Times New Roman" w:eastAsia="Times New Roman" w:hAnsi="Times New Roman" w:cs="Times New Roman"/>
          <w:b/>
          <w:bCs/>
          <w:color w:val="000000"/>
          <w:sz w:val="24"/>
          <w:szCs w:val="26"/>
          <w:lang w:eastAsia="tr-TR"/>
        </w:rPr>
        <w:t>Adiyen</w:t>
      </w:r>
      <w:proofErr w:type="spellEnd"/>
      <w:r w:rsidRPr="00C62423">
        <w:rPr>
          <w:rFonts w:ascii="Times New Roman" w:eastAsia="Times New Roman" w:hAnsi="Times New Roman" w:cs="Times New Roman"/>
          <w:b/>
          <w:bCs/>
          <w:color w:val="000000"/>
          <w:sz w:val="24"/>
          <w:szCs w:val="26"/>
          <w:lang w:eastAsia="tr-TR"/>
        </w:rPr>
        <w:t xml:space="preserve"> </w:t>
      </w:r>
      <w:proofErr w:type="spellStart"/>
      <w:r w:rsidRPr="00C62423">
        <w:rPr>
          <w:rFonts w:ascii="Times New Roman" w:eastAsia="Times New Roman" w:hAnsi="Times New Roman" w:cs="Times New Roman"/>
          <w:b/>
          <w:bCs/>
          <w:color w:val="000000"/>
          <w:sz w:val="24"/>
          <w:szCs w:val="26"/>
          <w:lang w:eastAsia="tr-TR"/>
        </w:rPr>
        <w:t>zimmettar</w:t>
      </w:r>
      <w:proofErr w:type="spellEnd"/>
      <w:r w:rsidRPr="00C62423">
        <w:rPr>
          <w:rFonts w:ascii="Times New Roman" w:eastAsia="Times New Roman" w:hAnsi="Times New Roman" w:cs="Times New Roman"/>
          <w:b/>
          <w:bCs/>
          <w:color w:val="000000"/>
          <w:sz w:val="24"/>
          <w:szCs w:val="26"/>
          <w:lang w:eastAsia="tr-TR"/>
        </w:rPr>
        <w:t xml:space="preserve"> olanlar hakkında Ceza Kanununun hükümleri tatbik edilmekle </w:t>
      </w:r>
      <w:proofErr w:type="gramStart"/>
      <w:r w:rsidRPr="00C62423">
        <w:rPr>
          <w:rFonts w:ascii="Times New Roman" w:eastAsia="Times New Roman" w:hAnsi="Times New Roman" w:cs="Times New Roman"/>
          <w:b/>
          <w:bCs/>
          <w:color w:val="000000"/>
          <w:sz w:val="24"/>
          <w:szCs w:val="26"/>
          <w:lang w:eastAsia="tr-TR"/>
        </w:rPr>
        <w:t>beraber</w:t>
      </w:r>
      <w:proofErr w:type="gramEnd"/>
      <w:r w:rsidRPr="00C62423">
        <w:rPr>
          <w:rFonts w:ascii="Times New Roman" w:eastAsia="Times New Roman" w:hAnsi="Times New Roman" w:cs="Times New Roman"/>
          <w:b/>
          <w:bCs/>
          <w:color w:val="000000"/>
          <w:sz w:val="24"/>
          <w:szCs w:val="26"/>
          <w:lang w:eastAsia="tr-TR"/>
        </w:rPr>
        <w:t xml:space="preserve"> bunlar da para ve ayniyatın alınıp verilmesi ve elinde tutulması gibi işlerde kullanılmazlar.</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b/>
          <w:bCs/>
          <w:color w:val="000000"/>
          <w:sz w:val="24"/>
          <w:szCs w:val="26"/>
          <w:lang w:eastAsia="tr-TR"/>
        </w:rPr>
        <w:t>Zimmet veya ihtilâs edilen para ve menkul kıymetlerle ayniyattan doğan Kefalet Sandığının alacakları, Devlet alacakları gibi rüçhanlıdır. Kefalet Sandığının hak ve alacakları Maliye Vekâletince takip olunur.”</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b/>
          <w:bCs/>
          <w:color w:val="000000"/>
          <w:sz w:val="24"/>
          <w:szCs w:val="26"/>
          <w:lang w:eastAsia="tr-TR"/>
        </w:rPr>
        <w:t>B- Dayanılan Anayasa Kuralları</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6"/>
          <w:lang w:eastAsia="tr-TR"/>
        </w:rPr>
        <w:t>Başvuruda, Anayasa'nın 2</w:t>
      </w:r>
      <w:proofErr w:type="gramStart"/>
      <w:r w:rsidRPr="00C62423">
        <w:rPr>
          <w:rFonts w:ascii="Times New Roman" w:eastAsia="Times New Roman" w:hAnsi="Times New Roman" w:cs="Times New Roman"/>
          <w:color w:val="000000"/>
          <w:sz w:val="24"/>
          <w:szCs w:val="26"/>
          <w:lang w:eastAsia="tr-TR"/>
        </w:rPr>
        <w:t>.,</w:t>
      </w:r>
      <w:proofErr w:type="gramEnd"/>
      <w:r w:rsidRPr="00C62423">
        <w:rPr>
          <w:rFonts w:ascii="Times New Roman" w:eastAsia="Times New Roman" w:hAnsi="Times New Roman" w:cs="Times New Roman"/>
          <w:color w:val="000000"/>
          <w:sz w:val="24"/>
          <w:szCs w:val="26"/>
          <w:lang w:eastAsia="tr-TR"/>
        </w:rPr>
        <w:t xml:space="preserve"> 10., 38. ve 70. maddelerine dayanılmıştır.</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b/>
          <w:bCs/>
          <w:color w:val="000000"/>
          <w:sz w:val="24"/>
          <w:szCs w:val="26"/>
          <w:lang w:eastAsia="tr-TR"/>
        </w:rPr>
        <w:t>IV- İLK İNCELEME</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6"/>
          <w:lang w:eastAsia="tr-TR"/>
        </w:rPr>
        <w:lastRenderedPageBreak/>
        <w:t xml:space="preserve">Anayasa Mahkemesi </w:t>
      </w:r>
      <w:proofErr w:type="spellStart"/>
      <w:r w:rsidRPr="00C62423">
        <w:rPr>
          <w:rFonts w:ascii="Times New Roman" w:eastAsia="Times New Roman" w:hAnsi="Times New Roman" w:cs="Times New Roman"/>
          <w:color w:val="000000"/>
          <w:sz w:val="24"/>
          <w:szCs w:val="26"/>
          <w:lang w:eastAsia="tr-TR"/>
        </w:rPr>
        <w:t>İçtüzüğü'nün</w:t>
      </w:r>
      <w:proofErr w:type="spellEnd"/>
      <w:r w:rsidRPr="00C62423">
        <w:rPr>
          <w:rFonts w:ascii="Times New Roman" w:eastAsia="Times New Roman" w:hAnsi="Times New Roman" w:cs="Times New Roman"/>
          <w:color w:val="000000"/>
          <w:sz w:val="24"/>
          <w:szCs w:val="26"/>
          <w:lang w:eastAsia="tr-TR"/>
        </w:rPr>
        <w:t xml:space="preserve"> 8. maddesi uyarınca Mustafa BUMİN, </w:t>
      </w:r>
      <w:proofErr w:type="spellStart"/>
      <w:r w:rsidRPr="00C62423">
        <w:rPr>
          <w:rFonts w:ascii="Times New Roman" w:eastAsia="Times New Roman" w:hAnsi="Times New Roman" w:cs="Times New Roman"/>
          <w:color w:val="000000"/>
          <w:sz w:val="24"/>
          <w:szCs w:val="26"/>
          <w:lang w:eastAsia="tr-TR"/>
        </w:rPr>
        <w:t>Sacit</w:t>
      </w:r>
      <w:proofErr w:type="spellEnd"/>
      <w:r w:rsidRPr="00C62423">
        <w:rPr>
          <w:rFonts w:ascii="Times New Roman" w:eastAsia="Times New Roman" w:hAnsi="Times New Roman" w:cs="Times New Roman"/>
          <w:color w:val="000000"/>
          <w:sz w:val="24"/>
          <w:szCs w:val="26"/>
          <w:lang w:eastAsia="tr-TR"/>
        </w:rPr>
        <w:t xml:space="preserve"> ADALI, Ali HÜNER, Fulya KANTARCIOĞLU, Aysel PEKİNER, Ertuğrul ERSOY, Ahmet AKYALÇIN, Mehmet ERTEN, Mustafa YILDIRIM, Fazıl SAĞLAM ve A. Necmi </w:t>
      </w:r>
      <w:proofErr w:type="spellStart"/>
      <w:r w:rsidRPr="00C62423">
        <w:rPr>
          <w:rFonts w:ascii="Times New Roman" w:eastAsia="Times New Roman" w:hAnsi="Times New Roman" w:cs="Times New Roman"/>
          <w:color w:val="000000"/>
          <w:sz w:val="24"/>
          <w:szCs w:val="26"/>
          <w:lang w:eastAsia="tr-TR"/>
        </w:rPr>
        <w:t>ÖZLER'in</w:t>
      </w:r>
      <w:proofErr w:type="spellEnd"/>
      <w:r w:rsidRPr="00C62423">
        <w:rPr>
          <w:rFonts w:ascii="Times New Roman" w:eastAsia="Times New Roman" w:hAnsi="Times New Roman" w:cs="Times New Roman"/>
          <w:color w:val="000000"/>
          <w:sz w:val="24"/>
          <w:szCs w:val="26"/>
          <w:lang w:eastAsia="tr-TR"/>
        </w:rPr>
        <w:t xml:space="preserve"> katılmalarıyla 18.3.2004 gününde yapılan ilk inceleme toplantısında öncelikle uygulanacak kural sorunu üzerinde durulmuştur:</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C62423">
        <w:rPr>
          <w:rFonts w:ascii="Times New Roman" w:eastAsia="Times New Roman" w:hAnsi="Times New Roman" w:cs="Times New Roman"/>
          <w:color w:val="000000"/>
          <w:sz w:val="24"/>
          <w:szCs w:val="26"/>
          <w:lang w:eastAsia="tr-TR"/>
        </w:rPr>
        <w:t xml:space="preserve">Anayasa'nın 152. ve 2949 sayılı Anayasa Mahkemesinin Kuruluşu ve Yargılama Usulleri Hakkında Kanun'un 28. maddesine göre, mahkemeler, bakmakta oldukları davalarda uygulayacakları kanun ya da kanun hükmünde kararname kurallarını Anayasa'ya aykırı görürler veya taraflardan birinin ileri sürdüğü aykırılık savının ciddi olduğu kanısına varırlarsa, o hükmün iptali için Anayasa Mahkemesi'ne başvurmaya yetkilidirler. </w:t>
      </w:r>
      <w:proofErr w:type="gramEnd"/>
      <w:r w:rsidRPr="00C62423">
        <w:rPr>
          <w:rFonts w:ascii="Times New Roman" w:eastAsia="Times New Roman" w:hAnsi="Times New Roman" w:cs="Times New Roman"/>
          <w:color w:val="000000"/>
          <w:sz w:val="24"/>
          <w:szCs w:val="26"/>
          <w:lang w:eastAsia="tr-TR"/>
        </w:rPr>
        <w:t>Ancak, bu kurallar uyarınca bir mahkemenin Anayasa Mahkemesi'ne başvurabilmesi için elinde yöntemince açılmış ve mahkemenin görevine giren bir davanın bulunması ve iptali istenen kuralların da o davada uygulanacak olması gerekmektedir. Uygulanacak yasa kuralları, davanın değişik evrelerinde ortaya çıkan sorunların çözümünde veya davayı sonuçlandırmada olumlu ya da olumsuz yönde etki yapacak nitelikte bulunan kurallardır.</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6"/>
          <w:lang w:eastAsia="tr-TR"/>
        </w:rPr>
        <w:t xml:space="preserve">Kefalet Kanunu'nun 6. maddesinin birinci fıkrasında, </w:t>
      </w:r>
      <w:proofErr w:type="spellStart"/>
      <w:r w:rsidRPr="00C62423">
        <w:rPr>
          <w:rFonts w:ascii="Times New Roman" w:eastAsia="Times New Roman" w:hAnsi="Times New Roman" w:cs="Times New Roman"/>
          <w:color w:val="000000"/>
          <w:sz w:val="24"/>
          <w:szCs w:val="26"/>
          <w:lang w:eastAsia="tr-TR"/>
        </w:rPr>
        <w:t>kefaletli</w:t>
      </w:r>
      <w:proofErr w:type="spellEnd"/>
      <w:r w:rsidRPr="00C62423">
        <w:rPr>
          <w:rFonts w:ascii="Times New Roman" w:eastAsia="Times New Roman" w:hAnsi="Times New Roman" w:cs="Times New Roman"/>
          <w:color w:val="000000"/>
          <w:sz w:val="24"/>
          <w:szCs w:val="26"/>
          <w:lang w:eastAsia="tr-TR"/>
        </w:rPr>
        <w:t xml:space="preserve"> memurların belli suçları işlemeleri durumunda hangi işlemlerin yapılacağı, ikinci fıkrasında, </w:t>
      </w:r>
      <w:proofErr w:type="spellStart"/>
      <w:r w:rsidRPr="00C62423">
        <w:rPr>
          <w:rFonts w:ascii="Times New Roman" w:eastAsia="Times New Roman" w:hAnsi="Times New Roman" w:cs="Times New Roman"/>
          <w:color w:val="000000"/>
          <w:sz w:val="24"/>
          <w:szCs w:val="26"/>
          <w:lang w:eastAsia="tr-TR"/>
        </w:rPr>
        <w:t>adiyen</w:t>
      </w:r>
      <w:proofErr w:type="spellEnd"/>
      <w:r w:rsidRPr="00C62423">
        <w:rPr>
          <w:rFonts w:ascii="Times New Roman" w:eastAsia="Times New Roman" w:hAnsi="Times New Roman" w:cs="Times New Roman"/>
          <w:color w:val="000000"/>
          <w:sz w:val="24"/>
          <w:szCs w:val="26"/>
          <w:lang w:eastAsia="tr-TR"/>
        </w:rPr>
        <w:t xml:space="preserve"> zimmet suçunu işleyenlerin hangi işlerde çalıştırılamayacağı ve üçüncü fıkrasında da zimmet ve ihtilas edilen değerlerin takip usulü hakkında kurallar öngörülmüştür.</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6"/>
          <w:lang w:eastAsia="tr-TR"/>
        </w:rPr>
        <w:t>İtiraz başvurusunda bulunan mahkemenin bakmakta olduğu davada, davacının zimmet fiilini işlediğinin soruşturma sonucunda sabit oldu iddiasıyla Yüksek Disiplin Kurulu kararı ile hizmetten çıkarılmasına ilişkin işlemin iptali istenmiştir. Davayı görmekte olan mahkeme, davayı çözümlerken 6. maddenin birinci fıkrasının ilk iki tümcesini uygulayarak davacının usulüne uygun olarak hizmetten çıkarılıp çıkarılmadığını inceleyecek ve bu kişiye açıkta kaldığı sürece maaş ve ücret verilip verilmeyeceğini değerlendirecektir.</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6"/>
          <w:lang w:eastAsia="tr-TR"/>
        </w:rPr>
        <w:t>Maddenin birinci fıkrasının birinci ve ikinci tümceleri dışında kalan bölümü ile ikinci ve üçüncü fıkraları davada uygulanacak kurallar olmadığından yetkisizlik nedeniyle reddine, işin esasının incelenmesine geçilmesine oybirliği ile karar verildi.</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b/>
          <w:bCs/>
          <w:color w:val="000000"/>
          <w:sz w:val="24"/>
          <w:szCs w:val="26"/>
          <w:lang w:eastAsia="tr-TR"/>
        </w:rPr>
        <w:t>V- ESASIN İNCELENMESİ</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6"/>
          <w:lang w:eastAsia="tr-TR"/>
        </w:rPr>
        <w:t>Başvuru kararı ve ekleri, işin esasına ilişkin rapor, itiraz konusu yasa kuralı, dayanılan Anayasa kuralları ile bunların gerekçeleri ve diğer yasama belgeleri okunup incelendikten sonra gereği görüşülüp düşünüldü:</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6"/>
          <w:lang w:eastAsia="tr-TR"/>
        </w:rPr>
        <w:t>Başvuru kararında, Kefalet Kanunu'nun 6. maddesindeki hizmetten çıkarma ile ilgili düzenlemenin ilişiğin kesilip kamu görevine son verilmesi niteliğinde bir disiplin cezası olmayıp, görevle geçici olarak ilişiğin kesilip, yargı kararı sonuna kadar görevin askıya alındığı idari nitelikte bir tedbir kararı olduğunun Danıştay'ın uygulamalarıyla ortaya konulduğu, yargı kararı ile sübuta ermeden görevlilerin suçlu sayıldığı, bu kişilerin açıkta iken hiçbir parasal güvencesinin bulunmadığı, göreve iade için hiçbir sürenin öngörülmediği, amire istismarı önleyici görevler verilmediği, göreve iadenin idarenin takdirine bırakıldığı, bu durumda 657 sayılı Yasaya tabi personel bir çok yasal güvenceye sahip iken 2489 sayılı Yasaya tabi personelin her türlü haktan yoksun kaldığı, bunun da Anayasanın 2</w:t>
      </w:r>
      <w:proofErr w:type="gramStart"/>
      <w:r w:rsidRPr="00C62423">
        <w:rPr>
          <w:rFonts w:ascii="Times New Roman" w:eastAsia="Times New Roman" w:hAnsi="Times New Roman" w:cs="Times New Roman"/>
          <w:color w:val="000000"/>
          <w:sz w:val="24"/>
          <w:szCs w:val="26"/>
          <w:lang w:eastAsia="tr-TR"/>
        </w:rPr>
        <w:t>.,</w:t>
      </w:r>
      <w:proofErr w:type="gramEnd"/>
      <w:r w:rsidRPr="00C62423">
        <w:rPr>
          <w:rFonts w:ascii="Times New Roman" w:eastAsia="Times New Roman" w:hAnsi="Times New Roman" w:cs="Times New Roman"/>
          <w:color w:val="000000"/>
          <w:sz w:val="24"/>
          <w:szCs w:val="26"/>
          <w:lang w:eastAsia="tr-TR"/>
        </w:rPr>
        <w:t xml:space="preserve"> 10., 38. ve 70. maddelerine aykırı olduğu ileri sürülmüştür.</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6"/>
          <w:lang w:eastAsia="tr-TR"/>
        </w:rPr>
        <w:lastRenderedPageBreak/>
        <w:t xml:space="preserve">Kefalet Kanunu'nun 6. maddesinin birinci fıkrasının itiraz konusu birinci ve ikinci tümcelerine göre, </w:t>
      </w:r>
      <w:proofErr w:type="spellStart"/>
      <w:r w:rsidRPr="00C62423">
        <w:rPr>
          <w:rFonts w:ascii="Times New Roman" w:eastAsia="Times New Roman" w:hAnsi="Times New Roman" w:cs="Times New Roman"/>
          <w:color w:val="000000"/>
          <w:sz w:val="24"/>
          <w:szCs w:val="26"/>
          <w:lang w:eastAsia="tr-TR"/>
        </w:rPr>
        <w:t>kefaletli</w:t>
      </w:r>
      <w:proofErr w:type="spellEnd"/>
      <w:r w:rsidRPr="00C62423">
        <w:rPr>
          <w:rFonts w:ascii="Times New Roman" w:eastAsia="Times New Roman" w:hAnsi="Times New Roman" w:cs="Times New Roman"/>
          <w:color w:val="000000"/>
          <w:sz w:val="24"/>
          <w:szCs w:val="26"/>
          <w:lang w:eastAsia="tr-TR"/>
        </w:rPr>
        <w:t xml:space="preserve"> memur ve müstahdemlerden teftiş ve tahkik neticesinde zimmet veya ihtilâsları anlaşılanlar derhal usulüne göre hizmetlerinden çıkarılacak, haklarında kanuni takibat yapılacak ve açıkta kaldıkları müddetçe herhangi bir nam ile maaş veya ücret verilmeyecektir.</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6"/>
          <w:lang w:eastAsia="tr-TR"/>
        </w:rPr>
        <w:t xml:space="preserve">Buna göre, haklarında zimmet veya ihtilas suçunu işlediği iddiası ileri sürülen, ancak yapılan soruşturma veya açılan dava sonucunda böyle bir suç işlemediği anlaşılan kişileri de kapsayacak biçimde, </w:t>
      </w:r>
      <w:proofErr w:type="spellStart"/>
      <w:r w:rsidRPr="00C62423">
        <w:rPr>
          <w:rFonts w:ascii="Times New Roman" w:eastAsia="Times New Roman" w:hAnsi="Times New Roman" w:cs="Times New Roman"/>
          <w:color w:val="000000"/>
          <w:sz w:val="24"/>
          <w:szCs w:val="26"/>
          <w:lang w:eastAsia="tr-TR"/>
        </w:rPr>
        <w:t>kefaletli</w:t>
      </w:r>
      <w:proofErr w:type="spellEnd"/>
      <w:r w:rsidRPr="00C62423">
        <w:rPr>
          <w:rFonts w:ascii="Times New Roman" w:eastAsia="Times New Roman" w:hAnsi="Times New Roman" w:cs="Times New Roman"/>
          <w:color w:val="000000"/>
          <w:sz w:val="24"/>
          <w:szCs w:val="26"/>
          <w:lang w:eastAsia="tr-TR"/>
        </w:rPr>
        <w:t xml:space="preserve"> memurların kamu hizmetinden çıkarılması ve bu kişilere açıkta kaldıkları süre içerisinde herhangi bir ücret ödenmemesi söz konusu olacaktır.</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6"/>
          <w:lang w:eastAsia="tr-TR"/>
        </w:rPr>
        <w:t>Anayasa'nın 2. maddesinde Türkiye Cumhuriyeti'nin, toplumun huzuru, millî dayanışma ve adalet anlayışı içinde, insan haklarına saygılı, Atatürk milliyetçiliğine bağlı, başlangıçta belirtilen temel ilkelere dayanan, demokratik, lâik ve sosyal bir hukuk Devleti olduğu belirtilmiştir.</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C62423">
        <w:rPr>
          <w:rFonts w:ascii="Times New Roman" w:eastAsia="Times New Roman" w:hAnsi="Times New Roman" w:cs="Times New Roman"/>
          <w:color w:val="000000"/>
          <w:sz w:val="24"/>
          <w:szCs w:val="26"/>
          <w:lang w:eastAsia="tr-TR"/>
        </w:rPr>
        <w:t>Hukuk devleti, eylem ve işlemleri hukuka uygun, insan haklarına saygı gösteren, bu hak ve özgürlükleri koruyup güçlendiren, her alanda adaletli bir hukuk düzeni kurup bunu geliştirerek sürdüren, Anayasa'ya aykırı durum ve tutumlardan kaçınan, hukuku tüm devlet organlarına egemen kılan, Anayasa ve hukukun üstün kurallarıyla kendini bağlı sayan, yargı denetimine açık, yasaların üstünde Anayasa ve yasa koyucunun da bozamayacağı temel hukuk ilkeleri bulunduğu bilincinde olan devlettir.</w:t>
      </w:r>
      <w:proofErr w:type="gramEnd"/>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6"/>
          <w:lang w:eastAsia="tr-TR"/>
        </w:rPr>
        <w:t>Hukuk güvenliği, temel hak güvencelerinde korunan ortak değerdir. Hukuk devleti hukuk normlarının öngörülebilir olmasını, bireylerin tüm işlem ve eylemlerinde devlete güven duyabilmesini, devletin de yasal düzenlemelerinde bu güven duygusunu zedeleyici yöntemlerden kaçınmasını gerektirir.</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6"/>
          <w:lang w:eastAsia="tr-TR"/>
        </w:rPr>
        <w:t>Öte yandan Anayasa'nın 10. maddesinin birinci fıkrasında herkesin, dil, ırk, renk, cinsiyet, siyasî düşünce, felsefî inanç, din, mezhep ve benzeri sebeplerle ayırım gözetilmeksizin kanun önünde eşit olduğu belirtilmiştir.</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6"/>
          <w:lang w:eastAsia="tr-TR"/>
        </w:rPr>
        <w:t>Anayasa'nın 10. maddesinde yer verilen eşitlik ilkesi ile eylemli değil, hukuksal eşitlik öngörülmektedir. Eşitlik ilkesinin amacı, aynı durumda bulunan kişilerin yasalarca aynı işleme bağlı tutulmalarını sağlamak ve kişilere yasalar karşısında ayırım yapılmasını ve ayrıcalık tanınmasını önlemektir. Bu ilkeyle, aynı durumda bulunan kimi kişi ve topluluklara ayrı kurallar uygulanarak yasa karşısında eşitliğin çiğnenmesi yasaklanmıştır. Durum ve konumlardaki özellikler, kimi kişiler ya da topluluklar için değişik kuralları gerekli kılabilir. Aynı hukuksal durumlar aynı, ayrı hukuksal durumlar farklı kurallara bağlı tutulursa Anayasa'nın öngördüğü eşitlik ilkesi çiğnenmiş olmaz. Nitelikleri ve durumları özdeş olanlar için yasalarla değişik kurallar konulamaz.</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C62423">
        <w:rPr>
          <w:rFonts w:ascii="Times New Roman" w:eastAsia="Times New Roman" w:hAnsi="Times New Roman" w:cs="Times New Roman"/>
          <w:color w:val="000000"/>
          <w:sz w:val="24"/>
          <w:szCs w:val="26"/>
          <w:lang w:eastAsia="tr-TR"/>
        </w:rPr>
        <w:t xml:space="preserve">Zimmet veya ihtilas suçunun işlenmesi nedeniyle açılan her soruşturma sonucunda ilgili memur hakkında dava açılamayabileceği, dava açılmış olsa bile bu davanın mahkûmiyetle sonuçlanmasının mutlak olmadığı ve beraatla sonuçlanma olasılığının da bulunduğu, davaların çok uzun sürdüğü gerçekleri göz önüne alındığında, zimmet suçunu işlediği ileri sürülen </w:t>
      </w:r>
      <w:proofErr w:type="spellStart"/>
      <w:r w:rsidRPr="00C62423">
        <w:rPr>
          <w:rFonts w:ascii="Times New Roman" w:eastAsia="Times New Roman" w:hAnsi="Times New Roman" w:cs="Times New Roman"/>
          <w:color w:val="000000"/>
          <w:sz w:val="24"/>
          <w:szCs w:val="26"/>
          <w:lang w:eastAsia="tr-TR"/>
        </w:rPr>
        <w:t>kefaletli</w:t>
      </w:r>
      <w:proofErr w:type="spellEnd"/>
      <w:r w:rsidRPr="00C62423">
        <w:rPr>
          <w:rFonts w:ascii="Times New Roman" w:eastAsia="Times New Roman" w:hAnsi="Times New Roman" w:cs="Times New Roman"/>
          <w:color w:val="000000"/>
          <w:sz w:val="24"/>
          <w:szCs w:val="26"/>
          <w:lang w:eastAsia="tr-TR"/>
        </w:rPr>
        <w:t xml:space="preserve"> memurların herhangi bir kayıt ve şart aranmaksızın hizmetten çıkarılmaları ve hizmetten çıkarıldıkları süre içerisinde her türlü maaş ve ücretten yoksun bırakılmaları, Anayasa'nın hukuk devleti ilkesine aykırılık oluşturmaktadır.</w:t>
      </w:r>
      <w:proofErr w:type="gramEnd"/>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6"/>
          <w:lang w:eastAsia="tr-TR"/>
        </w:rPr>
        <w:lastRenderedPageBreak/>
        <w:t xml:space="preserve">Kefalet Kanunu'na tabi olarak çalışan memurlar ile 657 sayılı Devlet Memurları Kanunu'na ve diğer yasalara tabi olarak çalışan devlet memurları kendilerine ödenmesi gereken ücretler bakımından aynı durumdadırlar. Başka bir anlatımla suç işlediği ileri sürülen memurların disiplin veya ceza soruşturmasının güvenli bir biçimde yürütülebilmesi için görevden geçici olarak uzaklaştırılmaları durumunda, ödenmesi gereken maaş ve ücretler bakımından aralarında herhangi bir fark yoktur. </w:t>
      </w:r>
      <w:proofErr w:type="gramStart"/>
      <w:r w:rsidRPr="00C62423">
        <w:rPr>
          <w:rFonts w:ascii="Times New Roman" w:eastAsia="Times New Roman" w:hAnsi="Times New Roman" w:cs="Times New Roman"/>
          <w:color w:val="000000"/>
          <w:sz w:val="24"/>
          <w:szCs w:val="26"/>
          <w:lang w:eastAsia="tr-TR"/>
        </w:rPr>
        <w:t>657 sayılı Devlet Memurları Kanununda bu kanuna tabi olanların disiplin veya ceza soruşturması nedeniyle hizmetten geçici olarak uzaklaştırılmaları ve bu süre içerisinde belli bir oranda ücret verilmesi öngörülürken, Kefalet Kanunu'na tabi olarak çalışan memurların zimmet suçu işlediği gerekçesi ile hizmetten çıkarılmaları ve herhangi bir biçimde kendilerine ücret verilmemesi aynı durumda olanlara farklı kuralların uygulanması sonucunu doğurduğundan Anayasa'nın eşitlik ilkesine aykırıdır.</w:t>
      </w:r>
      <w:proofErr w:type="gramEnd"/>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6"/>
          <w:lang w:eastAsia="tr-TR"/>
        </w:rPr>
        <w:t>Açıklanan nedenlerle kural Anayasa'nın 2. ve 10. maddelerine aykırı olduğundan iptali gerekir.</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6"/>
          <w:lang w:eastAsia="tr-TR"/>
        </w:rPr>
        <w:t>Kuralın Anayasa'nın 38. ve 70. maddeleriyle ilgisi görülmemiştir.</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b/>
          <w:bCs/>
          <w:color w:val="000000"/>
          <w:sz w:val="24"/>
          <w:szCs w:val="26"/>
          <w:lang w:eastAsia="tr-TR"/>
        </w:rPr>
        <w:t>VII- SONUÇ</w:t>
      </w:r>
    </w:p>
    <w:p w:rsid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6"/>
          <w:lang w:eastAsia="tr-TR"/>
        </w:rPr>
        <w:t>2.6.1934 günlü, 2489 sayılı Kefalet Kanunu'nun 6. maddesinin birinci fıkrasının birinci ve ikinci tümcelerinin Anayasa'ya aykırı olduğuna ve İPTALİNE, 17.5.2007 gününde OYBİRLİĞİYLE karar verildi.</w:t>
      </w:r>
    </w:p>
    <w:p w:rsidR="00C62423" w:rsidRPr="00C62423" w:rsidRDefault="00C62423" w:rsidP="00C6242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7"/>
          <w:lang w:eastAsia="tr-TR"/>
        </w:rPr>
        <w:t> </w:t>
      </w:r>
    </w:p>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7"/>
          <w:lang w:eastAsia="tr-TR"/>
        </w:rPr>
        <w:t> </w:t>
      </w:r>
    </w:p>
    <w:tbl>
      <w:tblPr>
        <w:tblW w:w="5000" w:type="pct"/>
        <w:jc w:val="center"/>
        <w:tblCellSpacing w:w="0" w:type="dxa"/>
        <w:tblCellMar>
          <w:top w:w="105" w:type="dxa"/>
          <w:left w:w="105" w:type="dxa"/>
          <w:bottom w:w="105" w:type="dxa"/>
          <w:right w:w="105" w:type="dxa"/>
        </w:tblCellMar>
        <w:tblLook w:val="04A0" w:firstRow="1" w:lastRow="0" w:firstColumn="1" w:lastColumn="0" w:noHBand="0" w:noVBand="1"/>
      </w:tblPr>
      <w:tblGrid>
        <w:gridCol w:w="3024"/>
        <w:gridCol w:w="3025"/>
        <w:gridCol w:w="3023"/>
      </w:tblGrid>
      <w:tr w:rsidR="00C62423" w:rsidRPr="00C62423" w:rsidTr="00C62423">
        <w:trPr>
          <w:tblCellSpacing w:w="0" w:type="dxa"/>
          <w:jc w:val="center"/>
        </w:trPr>
        <w:tc>
          <w:tcPr>
            <w:tcW w:w="1667" w:type="pct"/>
            <w:hideMark/>
          </w:tcPr>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2423">
              <w:rPr>
                <w:rFonts w:ascii="Times New Roman" w:eastAsia="Times New Roman" w:hAnsi="Times New Roman" w:cs="Times New Roman"/>
                <w:color w:val="000000"/>
                <w:sz w:val="24"/>
                <w:szCs w:val="26"/>
                <w:lang w:eastAsia="tr-TR"/>
              </w:rPr>
              <w:t>Başkan</w:t>
            </w:r>
          </w:p>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2423">
              <w:rPr>
                <w:rFonts w:ascii="Times New Roman" w:eastAsia="Times New Roman" w:hAnsi="Times New Roman" w:cs="Times New Roman"/>
                <w:color w:val="000000"/>
                <w:sz w:val="24"/>
                <w:szCs w:val="26"/>
                <w:lang w:eastAsia="tr-TR"/>
              </w:rPr>
              <w:t>Tülay TUĞCU</w:t>
            </w:r>
          </w:p>
        </w:tc>
        <w:tc>
          <w:tcPr>
            <w:tcW w:w="1667" w:type="pct"/>
            <w:hideMark/>
          </w:tcPr>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2423">
              <w:rPr>
                <w:rFonts w:ascii="Times New Roman" w:eastAsia="Times New Roman" w:hAnsi="Times New Roman" w:cs="Times New Roman"/>
                <w:color w:val="000000"/>
                <w:sz w:val="24"/>
                <w:szCs w:val="26"/>
                <w:lang w:eastAsia="tr-TR"/>
              </w:rPr>
              <w:t>Başkanvekili</w:t>
            </w:r>
          </w:p>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2423">
              <w:rPr>
                <w:rFonts w:ascii="Times New Roman" w:eastAsia="Times New Roman" w:hAnsi="Times New Roman" w:cs="Times New Roman"/>
                <w:color w:val="000000"/>
                <w:sz w:val="24"/>
                <w:szCs w:val="26"/>
                <w:lang w:eastAsia="tr-TR"/>
              </w:rPr>
              <w:t>Haşim KILIÇ</w:t>
            </w:r>
          </w:p>
        </w:tc>
        <w:tc>
          <w:tcPr>
            <w:tcW w:w="1667" w:type="pct"/>
            <w:hideMark/>
          </w:tcPr>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2423">
              <w:rPr>
                <w:rFonts w:ascii="Times New Roman" w:eastAsia="Times New Roman" w:hAnsi="Times New Roman" w:cs="Times New Roman"/>
                <w:color w:val="000000"/>
                <w:sz w:val="24"/>
                <w:szCs w:val="26"/>
                <w:lang w:eastAsia="tr-TR"/>
              </w:rPr>
              <w:t>Üye</w:t>
            </w:r>
          </w:p>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C62423">
              <w:rPr>
                <w:rFonts w:ascii="Times New Roman" w:eastAsia="Times New Roman" w:hAnsi="Times New Roman" w:cs="Times New Roman"/>
                <w:color w:val="000000"/>
                <w:sz w:val="24"/>
                <w:szCs w:val="26"/>
                <w:lang w:eastAsia="tr-TR"/>
              </w:rPr>
              <w:t>Sacit</w:t>
            </w:r>
            <w:proofErr w:type="spellEnd"/>
            <w:r w:rsidRPr="00C62423">
              <w:rPr>
                <w:rFonts w:ascii="Times New Roman" w:eastAsia="Times New Roman" w:hAnsi="Times New Roman" w:cs="Times New Roman"/>
                <w:color w:val="000000"/>
                <w:sz w:val="24"/>
                <w:szCs w:val="26"/>
                <w:lang w:eastAsia="tr-TR"/>
              </w:rPr>
              <w:t xml:space="preserve"> ADALI</w:t>
            </w:r>
          </w:p>
        </w:tc>
      </w:tr>
    </w:tbl>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7"/>
          <w:lang w:eastAsia="tr-TR"/>
        </w:rPr>
        <w:t> </w:t>
      </w:r>
    </w:p>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7"/>
          <w:lang w:eastAsia="tr-TR"/>
        </w:rPr>
        <w:t> </w:t>
      </w:r>
    </w:p>
    <w:tbl>
      <w:tblPr>
        <w:tblW w:w="5000" w:type="pct"/>
        <w:jc w:val="center"/>
        <w:tblCellSpacing w:w="0" w:type="dxa"/>
        <w:tblCellMar>
          <w:top w:w="105" w:type="dxa"/>
          <w:left w:w="105" w:type="dxa"/>
          <w:bottom w:w="105" w:type="dxa"/>
          <w:right w:w="105" w:type="dxa"/>
        </w:tblCellMar>
        <w:tblLook w:val="04A0" w:firstRow="1" w:lastRow="0" w:firstColumn="1" w:lastColumn="0" w:noHBand="0" w:noVBand="1"/>
      </w:tblPr>
      <w:tblGrid>
        <w:gridCol w:w="3024"/>
        <w:gridCol w:w="3025"/>
        <w:gridCol w:w="3023"/>
      </w:tblGrid>
      <w:tr w:rsidR="00C62423" w:rsidRPr="00C62423" w:rsidTr="00C62423">
        <w:trPr>
          <w:tblCellSpacing w:w="0" w:type="dxa"/>
          <w:jc w:val="center"/>
        </w:trPr>
        <w:tc>
          <w:tcPr>
            <w:tcW w:w="1667" w:type="pct"/>
            <w:hideMark/>
          </w:tcPr>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2423">
              <w:rPr>
                <w:rFonts w:ascii="Times New Roman" w:eastAsia="Times New Roman" w:hAnsi="Times New Roman" w:cs="Times New Roman"/>
                <w:color w:val="000000"/>
                <w:sz w:val="24"/>
                <w:szCs w:val="26"/>
                <w:lang w:eastAsia="tr-TR"/>
              </w:rPr>
              <w:t>Üye</w:t>
            </w:r>
          </w:p>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2423">
              <w:rPr>
                <w:rFonts w:ascii="Times New Roman" w:eastAsia="Times New Roman" w:hAnsi="Times New Roman" w:cs="Times New Roman"/>
                <w:color w:val="000000"/>
                <w:sz w:val="24"/>
                <w:szCs w:val="26"/>
                <w:lang w:eastAsia="tr-TR"/>
              </w:rPr>
              <w:t>Fulya KANTARCIOĞLU</w:t>
            </w:r>
          </w:p>
        </w:tc>
        <w:tc>
          <w:tcPr>
            <w:tcW w:w="1667" w:type="pct"/>
            <w:hideMark/>
          </w:tcPr>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2423">
              <w:rPr>
                <w:rFonts w:ascii="Times New Roman" w:eastAsia="Times New Roman" w:hAnsi="Times New Roman" w:cs="Times New Roman"/>
                <w:color w:val="000000"/>
                <w:sz w:val="24"/>
                <w:szCs w:val="26"/>
                <w:lang w:eastAsia="tr-TR"/>
              </w:rPr>
              <w:t>Üye</w:t>
            </w:r>
          </w:p>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2423">
              <w:rPr>
                <w:rFonts w:ascii="Times New Roman" w:eastAsia="Times New Roman" w:hAnsi="Times New Roman" w:cs="Times New Roman"/>
                <w:color w:val="000000"/>
                <w:sz w:val="24"/>
                <w:szCs w:val="26"/>
                <w:lang w:eastAsia="tr-TR"/>
              </w:rPr>
              <w:t>Ahmet AKYALÇIN</w:t>
            </w:r>
          </w:p>
        </w:tc>
        <w:tc>
          <w:tcPr>
            <w:tcW w:w="1667" w:type="pct"/>
            <w:hideMark/>
          </w:tcPr>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2423">
              <w:rPr>
                <w:rFonts w:ascii="Times New Roman" w:eastAsia="Times New Roman" w:hAnsi="Times New Roman" w:cs="Times New Roman"/>
                <w:color w:val="000000"/>
                <w:sz w:val="24"/>
                <w:szCs w:val="26"/>
                <w:lang w:eastAsia="tr-TR"/>
              </w:rPr>
              <w:t>Üye</w:t>
            </w:r>
          </w:p>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2423">
              <w:rPr>
                <w:rFonts w:ascii="Times New Roman" w:eastAsia="Times New Roman" w:hAnsi="Times New Roman" w:cs="Times New Roman"/>
                <w:color w:val="000000"/>
                <w:sz w:val="24"/>
                <w:szCs w:val="26"/>
                <w:lang w:eastAsia="tr-TR"/>
              </w:rPr>
              <w:t>Mehmet ERTEN</w:t>
            </w:r>
          </w:p>
        </w:tc>
      </w:tr>
    </w:tbl>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7"/>
          <w:lang w:eastAsia="tr-TR"/>
        </w:rPr>
        <w:t> </w:t>
      </w:r>
    </w:p>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7"/>
          <w:lang w:eastAsia="tr-TR"/>
        </w:rPr>
        <w:t> </w:t>
      </w:r>
    </w:p>
    <w:tbl>
      <w:tblPr>
        <w:tblW w:w="5000" w:type="pct"/>
        <w:jc w:val="center"/>
        <w:tblCellSpacing w:w="0" w:type="dxa"/>
        <w:tblCellMar>
          <w:top w:w="105" w:type="dxa"/>
          <w:left w:w="105" w:type="dxa"/>
          <w:bottom w:w="105" w:type="dxa"/>
          <w:right w:w="105" w:type="dxa"/>
        </w:tblCellMar>
        <w:tblLook w:val="04A0" w:firstRow="1" w:lastRow="0" w:firstColumn="1" w:lastColumn="0" w:noHBand="0" w:noVBand="1"/>
      </w:tblPr>
      <w:tblGrid>
        <w:gridCol w:w="3024"/>
        <w:gridCol w:w="3025"/>
        <w:gridCol w:w="3023"/>
      </w:tblGrid>
      <w:tr w:rsidR="00C62423" w:rsidRPr="00C62423" w:rsidTr="00C62423">
        <w:trPr>
          <w:tblCellSpacing w:w="0" w:type="dxa"/>
          <w:jc w:val="center"/>
        </w:trPr>
        <w:tc>
          <w:tcPr>
            <w:tcW w:w="1667" w:type="pct"/>
            <w:hideMark/>
          </w:tcPr>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2423">
              <w:rPr>
                <w:rFonts w:ascii="Times New Roman" w:eastAsia="Times New Roman" w:hAnsi="Times New Roman" w:cs="Times New Roman"/>
                <w:color w:val="000000"/>
                <w:sz w:val="24"/>
                <w:szCs w:val="26"/>
                <w:lang w:eastAsia="tr-TR"/>
              </w:rPr>
              <w:t>Üye</w:t>
            </w:r>
          </w:p>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2423">
              <w:rPr>
                <w:rFonts w:ascii="Times New Roman" w:eastAsia="Times New Roman" w:hAnsi="Times New Roman" w:cs="Times New Roman"/>
                <w:color w:val="000000"/>
                <w:sz w:val="24"/>
                <w:szCs w:val="26"/>
                <w:lang w:eastAsia="tr-TR"/>
              </w:rPr>
              <w:t>Mustafa YILDIRIM</w:t>
            </w:r>
          </w:p>
        </w:tc>
        <w:tc>
          <w:tcPr>
            <w:tcW w:w="1667" w:type="pct"/>
            <w:hideMark/>
          </w:tcPr>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2423">
              <w:rPr>
                <w:rFonts w:ascii="Times New Roman" w:eastAsia="Times New Roman" w:hAnsi="Times New Roman" w:cs="Times New Roman"/>
                <w:color w:val="000000"/>
                <w:sz w:val="24"/>
                <w:szCs w:val="26"/>
                <w:lang w:eastAsia="tr-TR"/>
              </w:rPr>
              <w:t>Üye</w:t>
            </w:r>
          </w:p>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2423">
              <w:rPr>
                <w:rFonts w:ascii="Times New Roman" w:eastAsia="Times New Roman" w:hAnsi="Times New Roman" w:cs="Times New Roman"/>
                <w:color w:val="000000"/>
                <w:sz w:val="24"/>
                <w:szCs w:val="26"/>
                <w:lang w:eastAsia="tr-TR"/>
              </w:rPr>
              <w:t>A. Necmi ÖZLER</w:t>
            </w:r>
          </w:p>
        </w:tc>
        <w:tc>
          <w:tcPr>
            <w:tcW w:w="1667" w:type="pct"/>
            <w:hideMark/>
          </w:tcPr>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2423">
              <w:rPr>
                <w:rFonts w:ascii="Times New Roman" w:eastAsia="Times New Roman" w:hAnsi="Times New Roman" w:cs="Times New Roman"/>
                <w:color w:val="000000"/>
                <w:sz w:val="24"/>
                <w:szCs w:val="26"/>
                <w:lang w:eastAsia="tr-TR"/>
              </w:rPr>
              <w:t>Üye</w:t>
            </w:r>
          </w:p>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2423">
              <w:rPr>
                <w:rFonts w:ascii="Times New Roman" w:eastAsia="Times New Roman" w:hAnsi="Times New Roman" w:cs="Times New Roman"/>
                <w:color w:val="000000"/>
                <w:sz w:val="24"/>
                <w:szCs w:val="26"/>
                <w:lang w:eastAsia="tr-TR"/>
              </w:rPr>
              <w:t>Şevket APALAK</w:t>
            </w:r>
          </w:p>
        </w:tc>
      </w:tr>
    </w:tbl>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7"/>
          <w:lang w:eastAsia="tr-TR"/>
        </w:rPr>
        <w:t> </w:t>
      </w:r>
    </w:p>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7"/>
          <w:lang w:eastAsia="tr-TR"/>
        </w:rPr>
        <w:lastRenderedPageBreak/>
        <w:t> </w:t>
      </w:r>
    </w:p>
    <w:tbl>
      <w:tblPr>
        <w:tblW w:w="5000" w:type="pct"/>
        <w:jc w:val="center"/>
        <w:tblCellSpacing w:w="0" w:type="dxa"/>
        <w:tblCellMar>
          <w:top w:w="105" w:type="dxa"/>
          <w:left w:w="105" w:type="dxa"/>
          <w:bottom w:w="105" w:type="dxa"/>
          <w:right w:w="105" w:type="dxa"/>
        </w:tblCellMar>
        <w:tblLook w:val="04A0" w:firstRow="1" w:lastRow="0" w:firstColumn="1" w:lastColumn="0" w:noHBand="0" w:noVBand="1"/>
      </w:tblPr>
      <w:tblGrid>
        <w:gridCol w:w="4536"/>
        <w:gridCol w:w="4536"/>
      </w:tblGrid>
      <w:tr w:rsidR="00C62423" w:rsidRPr="00C62423" w:rsidTr="00C62423">
        <w:trPr>
          <w:tblCellSpacing w:w="0" w:type="dxa"/>
          <w:jc w:val="center"/>
        </w:trPr>
        <w:tc>
          <w:tcPr>
            <w:tcW w:w="2500" w:type="pct"/>
            <w:hideMark/>
          </w:tcPr>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bookmarkStart w:id="0" w:name="_GoBack"/>
            <w:r w:rsidRPr="00C62423">
              <w:rPr>
                <w:rFonts w:ascii="Times New Roman" w:eastAsia="Times New Roman" w:hAnsi="Times New Roman" w:cs="Times New Roman"/>
                <w:color w:val="000000"/>
                <w:sz w:val="24"/>
                <w:szCs w:val="26"/>
                <w:lang w:eastAsia="tr-TR"/>
              </w:rPr>
              <w:t>Üye</w:t>
            </w:r>
          </w:p>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C62423">
              <w:rPr>
                <w:rFonts w:ascii="Times New Roman" w:eastAsia="Times New Roman" w:hAnsi="Times New Roman" w:cs="Times New Roman"/>
                <w:color w:val="000000"/>
                <w:sz w:val="24"/>
                <w:szCs w:val="26"/>
                <w:lang w:eastAsia="tr-TR"/>
              </w:rPr>
              <w:t>Serruh</w:t>
            </w:r>
            <w:proofErr w:type="spellEnd"/>
            <w:r w:rsidRPr="00C62423">
              <w:rPr>
                <w:rFonts w:ascii="Times New Roman" w:eastAsia="Times New Roman" w:hAnsi="Times New Roman" w:cs="Times New Roman"/>
                <w:color w:val="000000"/>
                <w:sz w:val="24"/>
                <w:szCs w:val="26"/>
                <w:lang w:eastAsia="tr-TR"/>
              </w:rPr>
              <w:t xml:space="preserve"> KALELİ</w:t>
            </w:r>
          </w:p>
        </w:tc>
        <w:tc>
          <w:tcPr>
            <w:tcW w:w="2500" w:type="pct"/>
            <w:hideMark/>
          </w:tcPr>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2423">
              <w:rPr>
                <w:rFonts w:ascii="Times New Roman" w:eastAsia="Times New Roman" w:hAnsi="Times New Roman" w:cs="Times New Roman"/>
                <w:color w:val="000000"/>
                <w:sz w:val="24"/>
                <w:szCs w:val="26"/>
                <w:lang w:eastAsia="tr-TR"/>
              </w:rPr>
              <w:t>Üye</w:t>
            </w:r>
          </w:p>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C62423">
              <w:rPr>
                <w:rFonts w:ascii="Times New Roman" w:eastAsia="Times New Roman" w:hAnsi="Times New Roman" w:cs="Times New Roman"/>
                <w:color w:val="000000"/>
                <w:sz w:val="24"/>
                <w:szCs w:val="26"/>
                <w:lang w:eastAsia="tr-TR"/>
              </w:rPr>
              <w:t xml:space="preserve">Osman </w:t>
            </w:r>
            <w:proofErr w:type="spellStart"/>
            <w:r w:rsidRPr="00C62423">
              <w:rPr>
                <w:rFonts w:ascii="Times New Roman" w:eastAsia="Times New Roman" w:hAnsi="Times New Roman" w:cs="Times New Roman"/>
                <w:color w:val="000000"/>
                <w:sz w:val="24"/>
                <w:szCs w:val="26"/>
                <w:lang w:eastAsia="tr-TR"/>
              </w:rPr>
              <w:t>Alifeyyaz</w:t>
            </w:r>
            <w:proofErr w:type="spellEnd"/>
            <w:r w:rsidRPr="00C62423">
              <w:rPr>
                <w:rFonts w:ascii="Times New Roman" w:eastAsia="Times New Roman" w:hAnsi="Times New Roman" w:cs="Times New Roman"/>
                <w:color w:val="000000"/>
                <w:sz w:val="24"/>
                <w:szCs w:val="26"/>
                <w:lang w:eastAsia="tr-TR"/>
              </w:rPr>
              <w:t xml:space="preserve"> PAKSÜT</w:t>
            </w:r>
          </w:p>
        </w:tc>
      </w:tr>
    </w:tbl>
    <w:bookmarkEnd w:id="0"/>
    <w:p w:rsidR="00C62423" w:rsidRPr="00C62423" w:rsidRDefault="00C62423" w:rsidP="00C62423">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C62423">
        <w:rPr>
          <w:rFonts w:ascii="Times New Roman" w:eastAsia="Times New Roman" w:hAnsi="Times New Roman" w:cs="Times New Roman"/>
          <w:color w:val="000000"/>
          <w:sz w:val="24"/>
          <w:szCs w:val="27"/>
          <w:lang w:eastAsia="tr-TR"/>
        </w:rPr>
        <w:t> </w:t>
      </w:r>
    </w:p>
    <w:p w:rsidR="00CE1FB9" w:rsidRPr="00C62423" w:rsidRDefault="00CE1FB9" w:rsidP="00C62423">
      <w:pPr>
        <w:spacing w:before="100" w:beforeAutospacing="1" w:after="100" w:afterAutospacing="1" w:line="240" w:lineRule="auto"/>
        <w:ind w:firstLine="709"/>
        <w:jc w:val="both"/>
        <w:rPr>
          <w:rFonts w:ascii="Times New Roman" w:hAnsi="Times New Roman" w:cs="Times New Roman"/>
          <w:sz w:val="24"/>
        </w:rPr>
      </w:pPr>
    </w:p>
    <w:sectPr w:rsidR="00CE1FB9" w:rsidRPr="00C62423" w:rsidSect="00C62423">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07ACE" w:rsidRDefault="00907ACE" w:rsidP="00C62423">
      <w:pPr>
        <w:spacing w:after="0" w:line="240" w:lineRule="auto"/>
      </w:pPr>
      <w:r>
        <w:separator/>
      </w:r>
    </w:p>
  </w:endnote>
  <w:endnote w:type="continuationSeparator" w:id="0">
    <w:p w:rsidR="00907ACE" w:rsidRDefault="00907ACE" w:rsidP="00C624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2423" w:rsidRDefault="00C62423" w:rsidP="00325C2E">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C62423" w:rsidRDefault="00C62423" w:rsidP="00C62423">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2423" w:rsidRPr="00C62423" w:rsidRDefault="00C62423" w:rsidP="00325C2E">
    <w:pPr>
      <w:pStyle w:val="Altbilgi"/>
      <w:framePr w:wrap="around" w:vAnchor="text" w:hAnchor="margin" w:xAlign="right" w:y="1"/>
      <w:rPr>
        <w:rStyle w:val="SayfaNumaras"/>
        <w:rFonts w:ascii="Times New Roman" w:hAnsi="Times New Roman" w:cs="Times New Roman"/>
      </w:rPr>
    </w:pPr>
    <w:r w:rsidRPr="00C62423">
      <w:rPr>
        <w:rStyle w:val="SayfaNumaras"/>
        <w:rFonts w:ascii="Times New Roman" w:hAnsi="Times New Roman" w:cs="Times New Roman"/>
      </w:rPr>
      <w:fldChar w:fldCharType="begin"/>
    </w:r>
    <w:r w:rsidRPr="00C62423">
      <w:rPr>
        <w:rStyle w:val="SayfaNumaras"/>
        <w:rFonts w:ascii="Times New Roman" w:hAnsi="Times New Roman" w:cs="Times New Roman"/>
      </w:rPr>
      <w:instrText xml:space="preserve">PAGE  </w:instrText>
    </w:r>
    <w:r w:rsidRPr="00C62423">
      <w:rPr>
        <w:rStyle w:val="SayfaNumaras"/>
        <w:rFonts w:ascii="Times New Roman" w:hAnsi="Times New Roman" w:cs="Times New Roman"/>
      </w:rPr>
      <w:fldChar w:fldCharType="separate"/>
    </w:r>
    <w:r>
      <w:rPr>
        <w:rStyle w:val="SayfaNumaras"/>
        <w:rFonts w:ascii="Times New Roman" w:hAnsi="Times New Roman" w:cs="Times New Roman"/>
        <w:noProof/>
      </w:rPr>
      <w:t>5</w:t>
    </w:r>
    <w:r w:rsidRPr="00C62423">
      <w:rPr>
        <w:rStyle w:val="SayfaNumaras"/>
        <w:rFonts w:ascii="Times New Roman" w:hAnsi="Times New Roman" w:cs="Times New Roman"/>
      </w:rPr>
      <w:fldChar w:fldCharType="end"/>
    </w:r>
  </w:p>
  <w:p w:rsidR="00C62423" w:rsidRPr="00C62423" w:rsidRDefault="00C62423" w:rsidP="00C62423">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2423" w:rsidRDefault="00C62423">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07ACE" w:rsidRDefault="00907ACE" w:rsidP="00C62423">
      <w:pPr>
        <w:spacing w:after="0" w:line="240" w:lineRule="auto"/>
      </w:pPr>
      <w:r>
        <w:separator/>
      </w:r>
    </w:p>
  </w:footnote>
  <w:footnote w:type="continuationSeparator" w:id="0">
    <w:p w:rsidR="00907ACE" w:rsidRDefault="00907ACE" w:rsidP="00C6242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2423" w:rsidRDefault="00C62423">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2423" w:rsidRDefault="00C62423">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2004</w:t>
    </w:r>
    <w:proofErr w:type="gramEnd"/>
    <w:r>
      <w:rPr>
        <w:rFonts w:ascii="Times New Roman" w:hAnsi="Times New Roman" w:cs="Times New Roman"/>
        <w:b/>
      </w:rPr>
      <w:t>/17</w:t>
    </w:r>
  </w:p>
  <w:p w:rsidR="00C62423" w:rsidRDefault="00C62423">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2007</w:t>
    </w:r>
    <w:proofErr w:type="gramEnd"/>
    <w:r>
      <w:rPr>
        <w:rFonts w:ascii="Times New Roman" w:hAnsi="Times New Roman" w:cs="Times New Roman"/>
        <w:b/>
      </w:rPr>
      <w:t>/59</w:t>
    </w:r>
  </w:p>
  <w:p w:rsidR="00C62423" w:rsidRPr="00C62423" w:rsidRDefault="00C62423">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2423" w:rsidRDefault="00C62423">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6724"/>
    <w:rsid w:val="00907ACE"/>
    <w:rsid w:val="00BA6724"/>
    <w:rsid w:val="00C62423"/>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2933EC3-F8B4-494B-AB80-366927AB6C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C62423"/>
    <w:rPr>
      <w:color w:val="0000FF"/>
      <w:u w:val="single"/>
    </w:rPr>
  </w:style>
  <w:style w:type="paragraph" w:styleId="NormalWeb">
    <w:name w:val="Normal (Web)"/>
    <w:basedOn w:val="Normal"/>
    <w:uiPriority w:val="99"/>
    <w:semiHidden/>
    <w:unhideWhenUsed/>
    <w:rsid w:val="00C6242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western">
    <w:name w:val="western"/>
    <w:basedOn w:val="Normal"/>
    <w:rsid w:val="00C6242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C6242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C62423"/>
  </w:style>
  <w:style w:type="paragraph" w:styleId="Altbilgi">
    <w:name w:val="footer"/>
    <w:basedOn w:val="Normal"/>
    <w:link w:val="AltbilgiChar"/>
    <w:uiPriority w:val="99"/>
    <w:unhideWhenUsed/>
    <w:rsid w:val="00C6242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C62423"/>
  </w:style>
  <w:style w:type="character" w:styleId="SayfaNumaras">
    <w:name w:val="page number"/>
    <w:basedOn w:val="VarsaylanParagrafYazTipi"/>
    <w:uiPriority w:val="99"/>
    <w:semiHidden/>
    <w:unhideWhenUsed/>
    <w:rsid w:val="00C624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2724145">
      <w:bodyDiv w:val="1"/>
      <w:marLeft w:val="0"/>
      <w:marRight w:val="0"/>
      <w:marTop w:val="0"/>
      <w:marBottom w:val="0"/>
      <w:divBdr>
        <w:top w:val="none" w:sz="0" w:space="0" w:color="auto"/>
        <w:left w:val="none" w:sz="0" w:space="0" w:color="auto"/>
        <w:bottom w:val="none" w:sz="0" w:space="0" w:color="auto"/>
        <w:right w:val="none" w:sz="0" w:space="0" w:color="auto"/>
      </w:divBdr>
      <w:divsChild>
        <w:div w:id="14169777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1526</Words>
  <Characters>8701</Characters>
  <Application>Microsoft Office Word</Application>
  <DocSecurity>0</DocSecurity>
  <Lines>72</Lines>
  <Paragraphs>20</Paragraphs>
  <ScaleCrop>false</ScaleCrop>
  <Company/>
  <LinksUpToDate>false</LinksUpToDate>
  <CharactersWithSpaces>10207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2019-01-23T05:51:00Z</dcterms:created>
  <dcterms:modified xsi:type="dcterms:W3CDTF">2019-01-23T05:52:00Z</dcterms:modified>
</cp:coreProperties>
</file>