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b/>
          <w:bCs/>
          <w:color w:val="000000"/>
          <w:sz w:val="24"/>
          <w:szCs w:val="26"/>
          <w:lang w:eastAsia="tr-TR"/>
        </w:rPr>
        <w:t>ANAYASA MAHKEMESİ KARARI</w:t>
      </w:r>
    </w:p>
    <w:p w:rsidR="00DF0630" w:rsidRP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0"/>
          <w:lang w:eastAsia="tr-TR"/>
        </w:rPr>
        <w:t> </w:t>
      </w:r>
    </w:p>
    <w:p w:rsidR="00DF0630" w:rsidRPr="00DF0630" w:rsidRDefault="00DF0630" w:rsidP="00DF0630">
      <w:pPr>
        <w:spacing w:after="0" w:line="240" w:lineRule="auto"/>
        <w:jc w:val="both"/>
        <w:rPr>
          <w:rFonts w:ascii="Times New Roman" w:eastAsia="Times New Roman" w:hAnsi="Times New Roman" w:cs="Times New Roman"/>
          <w:b/>
          <w:color w:val="000000"/>
          <w:sz w:val="24"/>
          <w:szCs w:val="20"/>
          <w:lang w:eastAsia="tr-TR"/>
        </w:rPr>
      </w:pPr>
      <w:r w:rsidRPr="00DF0630">
        <w:rPr>
          <w:rFonts w:ascii="Times New Roman" w:eastAsia="Times New Roman" w:hAnsi="Times New Roman" w:cs="Times New Roman"/>
          <w:b/>
          <w:bCs/>
          <w:color w:val="000000"/>
          <w:sz w:val="24"/>
          <w:szCs w:val="26"/>
          <w:lang w:eastAsia="tr-TR"/>
        </w:rPr>
        <w:t>Esas Sayısı : 2005/125</w:t>
      </w:r>
    </w:p>
    <w:p w:rsidR="00DF0630" w:rsidRPr="00DF0630" w:rsidRDefault="00DF0630" w:rsidP="00DF0630">
      <w:pPr>
        <w:spacing w:after="0" w:line="240" w:lineRule="auto"/>
        <w:jc w:val="both"/>
        <w:rPr>
          <w:rFonts w:ascii="Times New Roman" w:eastAsia="Times New Roman" w:hAnsi="Times New Roman" w:cs="Times New Roman"/>
          <w:b/>
          <w:color w:val="000000"/>
          <w:sz w:val="24"/>
          <w:szCs w:val="20"/>
          <w:lang w:eastAsia="tr-TR"/>
        </w:rPr>
      </w:pPr>
      <w:r w:rsidRPr="00DF0630">
        <w:rPr>
          <w:rFonts w:ascii="Times New Roman" w:eastAsia="Times New Roman" w:hAnsi="Times New Roman" w:cs="Times New Roman"/>
          <w:b/>
          <w:bCs/>
          <w:color w:val="000000"/>
          <w:sz w:val="24"/>
          <w:szCs w:val="26"/>
          <w:lang w:eastAsia="tr-TR"/>
        </w:rPr>
        <w:t>Karar Sayısı : 2005/74</w:t>
      </w:r>
    </w:p>
    <w:p w:rsidR="00DF0630" w:rsidRPr="00DF0630" w:rsidRDefault="00DF0630" w:rsidP="00DF0630">
      <w:pPr>
        <w:spacing w:after="0" w:line="240" w:lineRule="auto"/>
        <w:jc w:val="both"/>
        <w:rPr>
          <w:rFonts w:ascii="Times New Roman" w:eastAsia="Times New Roman" w:hAnsi="Times New Roman" w:cs="Times New Roman"/>
          <w:b/>
          <w:color w:val="000000"/>
          <w:sz w:val="24"/>
          <w:szCs w:val="20"/>
          <w:lang w:eastAsia="tr-TR"/>
        </w:rPr>
      </w:pPr>
      <w:r w:rsidRPr="00DF0630">
        <w:rPr>
          <w:rFonts w:ascii="Times New Roman" w:eastAsia="Times New Roman" w:hAnsi="Times New Roman" w:cs="Times New Roman"/>
          <w:b/>
          <w:bCs/>
          <w:color w:val="000000"/>
          <w:sz w:val="24"/>
          <w:szCs w:val="26"/>
          <w:lang w:eastAsia="tr-TR"/>
        </w:rPr>
        <w:t>Karar Günü : 10.11.2005</w:t>
      </w:r>
    </w:p>
    <w:p w:rsidR="00DF0630" w:rsidRDefault="00DF0630" w:rsidP="00DF0630">
      <w:pPr>
        <w:spacing w:after="0" w:line="240" w:lineRule="auto"/>
        <w:jc w:val="both"/>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b/>
          <w:bCs/>
          <w:color w:val="000000"/>
          <w:sz w:val="24"/>
          <w:szCs w:val="26"/>
          <w:lang w:eastAsia="tr-TR"/>
        </w:rPr>
        <w:t>Resmi Gazete Tarih-Sayısı : 07.02.2006 - 26073</w:t>
      </w:r>
    </w:p>
    <w:p w:rsidR="00DF0630" w:rsidRP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0"/>
          <w:lang w:eastAsia="tr-TR"/>
        </w:rPr>
        <w:t> </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DF0630">
        <w:rPr>
          <w:rFonts w:ascii="Times New Roman" w:eastAsia="Times New Roman" w:hAnsi="Times New Roman" w:cs="Times New Roman"/>
          <w:b/>
          <w:bCs/>
          <w:color w:val="000000"/>
          <w:sz w:val="24"/>
          <w:szCs w:val="26"/>
          <w:lang w:eastAsia="tr-TR"/>
        </w:rPr>
        <w:t>İTİRAZ YOLUNA BAŞVURAN :</w:t>
      </w:r>
      <w:r w:rsidRPr="00DF0630">
        <w:rPr>
          <w:rFonts w:ascii="Times New Roman" w:eastAsia="Times New Roman" w:hAnsi="Times New Roman" w:cs="Times New Roman"/>
          <w:color w:val="000000"/>
          <w:sz w:val="24"/>
          <w:szCs w:val="26"/>
          <w:lang w:eastAsia="tr-TR"/>
        </w:rPr>
        <w:t> Danıştay Onuncu Daire</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DF0630">
        <w:rPr>
          <w:rFonts w:ascii="Times New Roman" w:eastAsia="Times New Roman" w:hAnsi="Times New Roman" w:cs="Times New Roman"/>
          <w:b/>
          <w:bCs/>
          <w:color w:val="000000"/>
          <w:sz w:val="24"/>
          <w:szCs w:val="26"/>
          <w:lang w:eastAsia="tr-TR"/>
        </w:rPr>
        <w:t>İTİRAZIN KONUSU :</w:t>
      </w:r>
      <w:r w:rsidRPr="00DF0630">
        <w:rPr>
          <w:rFonts w:ascii="Times New Roman" w:eastAsia="Times New Roman" w:hAnsi="Times New Roman" w:cs="Times New Roman"/>
          <w:color w:val="000000"/>
          <w:sz w:val="24"/>
          <w:szCs w:val="26"/>
          <w:lang w:eastAsia="tr-TR"/>
        </w:rPr>
        <w:t> 24.12.2003 günlü, 5027 sayılı 2004 Malî Yılı Bütçe Kanunu'nun 29. maddesinin (b) fıkrasının, Anayasa'nın 87., 88., 161. ve 162. maddelerine aykırılığı savıyla iptali istemidir.</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DF0630">
        <w:rPr>
          <w:rFonts w:ascii="Times New Roman" w:eastAsia="Times New Roman" w:hAnsi="Times New Roman" w:cs="Times New Roman"/>
          <w:b/>
          <w:bCs/>
          <w:color w:val="000000"/>
          <w:sz w:val="24"/>
          <w:szCs w:val="26"/>
          <w:lang w:eastAsia="tr-TR"/>
        </w:rPr>
        <w:t>I- OLAY</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Davacının, T.C. Devlet Demiryolları İşletmesi Genel Müdürlüğü Taşınmaz İhale Yönetmeliği ile T.C. Devlet Demiryolları İşletmesi Genel Müdürlüğü Ana Statüsünü değiştiren Yüksek Planlama Kurulu kararının iptali istemiyle açılan davada, itiraz konusu kuralın Anayasa'ya aykırı olduğu kanısına varan Danıştay Onuncu Dairesi iptali için başvurmuştur.</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0630">
        <w:rPr>
          <w:rFonts w:ascii="Times New Roman" w:eastAsia="Times New Roman" w:hAnsi="Times New Roman" w:cs="Times New Roman"/>
          <w:b/>
          <w:bCs/>
          <w:color w:val="000000"/>
          <w:sz w:val="24"/>
          <w:szCs w:val="26"/>
          <w:lang w:eastAsia="tr-TR"/>
        </w:rPr>
        <w:t>III- YASA METİNLERİ</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0630">
        <w:rPr>
          <w:rFonts w:ascii="Times New Roman" w:eastAsia="Times New Roman" w:hAnsi="Times New Roman" w:cs="Times New Roman"/>
          <w:b/>
          <w:bCs/>
          <w:color w:val="000000"/>
          <w:sz w:val="24"/>
          <w:szCs w:val="26"/>
          <w:lang w:eastAsia="tr-TR"/>
        </w:rPr>
        <w:t>A- İtiraz Konusu Yasa Kuralı</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5027 sayılı 2004 Malî Yılı Bütçe Kanunu'nun 29. maddesinin itiraz konusu (b) fıkrası şöyledir:</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“b) T.C. Devlet Demiryolları İşletmesi Genel Müdürlüğü mülkiyetindeki işletmecilik fazlası taşınmazların satılarak veya devredilerek bedellerinin yeni demiryolu inşaatı ve mevcut demiryollarının bakım ve onarımı ile iyileştirilmesinde kullanılması kaydıyla, taşınmazların satış veya devrine T.C. Devlet Demiryolları Yönetim Kurulu yetkilidir.”</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b/>
          <w:bCs/>
          <w:color w:val="000000"/>
          <w:sz w:val="24"/>
          <w:szCs w:val="26"/>
          <w:lang w:eastAsia="tr-TR"/>
        </w:rPr>
        <w:t>B- Dayanılan Anayasa Kuralları</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0630">
        <w:rPr>
          <w:rFonts w:ascii="Times New Roman" w:eastAsia="Times New Roman" w:hAnsi="Times New Roman" w:cs="Times New Roman"/>
          <w:color w:val="000000"/>
          <w:sz w:val="24"/>
          <w:szCs w:val="26"/>
          <w:lang w:eastAsia="tr-TR"/>
        </w:rPr>
        <w:t>Başvuru kararında itiraz konusu kuralın Anayasa'nın 87., 88., 161. ve 162. maddelerine aykırı olduğu ileri sürülmüştür.</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0630">
        <w:rPr>
          <w:rFonts w:ascii="Times New Roman" w:eastAsia="Times New Roman" w:hAnsi="Times New Roman" w:cs="Times New Roman"/>
          <w:b/>
          <w:bCs/>
          <w:color w:val="000000"/>
          <w:sz w:val="24"/>
          <w:szCs w:val="26"/>
          <w:lang w:eastAsia="tr-TR"/>
        </w:rPr>
        <w:t>IV- İLK İNCELEME</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0630">
        <w:rPr>
          <w:rFonts w:ascii="Times New Roman" w:eastAsia="Times New Roman" w:hAnsi="Times New Roman" w:cs="Times New Roman"/>
          <w:color w:val="000000"/>
          <w:sz w:val="24"/>
          <w:szCs w:val="26"/>
          <w:lang w:eastAsia="tr-TR"/>
        </w:rPr>
        <w:t>Anayasa Mahkemesi İçtüzüğü'nün 8. maddesi uyarınca, Tülay TUĞCU, Haşim KILIÇ, Sacit ADALI, Fulya KANTARCIOĞLU, Ahmet AKYALÇIN, Mehmet ERTEN, Cafer ŞAT, A.Necmi ÖZLER, Şevket APALAK, Serruh KALELİ ve Osman Alifeyyaz PAKSÜT'ün katılımlarıyla 10.11.2005 gününde yapılan ilk inceleme toplantısında, dosyada eksiklik bulunmadığından işin esasının incelenmesine oybirliğiyle karar verilmiştir.</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0630">
        <w:rPr>
          <w:rFonts w:ascii="Times New Roman" w:eastAsia="Times New Roman" w:hAnsi="Times New Roman" w:cs="Times New Roman"/>
          <w:b/>
          <w:bCs/>
          <w:color w:val="000000"/>
          <w:sz w:val="24"/>
          <w:szCs w:val="26"/>
          <w:lang w:eastAsia="tr-TR"/>
        </w:rPr>
        <w:t>V- ESASIN İNCELENMESİ</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0630">
        <w:rPr>
          <w:rFonts w:ascii="Times New Roman" w:eastAsia="Times New Roman" w:hAnsi="Times New Roman" w:cs="Times New Roman"/>
          <w:color w:val="000000"/>
          <w:sz w:val="24"/>
          <w:szCs w:val="26"/>
          <w:lang w:eastAsia="tr-TR"/>
        </w:rPr>
        <w:lastRenderedPageBreak/>
        <w:t>Başvuru kararı ve ekleri, itiraz konusu Yasa kuralı, dayanılan Anayasa kuralları ve bunların gerekçeleri ile diğer yasama belgeleri okunup incelendikten sonra gereği görüşülüp düşünüldü:</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0630">
        <w:rPr>
          <w:rFonts w:ascii="Times New Roman" w:eastAsia="Times New Roman" w:hAnsi="Times New Roman" w:cs="Times New Roman"/>
          <w:color w:val="000000"/>
          <w:sz w:val="24"/>
          <w:szCs w:val="26"/>
          <w:lang w:eastAsia="tr-TR"/>
        </w:rPr>
        <w:t>Başvuru kararında, bütçe yasalarının görüşülme usul ve esaslarının diğer yasalardan ayrı olarak Anayasa'da gösterildiği, bütçe yasalarına bütçeyle ilgili olmayan hiçbir hüküm konulamayacağı, bu nedenle 2004 Malî Yılı Bütçe Kanunu'nun 29. maddesinin (b) fıkrasının iptal edilmesi gerektiği ileri sürülmüştür.</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0630">
        <w:rPr>
          <w:rFonts w:ascii="Times New Roman" w:eastAsia="Times New Roman" w:hAnsi="Times New Roman" w:cs="Times New Roman"/>
          <w:color w:val="000000"/>
          <w:sz w:val="24"/>
          <w:szCs w:val="26"/>
          <w:lang w:eastAsia="tr-TR"/>
        </w:rPr>
        <w:t>2004 Malî Yılı Bütçe Kanunu'nun 29. maddesinin (b) fıkrasında, satış veya devir bedellerinin yeni demiryolu inşaatı ve mevcut demiryollarının bakım ve onarımı ile iyileştirilmesinde kullanılması kaydıyla T.C. Devlet Demiryolları İşletmesi Genel Müdürlüğü mülkiyetindeki işletmecilik fazlası taşınmazların satışı ve devri konularında T.C. Devlet Demiryolları Yönetim Kurulunun yetkili olduğu öngörülmektedir.</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0630">
        <w:rPr>
          <w:rFonts w:ascii="Times New Roman" w:eastAsia="Times New Roman" w:hAnsi="Times New Roman" w:cs="Times New Roman"/>
          <w:color w:val="000000"/>
          <w:sz w:val="24"/>
          <w:szCs w:val="26"/>
          <w:lang w:eastAsia="tr-TR"/>
        </w:rPr>
        <w:t>Anayasa'nın 87. maddesinde Türkiye Büyük Millet Meclisi'nin görev ve yetkileri yasa koymak, değiştirmek ve kaldırmak yanında bütçe yasa tasarısını görüşmek ve kabul etmek olarak belirtilmiştir. Bütçe yasalarıyla diğer yasalar arasında yapılan bu ayrım karşısında, herhangi bir yasa ile düzenlenmesi gereken bir konunun bütçe yasası ile düzenlenmesine veya herhangi bir yasada yer alan hükmün bütçe yasaları ile değiştirilmesine ve kaldırılmasına olanak yoktur.</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0630">
        <w:rPr>
          <w:rFonts w:ascii="Times New Roman" w:eastAsia="Times New Roman" w:hAnsi="Times New Roman" w:cs="Times New Roman"/>
          <w:color w:val="000000"/>
          <w:sz w:val="24"/>
          <w:szCs w:val="26"/>
          <w:lang w:eastAsia="tr-TR"/>
        </w:rPr>
        <w:t>Anayasa'nın 88. ve 89. maddelerinde yasa tasarı ve tekliflerinin Büyük Millet Meclisi'nce görüşülmesi usul ve esasları ile yayımlanması düzenlenirken, bütçe yasa tasarılarının 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0630">
        <w:rPr>
          <w:rFonts w:ascii="Times New Roman" w:eastAsia="Times New Roman" w:hAnsi="Times New Roman" w:cs="Times New Roman"/>
          <w:color w:val="000000"/>
          <w:sz w:val="24"/>
          <w:szCs w:val="26"/>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olanaklı değildir.</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0630">
        <w:rPr>
          <w:rFonts w:ascii="Times New Roman" w:eastAsia="Times New Roman" w:hAnsi="Times New Roman" w:cs="Times New Roman"/>
          <w:color w:val="000000"/>
          <w:sz w:val="24"/>
          <w:szCs w:val="26"/>
          <w:lang w:eastAsia="tr-TR"/>
        </w:rPr>
        <w:t>Anayasa'nın 161. maddesinin son fıkrasında, “Bütçe kanununa, bütçe ile ilgili hükümler dışında hiçbir hüküm konulamaz” denilmekte, gerekçesinde de, bütçe kanunlarına bütçe dışı hüküm konulmaması, mevcut kanunların hükümlerini açıkça veya dolaylı değiştiren veya kaldıran hükümler getirilmemesi ilkelerine Anayasal kuvvet ve hüküm tanındığı belirtilmektedir. Bu nedenle,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0630">
        <w:rPr>
          <w:rFonts w:ascii="Times New Roman" w:eastAsia="Times New Roman" w:hAnsi="Times New Roman" w:cs="Times New Roman"/>
          <w:color w:val="000000"/>
          <w:sz w:val="24"/>
          <w:szCs w:val="26"/>
          <w:lang w:eastAsia="tr-TR"/>
        </w:rPr>
        <w:t xml:space="preserve">Bir yasa kuralının bütçeden gider yapmayı ya da bütçeye gelir sağlamayı gerektirir nitelikte bulunması, mutlak biçimde “bütçe ile ilgili hükümlerden” sayılmasına yetmez. Her yasada gidere neden olabilecek değişik türde kurallar bulunabilir. Böyle kuralların bulunmasıyla örneğin, yargı, savunma, eğitim, sağlık, tarım, ulaşım ve benzeri kamu hizmeti </w:t>
      </w:r>
      <w:r w:rsidRPr="00DF0630">
        <w:rPr>
          <w:rFonts w:ascii="Times New Roman" w:eastAsia="Times New Roman" w:hAnsi="Times New Roman" w:cs="Times New Roman"/>
          <w:color w:val="000000"/>
          <w:sz w:val="24"/>
          <w:szCs w:val="26"/>
          <w:lang w:eastAsia="tr-TR"/>
        </w:rPr>
        <w:lastRenderedPageBreak/>
        <w:t>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161. maddedeki “bütçe ile ilgili hüküm” ibaresine dayanılarak, gider ya da gelirle ilgili bir konuyu olağan bir yasa yerine bütçe yasası ile düzenlemek, Anayasa'nın 88. ve 89. maddelerini bu tür yasalar bakımından uygulanamaz duruma düşürür.</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0630">
        <w:rPr>
          <w:rFonts w:ascii="Times New Roman" w:eastAsia="Times New Roman" w:hAnsi="Times New Roman" w:cs="Times New Roman"/>
          <w:color w:val="000000"/>
          <w:sz w:val="24"/>
          <w:szCs w:val="26"/>
          <w:lang w:eastAsia="tr-TR"/>
        </w:rPr>
        <w:t>Anayasa'nın 161. ve 162. maddelerinin getiriliş amacı, bütçe yasalarında yıllık bütçe kavramı dışındaki konulara yer vermemek, böylece bütçe yasalarını ilgisiz kurallardan uzak tutarak kendi yapısı içinde bütünleştirmektir.</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0630">
        <w:rPr>
          <w:rFonts w:ascii="Times New Roman" w:eastAsia="Times New Roman" w:hAnsi="Times New Roman" w:cs="Times New Roman"/>
          <w:color w:val="000000"/>
          <w:sz w:val="24"/>
          <w:szCs w:val="26"/>
          <w:lang w:eastAsia="tr-TR"/>
        </w:rPr>
        <w:t>Bir kamu iktisadi teşebbüsü olan T.C. Devlet Demiryolları İşletmesi Genel Müdürlüğü, 233 sayılı Kamu İktisadi Teşebbüsleri Hakkında Kanun Hükmünde Kararname hükümlerine tâbi bulunmaktadır. Anılan Kanun Hükmünde Kararnamenin 9. maddesinde, “Teşebbüs Yönetim Kurulunun görev ve yetkileri” düzenlenmektedir. 2004 Malî Yılı Bütçe Kanununda ise T.C. Devlet Demiryolları Yönetim Kurulu'na işletmecilik fazlası taşınmazları belirli amaçlar doğrultusunda satma veya devretme yetkisi verilmekte olup bütçeyle ilgisi bulunmayan ve diğer yasalarla düzenlenmesi gereken bir konunun bütçe yasasıyla düzenlenmesi, Anayasa'nın 87., 88., 161. ve 162. maddelerine aykırıdır. İtiraz konusu kuralın iptali gerekir.</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0630">
        <w:rPr>
          <w:rFonts w:ascii="Times New Roman" w:eastAsia="Times New Roman" w:hAnsi="Times New Roman" w:cs="Times New Roman"/>
          <w:b/>
          <w:bCs/>
          <w:color w:val="000000"/>
          <w:sz w:val="24"/>
          <w:szCs w:val="26"/>
          <w:lang w:eastAsia="tr-TR"/>
        </w:rPr>
        <w:t>VI- SONUÇ</w:t>
      </w:r>
    </w:p>
    <w:p w:rsidR="00DF0630" w:rsidRP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0630">
        <w:rPr>
          <w:rFonts w:ascii="Times New Roman" w:eastAsia="Times New Roman" w:hAnsi="Times New Roman" w:cs="Times New Roman"/>
          <w:color w:val="000000"/>
          <w:sz w:val="24"/>
          <w:szCs w:val="26"/>
          <w:lang w:eastAsia="tr-TR"/>
        </w:rPr>
        <w:t>24.12.2003 günlü, 5027 sayılı “2004 Malî Yılı Bütçe Kanunu”nun 29. maddesinin (b) fıkrasının Anayasa'ya aykırı olduğuna ve İPTALİNE, 10.11.2005 gününde OYBİRLİĞİYLE karar verildi.</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0630">
        <w:rPr>
          <w:rFonts w:ascii="Times New Roman" w:eastAsia="Times New Roman" w:hAnsi="Times New Roman" w:cs="Times New Roman"/>
          <w:color w:val="000000"/>
          <w:sz w:val="24"/>
          <w:szCs w:val="27"/>
          <w:lang w:eastAsia="tr-TR"/>
        </w:rPr>
        <w:t> </w:t>
      </w:r>
    </w:p>
    <w:p w:rsidR="00DF0630" w:rsidRP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F0630" w:rsidRPr="00DF0630" w:rsidTr="00DF0630">
        <w:trPr>
          <w:tblCellSpacing w:w="0" w:type="dxa"/>
          <w:jc w:val="center"/>
        </w:trPr>
        <w:tc>
          <w:tcPr>
            <w:tcW w:w="1667" w:type="pct"/>
            <w:hideMark/>
          </w:tcPr>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Başkan</w:t>
            </w:r>
          </w:p>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Tülay TUĞCU</w:t>
            </w:r>
          </w:p>
        </w:tc>
        <w:tc>
          <w:tcPr>
            <w:tcW w:w="1667" w:type="pct"/>
            <w:hideMark/>
          </w:tcPr>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Başkanvekili</w:t>
            </w:r>
          </w:p>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Haşim KILIÇ</w:t>
            </w:r>
          </w:p>
        </w:tc>
        <w:tc>
          <w:tcPr>
            <w:tcW w:w="1667" w:type="pct"/>
            <w:hideMark/>
          </w:tcPr>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Üye</w:t>
            </w:r>
          </w:p>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Sacit ADALI</w:t>
            </w:r>
          </w:p>
        </w:tc>
      </w:tr>
    </w:tbl>
    <w:p w:rsid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0"/>
          <w:lang w:eastAsia="tr-TR"/>
        </w:rPr>
        <w:t> </w:t>
      </w:r>
    </w:p>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F0630" w:rsidRPr="00DF0630" w:rsidTr="00DF0630">
        <w:trPr>
          <w:tblCellSpacing w:w="0" w:type="dxa"/>
          <w:jc w:val="center"/>
        </w:trPr>
        <w:tc>
          <w:tcPr>
            <w:tcW w:w="1667" w:type="pct"/>
            <w:hideMark/>
          </w:tcPr>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Üye</w:t>
            </w:r>
          </w:p>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Fulya KANTARCIOĞLU</w:t>
            </w:r>
          </w:p>
        </w:tc>
        <w:tc>
          <w:tcPr>
            <w:tcW w:w="1667" w:type="pct"/>
            <w:hideMark/>
          </w:tcPr>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Üye</w:t>
            </w:r>
          </w:p>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Ahmet AKYALÇIN</w:t>
            </w:r>
          </w:p>
        </w:tc>
        <w:tc>
          <w:tcPr>
            <w:tcW w:w="1667" w:type="pct"/>
            <w:hideMark/>
          </w:tcPr>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Üye</w:t>
            </w:r>
          </w:p>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Mehmet ERTEN</w:t>
            </w:r>
          </w:p>
        </w:tc>
      </w:tr>
    </w:tbl>
    <w:p w:rsid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0"/>
          <w:lang w:eastAsia="tr-TR"/>
        </w:rPr>
        <w:t> </w:t>
      </w:r>
    </w:p>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F0630" w:rsidRPr="00DF0630" w:rsidTr="00DF0630">
        <w:trPr>
          <w:tblCellSpacing w:w="0" w:type="dxa"/>
          <w:jc w:val="center"/>
        </w:trPr>
        <w:tc>
          <w:tcPr>
            <w:tcW w:w="1667" w:type="pct"/>
            <w:hideMark/>
          </w:tcPr>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lastRenderedPageBreak/>
              <w:t>Üye</w:t>
            </w:r>
          </w:p>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Cafer ŞAT</w:t>
            </w:r>
          </w:p>
        </w:tc>
        <w:tc>
          <w:tcPr>
            <w:tcW w:w="1667" w:type="pct"/>
            <w:hideMark/>
          </w:tcPr>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Üye</w:t>
            </w:r>
          </w:p>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A. Necmi ÖZLER</w:t>
            </w:r>
          </w:p>
        </w:tc>
        <w:tc>
          <w:tcPr>
            <w:tcW w:w="1667" w:type="pct"/>
            <w:hideMark/>
          </w:tcPr>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Üye</w:t>
            </w:r>
          </w:p>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Şevket APALAK</w:t>
            </w:r>
          </w:p>
        </w:tc>
      </w:tr>
    </w:tbl>
    <w:p w:rsid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0"/>
          <w:lang w:eastAsia="tr-TR"/>
        </w:rPr>
        <w:t> </w:t>
      </w:r>
    </w:p>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DF0630" w:rsidRPr="00DF0630" w:rsidTr="00DF0630">
        <w:trPr>
          <w:tblCellSpacing w:w="0" w:type="dxa"/>
          <w:jc w:val="center"/>
        </w:trPr>
        <w:tc>
          <w:tcPr>
            <w:tcW w:w="2500" w:type="pct"/>
            <w:hideMark/>
          </w:tcPr>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Üye</w:t>
            </w:r>
          </w:p>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Serruh KALELİ</w:t>
            </w:r>
          </w:p>
        </w:tc>
        <w:tc>
          <w:tcPr>
            <w:tcW w:w="2500" w:type="pct"/>
            <w:hideMark/>
          </w:tcPr>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Üye</w:t>
            </w:r>
          </w:p>
          <w:p w:rsidR="00DF0630" w:rsidRP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6"/>
                <w:lang w:eastAsia="tr-TR"/>
              </w:rPr>
              <w:t>Osman Alifeyyaz PAKSÜT</w:t>
            </w:r>
          </w:p>
        </w:tc>
      </w:tr>
    </w:tbl>
    <w:p w:rsidR="00DF0630" w:rsidRDefault="00DF0630" w:rsidP="00DF063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0"/>
          <w:lang w:eastAsia="tr-TR"/>
        </w:rPr>
        <w:t> </w:t>
      </w:r>
    </w:p>
    <w:p w:rsid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F0630">
        <w:rPr>
          <w:rFonts w:ascii="Times New Roman" w:eastAsia="Times New Roman" w:hAnsi="Times New Roman" w:cs="Times New Roman"/>
          <w:color w:val="000000"/>
          <w:sz w:val="24"/>
          <w:szCs w:val="27"/>
          <w:lang w:eastAsia="tr-TR"/>
        </w:rPr>
        <w:t> </w:t>
      </w:r>
    </w:p>
    <w:p w:rsidR="00DF0630" w:rsidRPr="00DF0630" w:rsidRDefault="00DF0630" w:rsidP="00DF063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0630">
        <w:rPr>
          <w:rFonts w:ascii="Times New Roman" w:eastAsia="Times New Roman" w:hAnsi="Times New Roman" w:cs="Times New Roman"/>
          <w:color w:val="000000"/>
          <w:sz w:val="24"/>
          <w:szCs w:val="20"/>
          <w:lang w:eastAsia="tr-TR"/>
        </w:rPr>
        <w:t> </w:t>
      </w:r>
    </w:p>
    <w:p w:rsidR="00CE1FB9" w:rsidRPr="00DF0630" w:rsidRDefault="00CE1FB9" w:rsidP="00DF0630">
      <w:pPr>
        <w:spacing w:before="100" w:beforeAutospacing="1" w:after="100" w:afterAutospacing="1" w:line="240" w:lineRule="auto"/>
        <w:ind w:firstLine="709"/>
        <w:jc w:val="both"/>
        <w:rPr>
          <w:rFonts w:ascii="Times New Roman" w:hAnsi="Times New Roman" w:cs="Times New Roman"/>
          <w:sz w:val="24"/>
        </w:rPr>
      </w:pPr>
    </w:p>
    <w:sectPr w:rsidR="00CE1FB9" w:rsidRPr="00DF0630" w:rsidSect="00DF063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73E" w:rsidRDefault="005C073E" w:rsidP="00DF0630">
      <w:pPr>
        <w:spacing w:after="0" w:line="240" w:lineRule="auto"/>
      </w:pPr>
      <w:r>
        <w:separator/>
      </w:r>
    </w:p>
  </w:endnote>
  <w:endnote w:type="continuationSeparator" w:id="0">
    <w:p w:rsidR="005C073E" w:rsidRDefault="005C073E" w:rsidP="00DF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630" w:rsidRDefault="00DF0630" w:rsidP="001F41F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F0630" w:rsidRDefault="00DF0630" w:rsidP="00DF063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630" w:rsidRPr="00DF0630" w:rsidRDefault="00DF0630" w:rsidP="001F41FC">
    <w:pPr>
      <w:pStyle w:val="Altbilgi"/>
      <w:framePr w:wrap="around" w:vAnchor="text" w:hAnchor="margin" w:xAlign="right" w:y="1"/>
      <w:rPr>
        <w:rStyle w:val="SayfaNumaras"/>
        <w:rFonts w:ascii="Times New Roman" w:hAnsi="Times New Roman" w:cs="Times New Roman"/>
      </w:rPr>
    </w:pPr>
    <w:r w:rsidRPr="00DF0630">
      <w:rPr>
        <w:rStyle w:val="SayfaNumaras"/>
        <w:rFonts w:ascii="Times New Roman" w:hAnsi="Times New Roman" w:cs="Times New Roman"/>
      </w:rPr>
      <w:fldChar w:fldCharType="begin"/>
    </w:r>
    <w:r w:rsidRPr="00DF0630">
      <w:rPr>
        <w:rStyle w:val="SayfaNumaras"/>
        <w:rFonts w:ascii="Times New Roman" w:hAnsi="Times New Roman" w:cs="Times New Roman"/>
      </w:rPr>
      <w:instrText xml:space="preserve">PAGE  </w:instrText>
    </w:r>
    <w:r w:rsidRPr="00DF0630">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DF0630">
      <w:rPr>
        <w:rStyle w:val="SayfaNumaras"/>
        <w:rFonts w:ascii="Times New Roman" w:hAnsi="Times New Roman" w:cs="Times New Roman"/>
      </w:rPr>
      <w:fldChar w:fldCharType="end"/>
    </w:r>
  </w:p>
  <w:p w:rsidR="00DF0630" w:rsidRPr="00DF0630" w:rsidRDefault="00DF0630" w:rsidP="00DF063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630" w:rsidRDefault="00DF063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73E" w:rsidRDefault="005C073E" w:rsidP="00DF0630">
      <w:pPr>
        <w:spacing w:after="0" w:line="240" w:lineRule="auto"/>
      </w:pPr>
      <w:r>
        <w:separator/>
      </w:r>
    </w:p>
  </w:footnote>
  <w:footnote w:type="continuationSeparator" w:id="0">
    <w:p w:rsidR="005C073E" w:rsidRDefault="005C073E" w:rsidP="00DF0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630" w:rsidRDefault="00DF063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630" w:rsidRDefault="00DF0630">
    <w:pPr>
      <w:pStyle w:val="stbilgi"/>
      <w:rPr>
        <w:rFonts w:ascii="Times New Roman" w:hAnsi="Times New Roman" w:cs="Times New Roman"/>
        <w:b/>
      </w:rPr>
    </w:pPr>
    <w:r>
      <w:rPr>
        <w:rFonts w:ascii="Times New Roman" w:hAnsi="Times New Roman" w:cs="Times New Roman"/>
        <w:b/>
      </w:rPr>
      <w:t>Esas Sayısı : 2005/125</w:t>
    </w:r>
  </w:p>
  <w:p w:rsidR="00DF0630" w:rsidRDefault="00DF0630">
    <w:pPr>
      <w:pStyle w:val="stbilgi"/>
      <w:rPr>
        <w:rFonts w:ascii="Times New Roman" w:hAnsi="Times New Roman" w:cs="Times New Roman"/>
        <w:b/>
      </w:rPr>
    </w:pPr>
    <w:r>
      <w:rPr>
        <w:rFonts w:ascii="Times New Roman" w:hAnsi="Times New Roman" w:cs="Times New Roman"/>
        <w:b/>
      </w:rPr>
      <w:t>Karar Sayısı : 2005/74</w:t>
    </w:r>
  </w:p>
  <w:p w:rsidR="00DF0630" w:rsidRPr="00DF0630" w:rsidRDefault="00DF063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630" w:rsidRDefault="00DF063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060"/>
    <w:rsid w:val="005C073E"/>
    <w:rsid w:val="00C45060"/>
    <w:rsid w:val="00CE1FB9"/>
    <w:rsid w:val="00DF0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A37AB-B3DB-4D58-B97F-322AE3DA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F0630"/>
    <w:rPr>
      <w:color w:val="0000FF"/>
      <w:u w:val="single"/>
    </w:rPr>
  </w:style>
  <w:style w:type="paragraph" w:styleId="NormalWeb">
    <w:name w:val="Normal (Web)"/>
    <w:basedOn w:val="Normal"/>
    <w:uiPriority w:val="99"/>
    <w:semiHidden/>
    <w:unhideWhenUsed/>
    <w:rsid w:val="00DF063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DF063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F06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0630"/>
  </w:style>
  <w:style w:type="paragraph" w:styleId="Altbilgi">
    <w:name w:val="footer"/>
    <w:basedOn w:val="Normal"/>
    <w:link w:val="AltbilgiChar"/>
    <w:uiPriority w:val="99"/>
    <w:unhideWhenUsed/>
    <w:rsid w:val="00DF06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0630"/>
  </w:style>
  <w:style w:type="character" w:styleId="SayfaNumaras">
    <w:name w:val="page number"/>
    <w:basedOn w:val="VarsaylanParagrafYazTipi"/>
    <w:uiPriority w:val="99"/>
    <w:semiHidden/>
    <w:unhideWhenUsed/>
    <w:rsid w:val="00DF0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982690">
      <w:bodyDiv w:val="1"/>
      <w:marLeft w:val="0"/>
      <w:marRight w:val="0"/>
      <w:marTop w:val="0"/>
      <w:marBottom w:val="0"/>
      <w:divBdr>
        <w:top w:val="none" w:sz="0" w:space="0" w:color="auto"/>
        <w:left w:val="none" w:sz="0" w:space="0" w:color="auto"/>
        <w:bottom w:val="none" w:sz="0" w:space="0" w:color="auto"/>
        <w:right w:val="none" w:sz="0" w:space="0" w:color="auto"/>
      </w:divBdr>
      <w:divsChild>
        <w:div w:id="471680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1089</Words>
  <Characters>6209</Characters>
  <Application>Microsoft Office Word</Application>
  <DocSecurity>0</DocSecurity>
  <Lines>51</Lines>
  <Paragraphs>14</Paragraphs>
  <ScaleCrop>false</ScaleCrop>
  <Company/>
  <LinksUpToDate>false</LinksUpToDate>
  <CharactersWithSpaces>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2019-01-18T08:36:00Z</dcterms:created>
  <dcterms:modified xsi:type="dcterms:W3CDTF">2019-01-18T08:37:00Z</dcterms:modified>
</cp:coreProperties>
</file>