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1B" w:rsidRPr="0044091B" w:rsidRDefault="0044091B" w:rsidP="0044091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 KARARI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44091B" w:rsidRPr="0044091B" w:rsidRDefault="0044091B" w:rsidP="0044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spellStart"/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Sayisi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: 2001</w:t>
      </w:r>
      <w:proofErr w:type="gram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/282</w:t>
      </w:r>
    </w:p>
    <w:p w:rsidR="0044091B" w:rsidRPr="0044091B" w:rsidRDefault="0044091B" w:rsidP="0044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 xml:space="preserve">Karar </w:t>
      </w:r>
      <w:proofErr w:type="spellStart"/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>Sayisi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 xml:space="preserve"> : 2004</w:t>
      </w:r>
      <w:proofErr w:type="gramEnd"/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>/34</w:t>
      </w:r>
    </w:p>
    <w:p w:rsidR="0044091B" w:rsidRPr="0044091B" w:rsidRDefault="0044091B" w:rsidP="0044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 xml:space="preserve">Karar </w:t>
      </w:r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>Günü : 17</w:t>
      </w:r>
      <w:proofErr w:type="gramEnd"/>
      <w:r w:rsidRPr="004409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6"/>
          <w:lang w:eastAsia="tr-TR"/>
        </w:rPr>
        <w:t>.3.2004</w:t>
      </w:r>
    </w:p>
    <w:p w:rsidR="0044091B" w:rsidRPr="0044091B" w:rsidRDefault="0044091B" w:rsidP="0044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spellStart"/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Sayi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:07</w:t>
      </w:r>
      <w:proofErr w:type="gram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.05.2004-25455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ITIRAZ YOLUNA </w:t>
      </w:r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BASVURAN : 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Danistay</w:t>
      </w:r>
      <w:proofErr w:type="spellEnd"/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Onuncu Daire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ITIRAZIN </w:t>
      </w:r>
      <w:proofErr w:type="gram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 : 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.7.1953 günlü, 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Silahlar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Biçaklar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Aletler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Kanun'un 7. maddesinin 4534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degistirilen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alan "... (bu maddenin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hariç) ..." ibaresinin,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ve 10. maddelerine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aykiriligi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saviyla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istemidir.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OLAY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Silahlar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Biçaklar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Aletler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Yönetmeligin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16. maddesinin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alan "Kanunun 7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 (1)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hariç..." ibaresinin iptali istemiyle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davada, itiraz konusu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ve 10. maddelerine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oldugu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kanisina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varan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Danistay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Onuncu Daire iptali için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basvurmustur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YASA METINLERI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A- 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Itiraz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 Yasa 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Kurali</w:t>
      </w:r>
      <w:proofErr w:type="spellEnd"/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10.7.1953 günlü, 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Silahlar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Biçaklar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Aletler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Kanun'un 7. maddesinin 4534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degistirilen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itiraz konusu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yer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aldigi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söyledir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 islenen cürümlerden hükümlü bulunanlar ile taksirli suçlar hariç olmak üzere bir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yildan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fazla hürriyeti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baglayici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cezaya </w:t>
      </w:r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olanlara (bu maddenin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hariç); affa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ugramis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olsalar bile hiçbir suretle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silah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tasima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bulundurma izni verilemez."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B- 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Ilgili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Yasa 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Kurali</w:t>
      </w:r>
      <w:proofErr w:type="spellEnd"/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ilgili bölümü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söyledir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silahlari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ancak;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1.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Cumhurbaskani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Basbakan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Bakanlar, Yasama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Organi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Üyeleri ile bu görevlerde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bulunmus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olanlar,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...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Tasiyabilirler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veya mesken ya da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isyerinde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bulundurabilirler."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C-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Dayanilan</w:t>
      </w:r>
      <w:proofErr w:type="spellEnd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Anayasa </w:t>
      </w:r>
      <w:proofErr w:type="spellStart"/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Kurallari</w:t>
      </w:r>
      <w:proofErr w:type="spellEnd"/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Basvuru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ve 10. maddelerine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dayanilmistir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IV- ILK INCELEME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Içtüzügü'nün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8. maddesi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uyarinca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Mustafa BUMIN,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Samia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AKBULUT,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Sacit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ADALI, Ali HÜNER, Fulya KANTARCIOGLU, Aysel PEKINER, Mahir Can ILICAK,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Rüstü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SÖNMEZ,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Ertugrul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ERSOY, Tülay TUGCU ve Ahmet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AKYALÇIN'in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katilimlariyla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17.5.2001 günü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toplantisinda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dosyada eksiklik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bulunmadigindan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isin esasinin incelenmesine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oybirligiyle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verilmistir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V- ESASIN INCELENMESI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Basvuru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ekleri, isin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esasina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iliskin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rapor, itiraz konusu kural,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dayanilan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bunlarin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gerekçeleri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 okunup incelendikten sonra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görüsülüp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düsünüldü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Basvuru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4534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degistirilen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affa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ugramis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olsalar bile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 islenen cürümlerden hükümlü bulunanlar ile taksirli suçlar hariç olmak üzere bir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yildan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fazla hürriyeti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baglayici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cezaya </w:t>
      </w:r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olanlara hiç bir suretle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tasima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bulundurma izni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verilemeyecegi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kabul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edilmisken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ayni maddenin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hariç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tutulmasi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belirtilen suçlardan hükümlü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olmalari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nedeniyle hukuksal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durumlari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ayni olan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kisiler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nedene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dayanilmadan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ayirim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yapilmasina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yol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açtigindan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ilkesiyle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bagdasmadigi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nedenle söz konusu ibarenin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ve 10. maddelerine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oldugu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sürülmüstür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Silahlar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Biçaklar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Aletler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Kanun'un</w:t>
      </w: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itiraz konusu ibarenin yer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aldigi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4534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 </w:t>
      </w:r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"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silahla islenen cürümlerden hükümlü bulunanlar ile taksirli suçlar hariç olmak üzere bir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yildan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fazla hürriyeti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baglayici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cezaya </w:t>
      </w:r>
      <w:proofErr w:type="gram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mahkum</w:t>
      </w:r>
      <w:proofErr w:type="gram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olanlara (bu maddenin birinci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hariç); affa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ugramis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olsalar bile hiçbir suretle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silah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tasima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ve bulundurma izni verilemez."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denilmektedir. 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yollamada bulunulan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ise,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Cumhurbaskani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Basbakan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Bakanlar, Yasama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Organi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Üyeleri ile bu görevlerde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bulunmus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olanlardir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maddesinde belirtilen hukuk devleti eylem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islemleri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hukuka uygun, insan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haklarina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saygili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hak ve özgürlükleri koruyup güçlendiren, her alanda adaletli bir hukuk düzeni kurup bunu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gelistirerek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sürdüren, Anayasa'ya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durum ve tutumlardan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kaçinan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hukukun üstün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kurallariyla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kendini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sayan,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denetimine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üstünde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yasakoyucunun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uymasi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gereken temel hukuk ilkeleri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bulundugu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bilincinde olan devlettir. 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baglamda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 devletinde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yasakoyucu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yalniz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Anayasa'ya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degil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hukukun evrensel temel ilkelerine uygun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olmasini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saglamakla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yükümlüdür.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10. maddesinde </w:t>
      </w:r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"Herkes, dil, irk, renk, cinsiyet, siyasî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düsünce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, felsefî inanç, din, mezhep ve benzeri sebeplerle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ayirim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gözetilmeksizin kanun önünde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esittir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. Hiçbir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lastRenderedPageBreak/>
        <w:t>kisiye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, aileye, zümreye veya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sinifa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imtiyaz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taninamaz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. Devlet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organlari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ve idare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makamlari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bütün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islemlerinde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kanun önünde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esitlik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 xml:space="preserve"> ilkesine uygun olarak hareket etmek </w:t>
      </w:r>
      <w:proofErr w:type="spellStart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zorundadirlar</w:t>
      </w:r>
      <w:proofErr w:type="spellEnd"/>
      <w:r w:rsidRPr="0044091B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tr-TR"/>
        </w:rPr>
        <w:t>."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 denilmektedir. Bu yasak, insan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belgelerinde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oldugu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gibi, birbirinin ayni durumunda olanlara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uygulanmasini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ayrica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açikça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ayricalikli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topluluklarin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yaratilmasini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engellemektedir. Ayni durumda olanlar için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farkli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düzenleme,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esitlige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olusturur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amaçladigi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mutlak ve eylemli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degil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hukuksal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esitliktir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Ayni hukuksal durumlar ayni,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hukuksal durumlar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kurallara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tutulursa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öngördügü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esitlik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çignenmis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olmaz.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Baska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anlatimla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kisisel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nitelikleri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durumlari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özdes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yasalara konulan kurallarla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uygulamalar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yapilamaz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kamu düzeni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güvenligi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bakimindan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tasimalarinin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bulundurmalarinin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sakincali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oldugu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kabul edilerek,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 islenen cürümlerden hükümlü bulunanlar ile taksirli suçlar hariç olmak üzere bir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yildan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fazla hürriyeti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baglayici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cezaya </w:t>
      </w:r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olanlara, affa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ugramis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olsalar bile hiçbir suretle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tasima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bulundurma izni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verilmeyecegi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öngörülmüsken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ayni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fikradaki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parantez içinde yer alan itiraz konusu ibare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Cumhurbaskani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Basbakan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Bakanlar, Yasama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Organi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Üyeleri ile bu görevlerde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bulunmus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olanlar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tutulmustur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kisiler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baska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yönlerden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farkli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statüde bulunsalar bile,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sözü edilen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belirtilen suç ve cezalar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bakimindan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kisiler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ayni hukuki durumda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olduklarindan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anilan</w:t>
      </w:r>
      <w:proofErr w:type="spellEnd"/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mahkumiyetlere</w:t>
      </w:r>
      <w:proofErr w:type="gram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olarak silah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tasima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bulundurmalarinin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yasaklanmasinda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fark gözetilemez. Söz konusu kural,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kisilere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ayni hukuksal durumdaki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kisilerin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hiç birisine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taninmayan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adalet duygusuyla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bagdasmayan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biçimde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ayricalik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getirmistir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Açiklanan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nedenlerle kural,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Anayasa'nin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ve 10. maddelerine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aykiridir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gerekir.</w:t>
      </w:r>
    </w:p>
    <w:p w:rsid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tr-TR"/>
        </w:rPr>
      </w:pP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VI- SONUÇ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10.7.1953 günlü, 6136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"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Atesli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Silahlar ve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Biçaklar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Diger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Aletler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Kanun"un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7. maddesinin 4534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 ile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degistirilen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son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fikrasinda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alan "...(bu maddenin birinci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fikrasinin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numarali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bendinde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sayilanlar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hariç) ..." ibaresinin Anayasa'ya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aykiri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olduguna</w:t>
      </w:r>
      <w:proofErr w:type="spellEnd"/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IPTALINE</w:t>
      </w:r>
      <w:r w:rsidRPr="004409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, </w:t>
      </w: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17.3.2004 gününde OYBIRLIGIYLE karar verildi.</w:t>
      </w:r>
    </w:p>
    <w:p w:rsidR="0044091B" w:rsidRPr="0044091B" w:rsidRDefault="0044091B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4091B" w:rsidRPr="0044091B" w:rsidTr="0044091B">
        <w:trPr>
          <w:trHeight w:val="135"/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proofErr w:type="spellStart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Baskan</w:t>
            </w:r>
            <w:proofErr w:type="spellEnd"/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</w:tr>
      <w:tr w:rsidR="0044091B" w:rsidRPr="0044091B" w:rsidTr="0044091B">
        <w:trPr>
          <w:trHeight w:val="135"/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Mustafa BUMIN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proofErr w:type="spellStart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Ali HÜNER</w:t>
            </w:r>
          </w:p>
        </w:tc>
      </w:tr>
    </w:tbl>
    <w:p w:rsid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4091B" w:rsidRP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4091B" w:rsidRPr="0044091B" w:rsidTr="0044091B">
        <w:trPr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</w:tr>
      <w:tr w:rsidR="0044091B" w:rsidRPr="0044091B" w:rsidTr="0044091B">
        <w:trPr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KANTARCIOGLU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Aysel PEKINER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proofErr w:type="spellStart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Ertugrul</w:t>
            </w:r>
            <w:proofErr w:type="spellEnd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ERSOY</w:t>
            </w:r>
          </w:p>
        </w:tc>
      </w:tr>
    </w:tbl>
    <w:p w:rsidR="0044091B" w:rsidRP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4091B" w:rsidRP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4091B" w:rsidRPr="0044091B" w:rsidTr="0044091B">
        <w:trPr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</w:tr>
      <w:tr w:rsidR="0044091B" w:rsidRPr="0044091B" w:rsidTr="0044091B">
        <w:trPr>
          <w:tblCellSpacing w:w="0" w:type="dxa"/>
          <w:jc w:val="center"/>
        </w:trPr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Tülay TUGCU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</w:tr>
    </w:tbl>
    <w:p w:rsid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4091B" w:rsidRP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4091B" w:rsidRPr="0044091B" w:rsidTr="0044091B">
        <w:trPr>
          <w:tblCellSpacing w:w="0" w:type="dxa"/>
          <w:jc w:val="center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</w:tc>
      </w:tr>
      <w:tr w:rsidR="0044091B" w:rsidRPr="0044091B" w:rsidTr="0044091B">
        <w:trPr>
          <w:tblCellSpacing w:w="0" w:type="dxa"/>
          <w:jc w:val="center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proofErr w:type="spellStart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Fazil</w:t>
            </w:r>
            <w:proofErr w:type="spellEnd"/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SAGLAM</w:t>
            </w:r>
          </w:p>
        </w:tc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B" w:rsidRPr="0044091B" w:rsidRDefault="0044091B" w:rsidP="0044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</w:pPr>
            <w:r w:rsidRPr="0044091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</w:tr>
    </w:tbl>
    <w:p w:rsidR="0044091B" w:rsidRPr="0044091B" w:rsidRDefault="0044091B" w:rsidP="0044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409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E1FB9" w:rsidRPr="0044091B" w:rsidRDefault="00CE1FB9" w:rsidP="0044091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44091B" w:rsidSect="0044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BE" w:rsidRDefault="001573BE" w:rsidP="0044091B">
      <w:pPr>
        <w:spacing w:after="0" w:line="240" w:lineRule="auto"/>
      </w:pPr>
      <w:r>
        <w:separator/>
      </w:r>
    </w:p>
  </w:endnote>
  <w:endnote w:type="continuationSeparator" w:id="0">
    <w:p w:rsidR="001573BE" w:rsidRDefault="001573BE" w:rsidP="0044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Default="0044091B" w:rsidP="00E937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4091B" w:rsidRDefault="0044091B" w:rsidP="0044091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Pr="0044091B" w:rsidRDefault="0044091B" w:rsidP="00E9374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4091B">
      <w:rPr>
        <w:rStyle w:val="SayfaNumaras"/>
        <w:rFonts w:ascii="Times New Roman" w:hAnsi="Times New Roman" w:cs="Times New Roman"/>
      </w:rPr>
      <w:fldChar w:fldCharType="begin"/>
    </w:r>
    <w:r w:rsidRPr="0044091B">
      <w:rPr>
        <w:rStyle w:val="SayfaNumaras"/>
        <w:rFonts w:ascii="Times New Roman" w:hAnsi="Times New Roman" w:cs="Times New Roman"/>
      </w:rPr>
      <w:instrText xml:space="preserve">PAGE  </w:instrText>
    </w:r>
    <w:r w:rsidRPr="0044091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4</w:t>
    </w:r>
    <w:r w:rsidRPr="0044091B">
      <w:rPr>
        <w:rStyle w:val="SayfaNumaras"/>
        <w:rFonts w:ascii="Times New Roman" w:hAnsi="Times New Roman" w:cs="Times New Roman"/>
      </w:rPr>
      <w:fldChar w:fldCharType="end"/>
    </w:r>
  </w:p>
  <w:p w:rsidR="0044091B" w:rsidRPr="0044091B" w:rsidRDefault="0044091B" w:rsidP="0044091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Default="004409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BE" w:rsidRDefault="001573BE" w:rsidP="0044091B">
      <w:pPr>
        <w:spacing w:after="0" w:line="240" w:lineRule="auto"/>
      </w:pPr>
      <w:r>
        <w:separator/>
      </w:r>
    </w:p>
  </w:footnote>
  <w:footnote w:type="continuationSeparator" w:id="0">
    <w:p w:rsidR="001573BE" w:rsidRDefault="001573BE" w:rsidP="0044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Default="004409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Default="0044091B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spellStart"/>
    <w:proofErr w:type="gramStart"/>
    <w:r>
      <w:rPr>
        <w:rFonts w:ascii="Times New Roman" w:hAnsi="Times New Roman" w:cs="Times New Roman"/>
        <w:b/>
      </w:rPr>
      <w:t>Sayisi</w:t>
    </w:r>
    <w:proofErr w:type="spellEnd"/>
    <w:r>
      <w:rPr>
        <w:rFonts w:ascii="Times New Roman" w:hAnsi="Times New Roman" w:cs="Times New Roman"/>
        <w:b/>
      </w:rPr>
      <w:t xml:space="preserve"> : 2001</w:t>
    </w:r>
    <w:proofErr w:type="gramEnd"/>
    <w:r>
      <w:rPr>
        <w:rFonts w:ascii="Times New Roman" w:hAnsi="Times New Roman" w:cs="Times New Roman"/>
        <w:b/>
      </w:rPr>
      <w:t>/282</w:t>
    </w:r>
  </w:p>
  <w:p w:rsidR="0044091B" w:rsidRDefault="0044091B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spellStart"/>
    <w:proofErr w:type="gramStart"/>
    <w:r>
      <w:rPr>
        <w:rFonts w:ascii="Times New Roman" w:hAnsi="Times New Roman" w:cs="Times New Roman"/>
        <w:b/>
      </w:rPr>
      <w:t>Sayisi</w:t>
    </w:r>
    <w:proofErr w:type="spellEnd"/>
    <w:r>
      <w:rPr>
        <w:rFonts w:ascii="Times New Roman" w:hAnsi="Times New Roman" w:cs="Times New Roman"/>
        <w:b/>
      </w:rPr>
      <w:t xml:space="preserve"> : 2004</w:t>
    </w:r>
    <w:proofErr w:type="gramEnd"/>
    <w:r>
      <w:rPr>
        <w:rFonts w:ascii="Times New Roman" w:hAnsi="Times New Roman" w:cs="Times New Roman"/>
        <w:b/>
      </w:rPr>
      <w:t>/34</w:t>
    </w:r>
  </w:p>
  <w:p w:rsidR="0044091B" w:rsidRPr="0044091B" w:rsidRDefault="0044091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1B" w:rsidRDefault="004409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3"/>
    <w:rsid w:val="001573BE"/>
    <w:rsid w:val="003A0F03"/>
    <w:rsid w:val="0044091B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716D-6F45-495A-B0E8-95C74503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40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091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4091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09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44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091B"/>
  </w:style>
  <w:style w:type="paragraph" w:styleId="Altbilgi">
    <w:name w:val="footer"/>
    <w:basedOn w:val="Normal"/>
    <w:link w:val="AltbilgiChar"/>
    <w:uiPriority w:val="99"/>
    <w:unhideWhenUsed/>
    <w:rsid w:val="004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091B"/>
  </w:style>
  <w:style w:type="character" w:styleId="SayfaNumaras">
    <w:name w:val="page number"/>
    <w:basedOn w:val="VarsaylanParagrafYazTipi"/>
    <w:uiPriority w:val="99"/>
    <w:semiHidden/>
    <w:unhideWhenUsed/>
    <w:rsid w:val="0044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2019-01-16T13:14:00Z</dcterms:created>
  <dcterms:modified xsi:type="dcterms:W3CDTF">2019-01-16T13:15:00Z</dcterms:modified>
</cp:coreProperties>
</file>