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17" w:rsidRPr="001C1717" w:rsidRDefault="001C1717" w:rsidP="001C1717">
      <w:pPr>
        <w:spacing w:before="100" w:after="100" w:line="240" w:lineRule="auto"/>
        <w:jc w:val="center"/>
        <w:rPr>
          <w:rFonts w:ascii="Times New Roman" w:eastAsia="Times New Roman" w:hAnsi="Times New Roman" w:cs="Times New Roman"/>
          <w:b/>
          <w:color w:val="000000"/>
          <w:sz w:val="24"/>
          <w:szCs w:val="27"/>
          <w:lang w:eastAsia="tr-TR"/>
        </w:rPr>
      </w:pPr>
      <w:r w:rsidRPr="001C1717">
        <w:rPr>
          <w:rFonts w:ascii="Times New Roman" w:eastAsia="Times New Roman" w:hAnsi="Times New Roman" w:cs="Times New Roman"/>
          <w:b/>
          <w:color w:val="000000"/>
          <w:sz w:val="24"/>
          <w:szCs w:val="27"/>
          <w:lang w:eastAsia="tr-TR"/>
        </w:rPr>
        <w:t>ANAYASA MAHKEMESİ KARARI</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 </w:t>
      </w:r>
    </w:p>
    <w:p w:rsidR="001C1717" w:rsidRPr="001C1717" w:rsidRDefault="001C1717" w:rsidP="001C1717">
      <w:pPr>
        <w:spacing w:after="0" w:line="240" w:lineRule="auto"/>
        <w:jc w:val="both"/>
        <w:rPr>
          <w:rFonts w:ascii="Times New Roman" w:eastAsia="Times New Roman" w:hAnsi="Times New Roman" w:cs="Times New Roman"/>
          <w:b/>
          <w:color w:val="000000"/>
          <w:sz w:val="24"/>
          <w:szCs w:val="27"/>
          <w:lang w:eastAsia="tr-TR"/>
        </w:rPr>
      </w:pPr>
      <w:r w:rsidRPr="001C1717">
        <w:rPr>
          <w:rFonts w:ascii="Times New Roman" w:eastAsia="Times New Roman" w:hAnsi="Times New Roman" w:cs="Times New Roman"/>
          <w:b/>
          <w:bCs/>
          <w:color w:val="000000"/>
          <w:sz w:val="24"/>
          <w:szCs w:val="27"/>
          <w:lang w:eastAsia="tr-TR"/>
        </w:rPr>
        <w:t xml:space="preserve">Esas </w:t>
      </w:r>
      <w:proofErr w:type="gramStart"/>
      <w:r w:rsidRPr="001C1717">
        <w:rPr>
          <w:rFonts w:ascii="Times New Roman" w:eastAsia="Times New Roman" w:hAnsi="Times New Roman" w:cs="Times New Roman"/>
          <w:b/>
          <w:bCs/>
          <w:color w:val="000000"/>
          <w:sz w:val="24"/>
          <w:szCs w:val="27"/>
          <w:lang w:eastAsia="tr-TR"/>
        </w:rPr>
        <w:t>Sayısı : 2003</w:t>
      </w:r>
      <w:proofErr w:type="gramEnd"/>
      <w:r w:rsidRPr="001C1717">
        <w:rPr>
          <w:rFonts w:ascii="Times New Roman" w:eastAsia="Times New Roman" w:hAnsi="Times New Roman" w:cs="Times New Roman"/>
          <w:b/>
          <w:bCs/>
          <w:color w:val="000000"/>
          <w:sz w:val="24"/>
          <w:szCs w:val="27"/>
          <w:lang w:eastAsia="tr-TR"/>
        </w:rPr>
        <w:t>/19</w:t>
      </w:r>
    </w:p>
    <w:p w:rsidR="001C1717" w:rsidRPr="001C1717" w:rsidRDefault="001C1717" w:rsidP="001C1717">
      <w:pPr>
        <w:spacing w:after="0" w:line="240" w:lineRule="auto"/>
        <w:jc w:val="both"/>
        <w:rPr>
          <w:rFonts w:ascii="Times New Roman" w:eastAsia="Times New Roman" w:hAnsi="Times New Roman" w:cs="Times New Roman"/>
          <w:b/>
          <w:color w:val="000000"/>
          <w:sz w:val="24"/>
          <w:szCs w:val="27"/>
          <w:lang w:eastAsia="tr-TR"/>
        </w:rPr>
      </w:pPr>
      <w:r w:rsidRPr="001C1717">
        <w:rPr>
          <w:rFonts w:ascii="Times New Roman" w:eastAsia="Times New Roman" w:hAnsi="Times New Roman" w:cs="Times New Roman"/>
          <w:b/>
          <w:bCs/>
          <w:color w:val="000000"/>
          <w:sz w:val="24"/>
          <w:szCs w:val="27"/>
          <w:lang w:eastAsia="tr-TR"/>
        </w:rPr>
        <w:t xml:space="preserve">Karar </w:t>
      </w:r>
      <w:proofErr w:type="gramStart"/>
      <w:r w:rsidRPr="001C1717">
        <w:rPr>
          <w:rFonts w:ascii="Times New Roman" w:eastAsia="Times New Roman" w:hAnsi="Times New Roman" w:cs="Times New Roman"/>
          <w:b/>
          <w:bCs/>
          <w:color w:val="000000"/>
          <w:sz w:val="24"/>
          <w:szCs w:val="27"/>
          <w:lang w:eastAsia="tr-TR"/>
        </w:rPr>
        <w:t>Sayısı : 2003</w:t>
      </w:r>
      <w:proofErr w:type="gramEnd"/>
      <w:r w:rsidRPr="001C1717">
        <w:rPr>
          <w:rFonts w:ascii="Times New Roman" w:eastAsia="Times New Roman" w:hAnsi="Times New Roman" w:cs="Times New Roman"/>
          <w:b/>
          <w:bCs/>
          <w:color w:val="000000"/>
          <w:sz w:val="24"/>
          <w:szCs w:val="27"/>
          <w:lang w:eastAsia="tr-TR"/>
        </w:rPr>
        <w:t>/12</w:t>
      </w:r>
    </w:p>
    <w:p w:rsidR="001C1717" w:rsidRPr="001C1717" w:rsidRDefault="001C1717" w:rsidP="001C1717">
      <w:pPr>
        <w:spacing w:after="0" w:line="240" w:lineRule="auto"/>
        <w:jc w:val="both"/>
        <w:rPr>
          <w:rFonts w:ascii="Times New Roman" w:eastAsia="Times New Roman" w:hAnsi="Times New Roman" w:cs="Times New Roman"/>
          <w:b/>
          <w:bCs/>
          <w:color w:val="000000"/>
          <w:sz w:val="24"/>
          <w:szCs w:val="27"/>
          <w:lang w:eastAsia="tr-TR"/>
        </w:rPr>
      </w:pPr>
      <w:r w:rsidRPr="001C1717">
        <w:rPr>
          <w:rFonts w:ascii="Times New Roman" w:eastAsia="Times New Roman" w:hAnsi="Times New Roman" w:cs="Times New Roman"/>
          <w:b/>
          <w:bCs/>
          <w:color w:val="000000"/>
          <w:sz w:val="24"/>
          <w:szCs w:val="27"/>
          <w:lang w:eastAsia="tr-TR"/>
        </w:rPr>
        <w:t xml:space="preserve">Karar </w:t>
      </w:r>
      <w:proofErr w:type="gramStart"/>
      <w:r w:rsidRPr="001C1717">
        <w:rPr>
          <w:rFonts w:ascii="Times New Roman" w:eastAsia="Times New Roman" w:hAnsi="Times New Roman" w:cs="Times New Roman"/>
          <w:b/>
          <w:bCs/>
          <w:color w:val="000000"/>
          <w:sz w:val="24"/>
          <w:szCs w:val="27"/>
          <w:lang w:eastAsia="tr-TR"/>
        </w:rPr>
        <w:t>Günü : 1</w:t>
      </w:r>
      <w:proofErr w:type="gramEnd"/>
      <w:r w:rsidRPr="001C1717">
        <w:rPr>
          <w:rFonts w:ascii="Times New Roman" w:eastAsia="Times New Roman" w:hAnsi="Times New Roman" w:cs="Times New Roman"/>
          <w:b/>
          <w:bCs/>
          <w:color w:val="000000"/>
          <w:sz w:val="24"/>
          <w:szCs w:val="27"/>
          <w:lang w:eastAsia="tr-TR"/>
        </w:rPr>
        <w:t>.4.2003</w:t>
      </w:r>
    </w:p>
    <w:p w:rsidR="001C1717" w:rsidRPr="001C1717" w:rsidRDefault="001C1717" w:rsidP="001C1717">
      <w:pPr>
        <w:spacing w:after="0" w:line="240" w:lineRule="auto"/>
        <w:jc w:val="both"/>
        <w:rPr>
          <w:rFonts w:ascii="Times New Roman" w:eastAsia="Times New Roman" w:hAnsi="Times New Roman" w:cs="Times New Roman"/>
          <w:b/>
          <w:color w:val="000000"/>
          <w:sz w:val="24"/>
          <w:szCs w:val="27"/>
          <w:lang w:eastAsia="tr-TR"/>
        </w:rPr>
      </w:pPr>
      <w:r w:rsidRPr="001C1717">
        <w:rPr>
          <w:rFonts w:ascii="Times New Roman" w:eastAsia="Times New Roman" w:hAnsi="Times New Roman" w:cs="Times New Roman"/>
          <w:b/>
          <w:bCs/>
          <w:color w:val="000000"/>
          <w:sz w:val="24"/>
          <w:szCs w:val="27"/>
          <w:lang w:eastAsia="tr-TR"/>
        </w:rPr>
        <w:t>Resmi Gazete tarih/sayı: 04.10.2003/25249</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b/>
          <w:bCs/>
          <w:color w:val="000000"/>
          <w:sz w:val="24"/>
          <w:szCs w:val="27"/>
          <w:lang w:eastAsia="tr-TR"/>
        </w:rPr>
        <w:t>İTİRAZ YOLUNA BAŞVURAN:</w:t>
      </w:r>
      <w:r w:rsidRPr="001C1717">
        <w:rPr>
          <w:rFonts w:ascii="Times New Roman" w:eastAsia="Times New Roman" w:hAnsi="Times New Roman" w:cs="Times New Roman"/>
          <w:color w:val="000000"/>
          <w:sz w:val="24"/>
          <w:szCs w:val="27"/>
          <w:lang w:eastAsia="tr-TR"/>
        </w:rPr>
        <w:t> Ankara 2. İdare Mahkemesi</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b/>
          <w:bCs/>
          <w:color w:val="000000"/>
          <w:sz w:val="24"/>
          <w:szCs w:val="27"/>
          <w:lang w:eastAsia="tr-TR"/>
        </w:rPr>
        <w:t>İTİRAZIN KONUSU:</w:t>
      </w:r>
      <w:r w:rsidRPr="001C1717">
        <w:rPr>
          <w:rFonts w:ascii="Times New Roman" w:eastAsia="Times New Roman" w:hAnsi="Times New Roman" w:cs="Times New Roman"/>
          <w:color w:val="000000"/>
          <w:sz w:val="24"/>
          <w:szCs w:val="27"/>
          <w:lang w:eastAsia="tr-TR"/>
        </w:rPr>
        <w:t xml:space="preserve"> 12.12.2001 günlü, 4726 sayılı "2002 Malî Yılı Bütçe </w:t>
      </w:r>
      <w:proofErr w:type="spellStart"/>
      <w:r w:rsidRPr="001C1717">
        <w:rPr>
          <w:rFonts w:ascii="Times New Roman" w:eastAsia="Times New Roman" w:hAnsi="Times New Roman" w:cs="Times New Roman"/>
          <w:color w:val="000000"/>
          <w:sz w:val="24"/>
          <w:szCs w:val="27"/>
          <w:lang w:eastAsia="tr-TR"/>
        </w:rPr>
        <w:t>Kanunu"nun</w:t>
      </w:r>
      <w:proofErr w:type="spellEnd"/>
      <w:r w:rsidRPr="001C1717">
        <w:rPr>
          <w:rFonts w:ascii="Times New Roman" w:eastAsia="Times New Roman" w:hAnsi="Times New Roman" w:cs="Times New Roman"/>
          <w:color w:val="000000"/>
          <w:sz w:val="24"/>
          <w:szCs w:val="27"/>
          <w:lang w:eastAsia="tr-TR"/>
        </w:rPr>
        <w:t xml:space="preserve"> 39. maddesinin (g) fıkrasının, Anayasa'nın 10</w:t>
      </w:r>
      <w:proofErr w:type="gramStart"/>
      <w:r w:rsidRPr="001C1717">
        <w:rPr>
          <w:rFonts w:ascii="Times New Roman" w:eastAsia="Times New Roman" w:hAnsi="Times New Roman" w:cs="Times New Roman"/>
          <w:color w:val="000000"/>
          <w:sz w:val="24"/>
          <w:szCs w:val="27"/>
          <w:lang w:eastAsia="tr-TR"/>
        </w:rPr>
        <w:t>.,</w:t>
      </w:r>
      <w:proofErr w:type="gramEnd"/>
      <w:r w:rsidRPr="001C1717">
        <w:rPr>
          <w:rFonts w:ascii="Times New Roman" w:eastAsia="Times New Roman" w:hAnsi="Times New Roman" w:cs="Times New Roman"/>
          <w:color w:val="000000"/>
          <w:sz w:val="24"/>
          <w:szCs w:val="27"/>
          <w:lang w:eastAsia="tr-TR"/>
        </w:rPr>
        <w:t xml:space="preserve"> 73. ve 161. maddelerine aykırılığı savıyla iptali istemidir.</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b/>
          <w:bCs/>
          <w:color w:val="000000"/>
          <w:sz w:val="24"/>
          <w:szCs w:val="27"/>
          <w:lang w:eastAsia="tr-TR"/>
        </w:rPr>
        <w:t>I- OLAY</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 xml:space="preserve">Aboneler adına tanzim edilen elektrik faturalarından güç bedeli adı altında yapılan tahsilatın iptali istemiyle açılan davada, 4726 sayılı "2002 Malî Yılı Bütçe </w:t>
      </w:r>
      <w:proofErr w:type="spellStart"/>
      <w:r w:rsidRPr="001C1717">
        <w:rPr>
          <w:rFonts w:ascii="Times New Roman" w:eastAsia="Times New Roman" w:hAnsi="Times New Roman" w:cs="Times New Roman"/>
          <w:color w:val="000000"/>
          <w:sz w:val="24"/>
          <w:szCs w:val="27"/>
          <w:lang w:eastAsia="tr-TR"/>
        </w:rPr>
        <w:t>Kanunu"nun</w:t>
      </w:r>
      <w:proofErr w:type="spellEnd"/>
      <w:r w:rsidRPr="001C1717">
        <w:rPr>
          <w:rFonts w:ascii="Times New Roman" w:eastAsia="Times New Roman" w:hAnsi="Times New Roman" w:cs="Times New Roman"/>
          <w:color w:val="000000"/>
          <w:sz w:val="24"/>
          <w:szCs w:val="27"/>
          <w:lang w:eastAsia="tr-TR"/>
        </w:rPr>
        <w:t xml:space="preserve"> 39. maddesinin (g) fıkrasının Anayasa'ya aykırılık savını ciddi bulan Mahkeme, iptali için başvurmuştur.</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b/>
          <w:bCs/>
          <w:color w:val="000000"/>
          <w:sz w:val="24"/>
          <w:szCs w:val="27"/>
          <w:lang w:eastAsia="tr-TR"/>
        </w:rPr>
        <w:t>III- YASA METİNLERİ</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b/>
          <w:bCs/>
          <w:color w:val="000000"/>
          <w:sz w:val="24"/>
          <w:szCs w:val="27"/>
          <w:lang w:eastAsia="tr-TR"/>
        </w:rPr>
        <w:t>A- İtiraz Konusu Yasa Kuralı</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4726 sayılı 2002 Malî Yılı Bütçe Kanunu'nun 39. maddesinin itiraz konusu (g) fıkrası şöyledir:</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"Tek Terimli Tarifelerden enerji alan aboneler adına tanzim edilen her elektrik faturası için güç bedeli tahsil edilir. Bu uygulama imtiyazlı ve görevli şirketleri de kapsar. Bu bedelin miktarlarını tespit etmeye Türkiye Elektrik Dağıtım Anonim Şirketi Yönetim Kurulu, tahsil edilen güç bedellerinin ödenmesine ilişkin usul ve esasları belirlemeye Enerji ve Tabi Kaynaklar Bakanlığı yetkilidir."</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b/>
          <w:bCs/>
          <w:color w:val="000000"/>
          <w:sz w:val="24"/>
          <w:szCs w:val="27"/>
          <w:lang w:eastAsia="tr-TR"/>
        </w:rPr>
        <w:t>B- Dayanılan ve İlgili Görülen Anayasa Kuralları</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Başvuru kararında, Anayasa'nın 10</w:t>
      </w:r>
      <w:proofErr w:type="gramStart"/>
      <w:r w:rsidRPr="001C1717">
        <w:rPr>
          <w:rFonts w:ascii="Times New Roman" w:eastAsia="Times New Roman" w:hAnsi="Times New Roman" w:cs="Times New Roman"/>
          <w:color w:val="000000"/>
          <w:sz w:val="24"/>
          <w:szCs w:val="27"/>
          <w:lang w:eastAsia="tr-TR"/>
        </w:rPr>
        <w:t>.,</w:t>
      </w:r>
      <w:proofErr w:type="gramEnd"/>
      <w:r w:rsidRPr="001C1717">
        <w:rPr>
          <w:rFonts w:ascii="Times New Roman" w:eastAsia="Times New Roman" w:hAnsi="Times New Roman" w:cs="Times New Roman"/>
          <w:color w:val="000000"/>
          <w:sz w:val="24"/>
          <w:szCs w:val="27"/>
          <w:lang w:eastAsia="tr-TR"/>
        </w:rPr>
        <w:t xml:space="preserve"> 73. ve 161. maddelerine dayanılmış, 87., 88., 89. ve 162. maddeleriyle de ilgili görülmüştür.</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b/>
          <w:bCs/>
          <w:color w:val="000000"/>
          <w:sz w:val="24"/>
          <w:szCs w:val="27"/>
          <w:lang w:eastAsia="tr-TR"/>
        </w:rPr>
        <w:t>IV- İLK İNCELEME</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 xml:space="preserve">Anayasa Mahkemesi </w:t>
      </w:r>
      <w:proofErr w:type="spellStart"/>
      <w:r w:rsidRPr="001C1717">
        <w:rPr>
          <w:rFonts w:ascii="Times New Roman" w:eastAsia="Times New Roman" w:hAnsi="Times New Roman" w:cs="Times New Roman"/>
          <w:color w:val="000000"/>
          <w:sz w:val="24"/>
          <w:szCs w:val="27"/>
          <w:lang w:eastAsia="tr-TR"/>
        </w:rPr>
        <w:t>İçtüzüğü'nün</w:t>
      </w:r>
      <w:proofErr w:type="spellEnd"/>
      <w:r w:rsidRPr="001C1717">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1C1717">
        <w:rPr>
          <w:rFonts w:ascii="Times New Roman" w:eastAsia="Times New Roman" w:hAnsi="Times New Roman" w:cs="Times New Roman"/>
          <w:color w:val="000000"/>
          <w:sz w:val="24"/>
          <w:szCs w:val="27"/>
          <w:lang w:eastAsia="tr-TR"/>
        </w:rPr>
        <w:t>Sacit</w:t>
      </w:r>
      <w:proofErr w:type="spellEnd"/>
      <w:r w:rsidRPr="001C1717">
        <w:rPr>
          <w:rFonts w:ascii="Times New Roman" w:eastAsia="Times New Roman" w:hAnsi="Times New Roman" w:cs="Times New Roman"/>
          <w:color w:val="000000"/>
          <w:sz w:val="24"/>
          <w:szCs w:val="27"/>
          <w:lang w:eastAsia="tr-TR"/>
        </w:rPr>
        <w:t xml:space="preserve"> ADALI, Ali HÜNER, Fulya KANTARCIOĞLU, Ertuğrul ERSOY, Tülay TUĞCU, Ahmet AKYALÇIN, Enis TUNGA ve Mehmet </w:t>
      </w:r>
      <w:proofErr w:type="spellStart"/>
      <w:r w:rsidRPr="001C1717">
        <w:rPr>
          <w:rFonts w:ascii="Times New Roman" w:eastAsia="Times New Roman" w:hAnsi="Times New Roman" w:cs="Times New Roman"/>
          <w:color w:val="000000"/>
          <w:sz w:val="24"/>
          <w:szCs w:val="27"/>
          <w:lang w:eastAsia="tr-TR"/>
        </w:rPr>
        <w:t>ERTEN'in</w:t>
      </w:r>
      <w:proofErr w:type="spellEnd"/>
      <w:r w:rsidRPr="001C1717">
        <w:rPr>
          <w:rFonts w:ascii="Times New Roman" w:eastAsia="Times New Roman" w:hAnsi="Times New Roman" w:cs="Times New Roman"/>
          <w:color w:val="000000"/>
          <w:sz w:val="24"/>
          <w:szCs w:val="27"/>
          <w:lang w:eastAsia="tr-TR"/>
        </w:rPr>
        <w:t xml:space="preserve"> katılmalarıyla 1.4.2003 günü yapılan ilk inceleme toplantısında, "dosyada eksiklik bulunmadığından işin esasının incelenmesine oybirliğiyle" karar verilmiştir.</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b/>
          <w:bCs/>
          <w:color w:val="000000"/>
          <w:sz w:val="24"/>
          <w:szCs w:val="27"/>
          <w:lang w:eastAsia="tr-TR"/>
        </w:rPr>
        <w:lastRenderedPageBreak/>
        <w:t>V- ESASIN İNCELENMESİ</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Başvuru kararı ve ekleri, işin esasına ilişkin rapor, itiraz konusu Yasa kuralı, dayanılan ve ilgili görülen Anayasa kuralları ile bunların gerekçeleri ve diğer yasama belgeleri okunup incelendikten sonra gereği görüşülüp düşünüldü:</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4726 sayılı 2002 Malî Yılı Bütçe Kanunu'nun 39. maddesinin (g) fıkrasında "Tek Terimli Tarifelerden enerji alan aboneler adına tanzim edilen her elektrik faturası için güç bedeli tahsil edilir. Bu uygulama imtiyazlı ve görevli şirketleri de kapsar. Bu bedelin miktarlarını tespit etmeye Türkiye Elektrik Dağıtım Anonim Şirketi Yönetim Kurulu, tahsil edilen güç bedellerinin ödenmesine ilişkin usul ve esasları belirlemeye Enerji ve Tabi Kaynaklar Bakanlığı yetkilidir" denilmektedir.</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Başvuru kararında, 4726 sayılı 2002 Malî Yılı Bütçe Kanunu'nun 39. maddesinin (g) fıkrasının, bütçeyle ilgisi olmaması nedeniyle Anayasa'nın 10</w:t>
      </w:r>
      <w:proofErr w:type="gramStart"/>
      <w:r w:rsidRPr="001C1717">
        <w:rPr>
          <w:rFonts w:ascii="Times New Roman" w:eastAsia="Times New Roman" w:hAnsi="Times New Roman" w:cs="Times New Roman"/>
          <w:color w:val="000000"/>
          <w:sz w:val="24"/>
          <w:szCs w:val="27"/>
          <w:lang w:eastAsia="tr-TR"/>
        </w:rPr>
        <w:t>.,</w:t>
      </w:r>
      <w:proofErr w:type="gramEnd"/>
      <w:r w:rsidRPr="001C1717">
        <w:rPr>
          <w:rFonts w:ascii="Times New Roman" w:eastAsia="Times New Roman" w:hAnsi="Times New Roman" w:cs="Times New Roman"/>
          <w:color w:val="000000"/>
          <w:sz w:val="24"/>
          <w:szCs w:val="27"/>
          <w:lang w:eastAsia="tr-TR"/>
        </w:rPr>
        <w:t xml:space="preserve"> 73. ve 161. maddelerine aykırı olduğu ileri sürülmüştür.</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 xml:space="preserve">2949 sayılı Anayasa Mahkemesinin Kuruluş ve Yargılama Usulleri Hakkında Kanun'un 29. maddesine göre, Anayasa Mahkemesi, yasaların, kanun hükmünde kararnamelerin ve TBMM </w:t>
      </w:r>
      <w:proofErr w:type="spellStart"/>
      <w:r w:rsidRPr="001C1717">
        <w:rPr>
          <w:rFonts w:ascii="Times New Roman" w:eastAsia="Times New Roman" w:hAnsi="Times New Roman" w:cs="Times New Roman"/>
          <w:color w:val="000000"/>
          <w:sz w:val="24"/>
          <w:szCs w:val="27"/>
          <w:lang w:eastAsia="tr-TR"/>
        </w:rPr>
        <w:t>İçtüzüğü'nün</w:t>
      </w:r>
      <w:proofErr w:type="spellEnd"/>
      <w:r w:rsidRPr="001C1717">
        <w:rPr>
          <w:rFonts w:ascii="Times New Roman" w:eastAsia="Times New Roman" w:hAnsi="Times New Roman" w:cs="Times New Roman"/>
          <w:color w:val="000000"/>
          <w:sz w:val="24"/>
          <w:szCs w:val="27"/>
          <w:lang w:eastAsia="tr-TR"/>
        </w:rPr>
        <w:t xml:space="preserve"> Anayasa'ya aykırılığı konusunda ilgililer tarafından ileri sürülen gerekçelere dayanmak zorunda değildir. İstemle bağlı kalmak koşuluyla başka gerekçe ile de Anayasa'ya aykırılık kararı verebileceğinden, itiraz konusu kural ilgisi nedeniyle Anayasa'nın 87, 88, 89 ve 162. maddeleri yönünden de incelenmiştir.</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 xml:space="preserve">Anayasa'nın 87. maddesinde, Türkiye Büyük Millet Meclisi'nin görev ve yetkileri yasa koymak, değiştirmek ve kaldırmak yanında bütçe yasa tasarısını görüşmek ve kabul etmek olarak belirtilmiştir. Bütçe yasalarıyla diğer yasalar arasında yapılan bu ayrım karşısında, herhangi bir yasa ile düzenlenmesi gereken bir konunun bütçe yasası ile düzenlenmesine veya herhangi bir yasada yer alan hükmün bütçe yasaları ile değiştirilmesine ve kaldırılmasına </w:t>
      </w:r>
      <w:proofErr w:type="gramStart"/>
      <w:r w:rsidRPr="001C1717">
        <w:rPr>
          <w:rFonts w:ascii="Times New Roman" w:eastAsia="Times New Roman" w:hAnsi="Times New Roman" w:cs="Times New Roman"/>
          <w:color w:val="000000"/>
          <w:sz w:val="24"/>
          <w:szCs w:val="27"/>
          <w:lang w:eastAsia="tr-TR"/>
        </w:rPr>
        <w:t>imkan</w:t>
      </w:r>
      <w:proofErr w:type="gramEnd"/>
      <w:r w:rsidRPr="001C1717">
        <w:rPr>
          <w:rFonts w:ascii="Times New Roman" w:eastAsia="Times New Roman" w:hAnsi="Times New Roman" w:cs="Times New Roman"/>
          <w:color w:val="000000"/>
          <w:sz w:val="24"/>
          <w:szCs w:val="27"/>
          <w:lang w:eastAsia="tr-TR"/>
        </w:rPr>
        <w:t xml:space="preserve"> bulunmamaktadır.</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Anayasa'nın 88. ve 89. maddelerinde yasa tasarı ve tekliflerinin Türkiye Büyük Millet Meclis'ince görüşülmesi usul ve esasları ile yayınlanması düzenlenirken, bütçe yasa tasarılarının görüşülme usul ve esasları 162. maddede ayrıca belirtilmiştir. Bu maddeye göre, bütçe yasa tasarılarının görüşülme usul ve esasları 162. maddede ayrıca belirtilmiştir. Bu maddeye göre, bütçe yasa tasarılarının görüşülmesinde ayrı bir yöntem kabul edilmiş, Genel Kurul'da üyelerin gider arttırıcı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Anayasa'da birbirinden tamamen ayrı ve değişik biçimde düzenlenen bu iki yasalaştırma yönteminin doğal sonucu olarak birinin konusuna giren bir işin, ötekiyle ilgili yöntemin uygulanması ile düzenlenmesi, değiştirilmesi ve kaldırılması mümkün bulunmamaktadır.</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 xml:space="preserve">Anayasa'nın 161. maddesinin son fıkrasında, "Bütçe kanununa bütçe ile ilgili hükümler dışında hiçbir hüküm konulamaz" denilmektedir. Maddenin gerekçesinde de belirtildiği gibi, bütçe yasalarının öteki yasalardan ayrı olmaları nedeniyle, bir yasa kuralı nasıl aynı nitelikte bir yasa kuralıyla değiştirilebilirse bütçe yasalarının da aynı yöntemle hazırlanmış ve kabul </w:t>
      </w:r>
      <w:r w:rsidRPr="001C1717">
        <w:rPr>
          <w:rFonts w:ascii="Times New Roman" w:eastAsia="Times New Roman" w:hAnsi="Times New Roman" w:cs="Times New Roman"/>
          <w:color w:val="000000"/>
          <w:sz w:val="24"/>
          <w:szCs w:val="27"/>
          <w:lang w:eastAsia="tr-TR"/>
        </w:rPr>
        <w:lastRenderedPageBreak/>
        <w:t>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 xml:space="preserve">Bir yasa kuralının bütçeden gider yapmayı ya da bütçeye gelir sağlamayı gerektirir nitelikte bulunması, mutlak biçimde "bütçe ile ilgili hükümlerden" sayılmasına yetmez. Her yasada gidere neden olabilecek değişik türde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gidebilir. </w:t>
      </w:r>
      <w:proofErr w:type="gramStart"/>
      <w:r w:rsidRPr="001C1717">
        <w:rPr>
          <w:rFonts w:ascii="Times New Roman" w:eastAsia="Times New Roman" w:hAnsi="Times New Roman" w:cs="Times New Roman"/>
          <w:color w:val="000000"/>
          <w:sz w:val="24"/>
          <w:szCs w:val="27"/>
          <w:lang w:eastAsia="tr-TR"/>
        </w:rPr>
        <w:t>Oysa,</w:t>
      </w:r>
      <w:proofErr w:type="gramEnd"/>
      <w:r w:rsidRPr="001C1717">
        <w:rPr>
          <w:rFonts w:ascii="Times New Roman" w:eastAsia="Times New Roman" w:hAnsi="Times New Roman" w:cs="Times New Roman"/>
          <w:color w:val="000000"/>
          <w:sz w:val="24"/>
          <w:szCs w:val="27"/>
          <w:lang w:eastAsia="tr-TR"/>
        </w:rPr>
        <w:t xml:space="preserve"> bu tür yasa düzenlemeleri, bütçenin yapılması ve uygulanması yöntemiyle ilişkisi bulunmayan, </w:t>
      </w:r>
      <w:proofErr w:type="spellStart"/>
      <w:r w:rsidRPr="001C1717">
        <w:rPr>
          <w:rFonts w:ascii="Times New Roman" w:eastAsia="Times New Roman" w:hAnsi="Times New Roman" w:cs="Times New Roman"/>
          <w:color w:val="000000"/>
          <w:sz w:val="24"/>
          <w:szCs w:val="27"/>
          <w:lang w:eastAsia="tr-TR"/>
        </w:rPr>
        <w:t>yasakoyucunun</w:t>
      </w:r>
      <w:proofErr w:type="spellEnd"/>
      <w:r w:rsidRPr="001C1717">
        <w:rPr>
          <w:rFonts w:ascii="Times New Roman" w:eastAsia="Times New Roman" w:hAnsi="Times New Roman" w:cs="Times New Roman"/>
          <w:color w:val="000000"/>
          <w:sz w:val="24"/>
          <w:szCs w:val="27"/>
          <w:lang w:eastAsia="tr-TR"/>
        </w:rPr>
        <w:t xml:space="preserve"> başka amaçla ve bütçe yasalarından tümüyle değişik yöntemlerle gerçekleştirmesi gereken yasama işlemleridir. 161. maddedeki "bütçe ile ilgili hüküm" ibaresine dayanılarak, gider ya da gelirle ilgili bir konuyu olağan bir yasa yerine bütçe yasası ile düzenlemek, Anayasa'nın 88. ve 89. maddelerini bu tür yasalar bakımından uygulanamaz duruma düşürmektedir.</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Anayasa'nın 161. ve 162. maddelerinin getiriliş amacı, bütçe yasalarında yıllık bütçe kavramı dışındaki konulara yer vermemek, böylece bütçe yasalarını ilgisiz kurallardan uzak tutarak kendi yapısı içinde bütünleştirmektir.</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3154 sayılı Enerji ve Tabi Kaynaklar Bakanlığı'nın Teşkilat ve Görevleri Hakkında Kanun'un 2. ve 10. maddeleri uyarınca, enerji politikasını ve fiyatlandırma esaslarına bağlı olarak abonelerden hizmet karşılığı alınması gereken bedelleri belirleme yetkisi Enerji ve Tabi Kaynaklar Bakanlığı Enerji İşleri Genel Müdürlüğü'ne verilmiştir.</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2002 Malî Yılı Bütçe Kanunu'nun 39. maddesinin (g) fıkrasıyla tek terimli tarifelerden enerji alan abonelere güç bedeli ödeme zorunluluğu getirilmesi ve bu bedeli belirleme yetkisinin TEDAŞ Yönetim Kurulu'na verilmesi, 3154 sayılı Yasa hükümlerinin 2002 malî yılında değiştirilmesi sonucunu doğurmaktadır.</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Bu nedenle, bütçeyle ilgisi bulunmaması ve diğer yasalarla düzenlenmesi gereken bir konunun bütçe yasasıyla düzenlenmesi Anayasa'nın 87</w:t>
      </w:r>
      <w:proofErr w:type="gramStart"/>
      <w:r w:rsidRPr="001C1717">
        <w:rPr>
          <w:rFonts w:ascii="Times New Roman" w:eastAsia="Times New Roman" w:hAnsi="Times New Roman" w:cs="Times New Roman"/>
          <w:color w:val="000000"/>
          <w:sz w:val="24"/>
          <w:szCs w:val="27"/>
          <w:lang w:eastAsia="tr-TR"/>
        </w:rPr>
        <w:t>.,</w:t>
      </w:r>
      <w:proofErr w:type="gramEnd"/>
      <w:r w:rsidRPr="001C1717">
        <w:rPr>
          <w:rFonts w:ascii="Times New Roman" w:eastAsia="Times New Roman" w:hAnsi="Times New Roman" w:cs="Times New Roman"/>
          <w:color w:val="000000"/>
          <w:sz w:val="24"/>
          <w:szCs w:val="27"/>
          <w:lang w:eastAsia="tr-TR"/>
        </w:rPr>
        <w:t xml:space="preserve"> 88., 89. 161., 162. maddelerine aykırılık oluşturduğundan itiraz konusu kuralın iptali gerekir.</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Konunun Anayasa'nın 10. ve 73. maddeleri yönünden ayrıca incelenmesine gerek görülmemiştir.</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b/>
          <w:bCs/>
          <w:color w:val="000000"/>
          <w:sz w:val="24"/>
          <w:szCs w:val="27"/>
          <w:lang w:eastAsia="tr-TR"/>
        </w:rPr>
        <w:t>VI- SONUÇ</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 xml:space="preserve">12.12.2001 günlü, 4726 sayılı "2002 Malî Yılı Bütçe </w:t>
      </w:r>
      <w:proofErr w:type="spellStart"/>
      <w:r w:rsidRPr="001C1717">
        <w:rPr>
          <w:rFonts w:ascii="Times New Roman" w:eastAsia="Times New Roman" w:hAnsi="Times New Roman" w:cs="Times New Roman"/>
          <w:color w:val="000000"/>
          <w:sz w:val="24"/>
          <w:szCs w:val="27"/>
          <w:lang w:eastAsia="tr-TR"/>
        </w:rPr>
        <w:t>Kanunu"nun</w:t>
      </w:r>
      <w:proofErr w:type="spellEnd"/>
      <w:r w:rsidRPr="001C1717">
        <w:rPr>
          <w:rFonts w:ascii="Times New Roman" w:eastAsia="Times New Roman" w:hAnsi="Times New Roman" w:cs="Times New Roman"/>
          <w:color w:val="000000"/>
          <w:sz w:val="24"/>
          <w:szCs w:val="27"/>
          <w:lang w:eastAsia="tr-TR"/>
        </w:rPr>
        <w:t xml:space="preserve"> 39. maddesinin (g) fıkrasının Anayasa'ya aykırı olduğuna ve İPTALİNE, 1.4.2003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C1717" w:rsidRPr="001C1717" w:rsidTr="001C1717">
        <w:trPr>
          <w:tblCellSpacing w:w="0" w:type="dxa"/>
          <w:jc w:val="center"/>
        </w:trPr>
        <w:tc>
          <w:tcPr>
            <w:tcW w:w="1667" w:type="pct"/>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color w:val="000000"/>
                <w:sz w:val="24"/>
                <w:szCs w:val="27"/>
                <w:lang w:eastAsia="tr-TR"/>
              </w:rPr>
              <w:t> </w:t>
            </w:r>
            <w:bookmarkStart w:id="0" w:name="_GoBack"/>
            <w:bookmarkEnd w:id="0"/>
            <w:r w:rsidRPr="001C1717">
              <w:rPr>
                <w:rFonts w:ascii="Times New Roman" w:eastAsia="Times New Roman" w:hAnsi="Times New Roman" w:cs="Times New Roman"/>
                <w:sz w:val="24"/>
                <w:szCs w:val="24"/>
                <w:lang w:eastAsia="tr-TR"/>
              </w:rPr>
              <w:t> </w:t>
            </w:r>
          </w:p>
        </w:tc>
        <w:tc>
          <w:tcPr>
            <w:tcW w:w="1667" w:type="pct"/>
            <w:gridSpan w:val="2"/>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 </w:t>
            </w:r>
          </w:p>
        </w:tc>
        <w:tc>
          <w:tcPr>
            <w:tcW w:w="1666" w:type="pct"/>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 </w:t>
            </w:r>
          </w:p>
        </w:tc>
      </w:tr>
      <w:tr w:rsidR="001C1717" w:rsidRPr="001C1717" w:rsidTr="001C1717">
        <w:trPr>
          <w:tblCellSpacing w:w="0" w:type="dxa"/>
          <w:jc w:val="center"/>
        </w:trPr>
        <w:tc>
          <w:tcPr>
            <w:tcW w:w="1667" w:type="pct"/>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Başkan</w:t>
            </w:r>
          </w:p>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Mustafa BUMİN</w:t>
            </w:r>
          </w:p>
        </w:tc>
        <w:tc>
          <w:tcPr>
            <w:tcW w:w="1667" w:type="pct"/>
            <w:gridSpan w:val="2"/>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Başkanvekili</w:t>
            </w:r>
          </w:p>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Haşim KILIÇ</w:t>
            </w:r>
          </w:p>
        </w:tc>
        <w:tc>
          <w:tcPr>
            <w:tcW w:w="1666" w:type="pct"/>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Üye</w:t>
            </w:r>
          </w:p>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Yalçın ACARGÜN</w:t>
            </w:r>
          </w:p>
        </w:tc>
      </w:tr>
      <w:tr w:rsidR="001C1717" w:rsidRPr="001C1717" w:rsidTr="001C1717">
        <w:trPr>
          <w:tblCellSpacing w:w="0" w:type="dxa"/>
          <w:jc w:val="center"/>
        </w:trPr>
        <w:tc>
          <w:tcPr>
            <w:tcW w:w="1667" w:type="pct"/>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 </w:t>
            </w:r>
          </w:p>
        </w:tc>
        <w:tc>
          <w:tcPr>
            <w:tcW w:w="1667" w:type="pct"/>
            <w:gridSpan w:val="2"/>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 </w:t>
            </w:r>
          </w:p>
        </w:tc>
        <w:tc>
          <w:tcPr>
            <w:tcW w:w="1666" w:type="pct"/>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 </w:t>
            </w:r>
          </w:p>
        </w:tc>
      </w:tr>
      <w:tr w:rsidR="001C1717" w:rsidRPr="001C1717" w:rsidTr="001C1717">
        <w:trPr>
          <w:tblCellSpacing w:w="0" w:type="dxa"/>
          <w:jc w:val="center"/>
        </w:trPr>
        <w:tc>
          <w:tcPr>
            <w:tcW w:w="1667" w:type="pct"/>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lastRenderedPageBreak/>
              <w:t>Üye</w:t>
            </w:r>
          </w:p>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C1717">
              <w:rPr>
                <w:rFonts w:ascii="Times New Roman" w:eastAsia="Times New Roman" w:hAnsi="Times New Roman" w:cs="Times New Roman"/>
                <w:sz w:val="24"/>
                <w:szCs w:val="24"/>
                <w:lang w:eastAsia="tr-TR"/>
              </w:rPr>
              <w:t>Sacit</w:t>
            </w:r>
            <w:proofErr w:type="spellEnd"/>
            <w:r w:rsidRPr="001C1717">
              <w:rPr>
                <w:rFonts w:ascii="Times New Roman" w:eastAsia="Times New Roman" w:hAnsi="Times New Roman" w:cs="Times New Roman"/>
                <w:sz w:val="24"/>
                <w:szCs w:val="24"/>
                <w:lang w:eastAsia="tr-TR"/>
              </w:rPr>
              <w:t xml:space="preserve"> ADALI</w:t>
            </w:r>
          </w:p>
        </w:tc>
        <w:tc>
          <w:tcPr>
            <w:tcW w:w="1667" w:type="pct"/>
            <w:gridSpan w:val="2"/>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Üye</w:t>
            </w:r>
          </w:p>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Ali HÜNER</w:t>
            </w:r>
          </w:p>
        </w:tc>
        <w:tc>
          <w:tcPr>
            <w:tcW w:w="1666" w:type="pct"/>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Üye</w:t>
            </w:r>
          </w:p>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Fulya KANTARCIOĞLU</w:t>
            </w:r>
          </w:p>
        </w:tc>
      </w:tr>
      <w:tr w:rsidR="001C1717" w:rsidRPr="001C1717" w:rsidTr="001C1717">
        <w:trPr>
          <w:tblCellSpacing w:w="0" w:type="dxa"/>
          <w:jc w:val="center"/>
        </w:trPr>
        <w:tc>
          <w:tcPr>
            <w:tcW w:w="1667" w:type="pct"/>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 </w:t>
            </w:r>
          </w:p>
        </w:tc>
        <w:tc>
          <w:tcPr>
            <w:tcW w:w="1667" w:type="pct"/>
            <w:gridSpan w:val="2"/>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 </w:t>
            </w:r>
          </w:p>
        </w:tc>
        <w:tc>
          <w:tcPr>
            <w:tcW w:w="1666" w:type="pct"/>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 </w:t>
            </w:r>
          </w:p>
        </w:tc>
      </w:tr>
      <w:tr w:rsidR="001C1717" w:rsidRPr="001C1717" w:rsidTr="001C1717">
        <w:trPr>
          <w:tblCellSpacing w:w="0" w:type="dxa"/>
          <w:jc w:val="center"/>
        </w:trPr>
        <w:tc>
          <w:tcPr>
            <w:tcW w:w="1667" w:type="pct"/>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Üye</w:t>
            </w:r>
          </w:p>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Ertuğrul ERSOY</w:t>
            </w:r>
          </w:p>
        </w:tc>
        <w:tc>
          <w:tcPr>
            <w:tcW w:w="1667" w:type="pct"/>
            <w:gridSpan w:val="2"/>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Üye</w:t>
            </w:r>
          </w:p>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Tülay TUĞCU</w:t>
            </w:r>
          </w:p>
        </w:tc>
        <w:tc>
          <w:tcPr>
            <w:tcW w:w="1666" w:type="pct"/>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Üye</w:t>
            </w:r>
          </w:p>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Ahmet AKYALÇIN</w:t>
            </w:r>
          </w:p>
        </w:tc>
      </w:tr>
      <w:tr w:rsidR="001C1717" w:rsidRPr="001C1717" w:rsidTr="001C1717">
        <w:trPr>
          <w:tblCellSpacing w:w="0" w:type="dxa"/>
          <w:jc w:val="center"/>
        </w:trPr>
        <w:tc>
          <w:tcPr>
            <w:tcW w:w="2500" w:type="pct"/>
            <w:gridSpan w:val="2"/>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 </w:t>
            </w:r>
          </w:p>
        </w:tc>
        <w:tc>
          <w:tcPr>
            <w:tcW w:w="2500" w:type="pct"/>
            <w:gridSpan w:val="2"/>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 </w:t>
            </w:r>
          </w:p>
        </w:tc>
      </w:tr>
      <w:tr w:rsidR="001C1717" w:rsidRPr="001C1717" w:rsidTr="001C1717">
        <w:trPr>
          <w:tblCellSpacing w:w="0" w:type="dxa"/>
          <w:jc w:val="center"/>
        </w:trPr>
        <w:tc>
          <w:tcPr>
            <w:tcW w:w="2500" w:type="pct"/>
            <w:gridSpan w:val="2"/>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Üye</w:t>
            </w:r>
          </w:p>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Enis TUNGA</w:t>
            </w:r>
          </w:p>
        </w:tc>
        <w:tc>
          <w:tcPr>
            <w:tcW w:w="2500" w:type="pct"/>
            <w:gridSpan w:val="2"/>
            <w:hideMark/>
          </w:tcPr>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Üye</w:t>
            </w:r>
          </w:p>
          <w:p w:rsidR="001C1717" w:rsidRPr="001C1717" w:rsidRDefault="001C1717" w:rsidP="001C1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1717">
              <w:rPr>
                <w:rFonts w:ascii="Times New Roman" w:eastAsia="Times New Roman" w:hAnsi="Times New Roman" w:cs="Times New Roman"/>
                <w:sz w:val="24"/>
                <w:szCs w:val="24"/>
                <w:lang w:eastAsia="tr-TR"/>
              </w:rPr>
              <w:t>Mehmet ERTEN</w:t>
            </w:r>
          </w:p>
        </w:tc>
      </w:tr>
    </w:tbl>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 </w:t>
      </w:r>
    </w:p>
    <w:p w:rsidR="001C1717" w:rsidRPr="001C1717" w:rsidRDefault="001C1717" w:rsidP="001C17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1717">
        <w:rPr>
          <w:rFonts w:ascii="Times New Roman" w:eastAsia="Times New Roman" w:hAnsi="Times New Roman" w:cs="Times New Roman"/>
          <w:color w:val="000000"/>
          <w:sz w:val="24"/>
          <w:szCs w:val="27"/>
          <w:lang w:eastAsia="tr-TR"/>
        </w:rPr>
        <w:t> </w:t>
      </w:r>
    </w:p>
    <w:p w:rsidR="00CE1FB9" w:rsidRPr="001C1717" w:rsidRDefault="00CE1FB9" w:rsidP="001C1717">
      <w:pPr>
        <w:spacing w:before="100" w:beforeAutospacing="1" w:after="100" w:afterAutospacing="1" w:line="240" w:lineRule="auto"/>
        <w:ind w:firstLine="709"/>
        <w:jc w:val="both"/>
        <w:rPr>
          <w:rFonts w:ascii="Times New Roman" w:hAnsi="Times New Roman" w:cs="Times New Roman"/>
          <w:sz w:val="24"/>
        </w:rPr>
      </w:pPr>
    </w:p>
    <w:sectPr w:rsidR="00CE1FB9" w:rsidRPr="001C1717" w:rsidSect="001C171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6DA" w:rsidRDefault="006926DA" w:rsidP="001C1717">
      <w:pPr>
        <w:spacing w:after="0" w:line="240" w:lineRule="auto"/>
      </w:pPr>
      <w:r>
        <w:separator/>
      </w:r>
    </w:p>
  </w:endnote>
  <w:endnote w:type="continuationSeparator" w:id="0">
    <w:p w:rsidR="006926DA" w:rsidRDefault="006926DA" w:rsidP="001C1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717" w:rsidRDefault="001C1717" w:rsidP="00E233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C1717" w:rsidRDefault="001C1717" w:rsidP="001C17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717" w:rsidRPr="001C1717" w:rsidRDefault="001C1717" w:rsidP="00E23323">
    <w:pPr>
      <w:pStyle w:val="Altbilgi"/>
      <w:framePr w:wrap="around" w:vAnchor="text" w:hAnchor="margin" w:xAlign="right" w:y="1"/>
      <w:rPr>
        <w:rStyle w:val="SayfaNumaras"/>
        <w:rFonts w:ascii="Times New Roman" w:hAnsi="Times New Roman" w:cs="Times New Roman"/>
      </w:rPr>
    </w:pPr>
    <w:r w:rsidRPr="001C1717">
      <w:rPr>
        <w:rStyle w:val="SayfaNumaras"/>
        <w:rFonts w:ascii="Times New Roman" w:hAnsi="Times New Roman" w:cs="Times New Roman"/>
      </w:rPr>
      <w:fldChar w:fldCharType="begin"/>
    </w:r>
    <w:r w:rsidRPr="001C1717">
      <w:rPr>
        <w:rStyle w:val="SayfaNumaras"/>
        <w:rFonts w:ascii="Times New Roman" w:hAnsi="Times New Roman" w:cs="Times New Roman"/>
      </w:rPr>
      <w:instrText xml:space="preserve">PAGE  </w:instrText>
    </w:r>
    <w:r w:rsidRPr="001C1717">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1C1717">
      <w:rPr>
        <w:rStyle w:val="SayfaNumaras"/>
        <w:rFonts w:ascii="Times New Roman" w:hAnsi="Times New Roman" w:cs="Times New Roman"/>
      </w:rPr>
      <w:fldChar w:fldCharType="end"/>
    </w:r>
  </w:p>
  <w:p w:rsidR="001C1717" w:rsidRPr="001C1717" w:rsidRDefault="001C1717" w:rsidP="001C171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717" w:rsidRDefault="001C17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6DA" w:rsidRDefault="006926DA" w:rsidP="001C1717">
      <w:pPr>
        <w:spacing w:after="0" w:line="240" w:lineRule="auto"/>
      </w:pPr>
      <w:r>
        <w:separator/>
      </w:r>
    </w:p>
  </w:footnote>
  <w:footnote w:type="continuationSeparator" w:id="0">
    <w:p w:rsidR="006926DA" w:rsidRDefault="006926DA" w:rsidP="001C1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717" w:rsidRDefault="001C171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717" w:rsidRDefault="001C171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/19</w:t>
    </w:r>
  </w:p>
  <w:p w:rsidR="001C1717" w:rsidRDefault="001C171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/12</w:t>
    </w:r>
  </w:p>
  <w:p w:rsidR="001C1717" w:rsidRPr="001C1717" w:rsidRDefault="001C171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717" w:rsidRDefault="001C17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AB"/>
    <w:rsid w:val="001C1717"/>
    <w:rsid w:val="006926DA"/>
    <w:rsid w:val="006F52A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F800C-7BF6-44F5-9A41-202077DE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C1717"/>
    <w:rPr>
      <w:color w:val="0000FF"/>
      <w:u w:val="single"/>
    </w:rPr>
  </w:style>
  <w:style w:type="paragraph" w:styleId="NormalWeb">
    <w:name w:val="Normal (Web)"/>
    <w:basedOn w:val="Normal"/>
    <w:uiPriority w:val="99"/>
    <w:semiHidden/>
    <w:unhideWhenUsed/>
    <w:rsid w:val="001C17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C17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1717"/>
  </w:style>
  <w:style w:type="paragraph" w:styleId="Altbilgi">
    <w:name w:val="footer"/>
    <w:basedOn w:val="Normal"/>
    <w:link w:val="AltbilgiChar"/>
    <w:uiPriority w:val="99"/>
    <w:unhideWhenUsed/>
    <w:rsid w:val="001C17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1717"/>
  </w:style>
  <w:style w:type="character" w:styleId="SayfaNumaras">
    <w:name w:val="page number"/>
    <w:basedOn w:val="VarsaylanParagrafYazTipi"/>
    <w:uiPriority w:val="99"/>
    <w:semiHidden/>
    <w:unhideWhenUsed/>
    <w:rsid w:val="001C1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6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1202</Words>
  <Characters>6855</Characters>
  <Application>Microsoft Office Word</Application>
  <DocSecurity>0</DocSecurity>
  <Lines>57</Lines>
  <Paragraphs>16</Paragraphs>
  <ScaleCrop>false</ScaleCrop>
  <Company/>
  <LinksUpToDate>false</LinksUpToDate>
  <CharactersWithSpaces>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2019-01-15T08:15:00Z</dcterms:created>
  <dcterms:modified xsi:type="dcterms:W3CDTF">2019-01-15T08:16:00Z</dcterms:modified>
</cp:coreProperties>
</file>