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B8D" w:rsidRPr="00D13B8D" w:rsidRDefault="00D13B8D" w:rsidP="00D13B8D">
      <w:pPr>
        <w:spacing w:before="100" w:after="100" w:line="240" w:lineRule="auto"/>
        <w:jc w:val="center"/>
        <w:rPr>
          <w:rFonts w:ascii="Times New Roman" w:eastAsia="Times New Roman" w:hAnsi="Times New Roman" w:cs="Times New Roman"/>
          <w:b/>
          <w:bCs/>
          <w:color w:val="000000"/>
          <w:sz w:val="24"/>
          <w:szCs w:val="27"/>
          <w:lang w:eastAsia="tr-TR"/>
        </w:rPr>
      </w:pPr>
      <w:r w:rsidRPr="00D13B8D">
        <w:rPr>
          <w:rFonts w:ascii="Times New Roman" w:eastAsia="Times New Roman" w:hAnsi="Times New Roman" w:cs="Times New Roman"/>
          <w:b/>
          <w:bCs/>
          <w:color w:val="000000"/>
          <w:sz w:val="24"/>
          <w:szCs w:val="27"/>
          <w:lang w:eastAsia="tr-TR"/>
        </w:rPr>
        <w:t>ANAYASA MAHKEMESİ KARARI</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w:t>
      </w:r>
    </w:p>
    <w:p w:rsidR="00D13B8D" w:rsidRPr="00D13B8D" w:rsidRDefault="00D13B8D" w:rsidP="00D13B8D">
      <w:pPr>
        <w:spacing w:after="0" w:line="240" w:lineRule="auto"/>
        <w:jc w:val="both"/>
        <w:rPr>
          <w:rFonts w:ascii="Times New Roman" w:eastAsia="Times New Roman" w:hAnsi="Times New Roman" w:cs="Times New Roman"/>
          <w:b/>
          <w:color w:val="000000"/>
          <w:sz w:val="24"/>
          <w:szCs w:val="27"/>
          <w:lang w:eastAsia="tr-TR"/>
        </w:rPr>
      </w:pPr>
      <w:r w:rsidRPr="00D13B8D">
        <w:rPr>
          <w:rFonts w:ascii="Times New Roman" w:eastAsia="Times New Roman" w:hAnsi="Times New Roman" w:cs="Times New Roman"/>
          <w:b/>
          <w:bCs/>
          <w:color w:val="000000"/>
          <w:sz w:val="24"/>
          <w:szCs w:val="27"/>
          <w:lang w:eastAsia="tr-TR"/>
        </w:rPr>
        <w:t xml:space="preserve">Esas </w:t>
      </w:r>
      <w:proofErr w:type="gramStart"/>
      <w:r w:rsidRPr="00D13B8D">
        <w:rPr>
          <w:rFonts w:ascii="Times New Roman" w:eastAsia="Times New Roman" w:hAnsi="Times New Roman" w:cs="Times New Roman"/>
          <w:b/>
          <w:bCs/>
          <w:color w:val="000000"/>
          <w:sz w:val="24"/>
          <w:szCs w:val="27"/>
          <w:lang w:eastAsia="tr-TR"/>
        </w:rPr>
        <w:t>Sayısı : 2001</w:t>
      </w:r>
      <w:proofErr w:type="gramEnd"/>
      <w:r w:rsidRPr="00D13B8D">
        <w:rPr>
          <w:rFonts w:ascii="Times New Roman" w:eastAsia="Times New Roman" w:hAnsi="Times New Roman" w:cs="Times New Roman"/>
          <w:b/>
          <w:bCs/>
          <w:color w:val="000000"/>
          <w:sz w:val="24"/>
          <w:szCs w:val="27"/>
          <w:lang w:eastAsia="tr-TR"/>
        </w:rPr>
        <w:t>/360</w:t>
      </w:r>
    </w:p>
    <w:p w:rsidR="00D13B8D" w:rsidRPr="00D13B8D" w:rsidRDefault="00D13B8D" w:rsidP="00D13B8D">
      <w:pPr>
        <w:spacing w:after="0" w:line="240" w:lineRule="auto"/>
        <w:jc w:val="both"/>
        <w:rPr>
          <w:rFonts w:ascii="Times New Roman" w:eastAsia="Times New Roman" w:hAnsi="Times New Roman" w:cs="Times New Roman"/>
          <w:b/>
          <w:bCs/>
          <w:color w:val="000000"/>
          <w:sz w:val="24"/>
          <w:szCs w:val="27"/>
          <w:lang w:eastAsia="tr-TR"/>
        </w:rPr>
      </w:pPr>
      <w:r w:rsidRPr="00D13B8D">
        <w:rPr>
          <w:rFonts w:ascii="Times New Roman" w:eastAsia="Times New Roman" w:hAnsi="Times New Roman" w:cs="Times New Roman"/>
          <w:b/>
          <w:bCs/>
          <w:color w:val="000000"/>
          <w:sz w:val="24"/>
          <w:szCs w:val="27"/>
          <w:lang w:eastAsia="tr-TR"/>
        </w:rPr>
        <w:t xml:space="preserve">Karar </w:t>
      </w:r>
      <w:proofErr w:type="gramStart"/>
      <w:r w:rsidRPr="00D13B8D">
        <w:rPr>
          <w:rFonts w:ascii="Times New Roman" w:eastAsia="Times New Roman" w:hAnsi="Times New Roman" w:cs="Times New Roman"/>
          <w:b/>
          <w:bCs/>
          <w:color w:val="000000"/>
          <w:sz w:val="24"/>
          <w:szCs w:val="27"/>
          <w:lang w:eastAsia="tr-TR"/>
        </w:rPr>
        <w:t>Sayısı : 2001</w:t>
      </w:r>
      <w:proofErr w:type="gramEnd"/>
      <w:r w:rsidRPr="00D13B8D">
        <w:rPr>
          <w:rFonts w:ascii="Times New Roman" w:eastAsia="Times New Roman" w:hAnsi="Times New Roman" w:cs="Times New Roman"/>
          <w:b/>
          <w:bCs/>
          <w:color w:val="000000"/>
          <w:sz w:val="24"/>
          <w:szCs w:val="27"/>
          <w:lang w:eastAsia="tr-TR"/>
        </w:rPr>
        <w:t>/105</w:t>
      </w:r>
    </w:p>
    <w:p w:rsidR="00D13B8D" w:rsidRPr="00D13B8D" w:rsidRDefault="00D13B8D" w:rsidP="00D13B8D">
      <w:pPr>
        <w:spacing w:after="0" w:line="240" w:lineRule="auto"/>
        <w:jc w:val="both"/>
        <w:rPr>
          <w:rFonts w:ascii="Times New Roman" w:eastAsia="Times New Roman" w:hAnsi="Times New Roman" w:cs="Times New Roman"/>
          <w:b/>
          <w:color w:val="000000"/>
          <w:sz w:val="24"/>
          <w:szCs w:val="27"/>
          <w:lang w:eastAsia="tr-TR"/>
        </w:rPr>
      </w:pPr>
      <w:r w:rsidRPr="00D13B8D">
        <w:rPr>
          <w:rFonts w:ascii="Times New Roman" w:eastAsia="Times New Roman" w:hAnsi="Times New Roman" w:cs="Times New Roman"/>
          <w:b/>
          <w:bCs/>
          <w:color w:val="000000"/>
          <w:sz w:val="24"/>
          <w:szCs w:val="27"/>
          <w:lang w:eastAsia="tr-TR"/>
        </w:rPr>
        <w:t xml:space="preserve">Karar </w:t>
      </w:r>
      <w:proofErr w:type="gramStart"/>
      <w:r w:rsidRPr="00D13B8D">
        <w:rPr>
          <w:rFonts w:ascii="Times New Roman" w:eastAsia="Times New Roman" w:hAnsi="Times New Roman" w:cs="Times New Roman"/>
          <w:b/>
          <w:bCs/>
          <w:color w:val="000000"/>
          <w:sz w:val="24"/>
          <w:szCs w:val="27"/>
          <w:lang w:eastAsia="tr-TR"/>
        </w:rPr>
        <w:t>Günü : 18</w:t>
      </w:r>
      <w:proofErr w:type="gramEnd"/>
      <w:r w:rsidRPr="00D13B8D">
        <w:rPr>
          <w:rFonts w:ascii="Times New Roman" w:eastAsia="Times New Roman" w:hAnsi="Times New Roman" w:cs="Times New Roman"/>
          <w:b/>
          <w:bCs/>
          <w:color w:val="000000"/>
          <w:sz w:val="24"/>
          <w:szCs w:val="27"/>
          <w:lang w:eastAsia="tr-TR"/>
        </w:rPr>
        <w:t>.07.2001</w:t>
      </w:r>
    </w:p>
    <w:p w:rsidR="00D13B8D" w:rsidRPr="00D13B8D" w:rsidRDefault="00D13B8D" w:rsidP="00D13B8D">
      <w:pPr>
        <w:spacing w:after="0" w:line="240" w:lineRule="auto"/>
        <w:jc w:val="both"/>
        <w:rPr>
          <w:rFonts w:ascii="Times New Roman" w:eastAsia="Times New Roman" w:hAnsi="Times New Roman" w:cs="Times New Roman"/>
          <w:b/>
          <w:color w:val="000000"/>
          <w:sz w:val="24"/>
          <w:szCs w:val="24"/>
          <w:lang w:eastAsia="tr-TR"/>
        </w:rPr>
      </w:pPr>
      <w:r w:rsidRPr="00D13B8D">
        <w:rPr>
          <w:rFonts w:ascii="Times New Roman" w:eastAsia="Times New Roman" w:hAnsi="Times New Roman" w:cs="Times New Roman"/>
          <w:b/>
          <w:bCs/>
          <w:color w:val="000000"/>
          <w:sz w:val="24"/>
          <w:szCs w:val="26"/>
          <w:lang w:eastAsia="tr-TR"/>
        </w:rPr>
        <w:t>R.G. Tarih-</w:t>
      </w:r>
      <w:proofErr w:type="gramStart"/>
      <w:r w:rsidRPr="00D13B8D">
        <w:rPr>
          <w:rFonts w:ascii="Times New Roman" w:eastAsia="Times New Roman" w:hAnsi="Times New Roman" w:cs="Times New Roman"/>
          <w:b/>
          <w:bCs/>
          <w:color w:val="000000"/>
          <w:sz w:val="24"/>
          <w:szCs w:val="26"/>
          <w:lang w:eastAsia="tr-TR"/>
        </w:rPr>
        <w:t>Sayı :04</w:t>
      </w:r>
      <w:proofErr w:type="gramEnd"/>
      <w:r w:rsidRPr="00D13B8D">
        <w:rPr>
          <w:rFonts w:ascii="Times New Roman" w:eastAsia="Times New Roman" w:hAnsi="Times New Roman" w:cs="Times New Roman"/>
          <w:b/>
          <w:bCs/>
          <w:color w:val="000000"/>
          <w:sz w:val="24"/>
          <w:szCs w:val="26"/>
          <w:lang w:eastAsia="tr-TR"/>
        </w:rPr>
        <w:t>.10.2001'de tebliğ edildi.</w:t>
      </w:r>
    </w:p>
    <w:p w:rsidR="00D13B8D" w:rsidRDefault="00D13B8D" w:rsidP="00D13B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b/>
          <w:bCs/>
          <w:color w:val="000000"/>
          <w:sz w:val="24"/>
          <w:szCs w:val="27"/>
          <w:lang w:eastAsia="tr-TR"/>
        </w:rPr>
        <w:t xml:space="preserve">İTİRAZ YOLUNA </w:t>
      </w:r>
      <w:proofErr w:type="gramStart"/>
      <w:r w:rsidRPr="00D13B8D">
        <w:rPr>
          <w:rFonts w:ascii="Times New Roman" w:eastAsia="Times New Roman" w:hAnsi="Times New Roman" w:cs="Times New Roman"/>
          <w:b/>
          <w:bCs/>
          <w:color w:val="000000"/>
          <w:sz w:val="24"/>
          <w:szCs w:val="27"/>
          <w:lang w:eastAsia="tr-TR"/>
        </w:rPr>
        <w:t>BAŞVURAN : </w:t>
      </w:r>
      <w:r w:rsidRPr="00D13B8D">
        <w:rPr>
          <w:rFonts w:ascii="Times New Roman" w:eastAsia="Times New Roman" w:hAnsi="Times New Roman" w:cs="Times New Roman"/>
          <w:color w:val="000000"/>
          <w:sz w:val="24"/>
          <w:szCs w:val="27"/>
          <w:lang w:eastAsia="tr-TR"/>
        </w:rPr>
        <w:t>Kırıkkale</w:t>
      </w:r>
      <w:proofErr w:type="gramEnd"/>
      <w:r w:rsidRPr="00D13B8D">
        <w:rPr>
          <w:rFonts w:ascii="Times New Roman" w:eastAsia="Times New Roman" w:hAnsi="Times New Roman" w:cs="Times New Roman"/>
          <w:color w:val="000000"/>
          <w:sz w:val="24"/>
          <w:szCs w:val="27"/>
          <w:lang w:eastAsia="tr-TR"/>
        </w:rPr>
        <w:t xml:space="preserve"> Vergi Mahkemesi</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b/>
          <w:bCs/>
          <w:color w:val="000000"/>
          <w:sz w:val="24"/>
          <w:szCs w:val="27"/>
          <w:lang w:eastAsia="tr-TR"/>
        </w:rPr>
        <w:t>İTİRAZIN KONUSU : </w:t>
      </w:r>
      <w:r w:rsidRPr="00D13B8D">
        <w:rPr>
          <w:rFonts w:ascii="Times New Roman" w:eastAsia="Times New Roman" w:hAnsi="Times New Roman" w:cs="Times New Roman"/>
          <w:color w:val="000000"/>
          <w:sz w:val="24"/>
          <w:szCs w:val="27"/>
          <w:lang w:eastAsia="tr-TR"/>
        </w:rPr>
        <w:t xml:space="preserve">213 sayılı "Vergi Usul </w:t>
      </w:r>
      <w:proofErr w:type="spellStart"/>
      <w:r w:rsidRPr="00D13B8D">
        <w:rPr>
          <w:rFonts w:ascii="Times New Roman" w:eastAsia="Times New Roman" w:hAnsi="Times New Roman" w:cs="Times New Roman"/>
          <w:color w:val="000000"/>
          <w:sz w:val="24"/>
          <w:szCs w:val="27"/>
          <w:lang w:eastAsia="tr-TR"/>
        </w:rPr>
        <w:t>Kanunu"nun</w:t>
      </w:r>
      <w:proofErr w:type="spellEnd"/>
      <w:r w:rsidRPr="00D13B8D">
        <w:rPr>
          <w:rFonts w:ascii="Times New Roman" w:eastAsia="Times New Roman" w:hAnsi="Times New Roman" w:cs="Times New Roman"/>
          <w:color w:val="000000"/>
          <w:sz w:val="24"/>
          <w:szCs w:val="27"/>
          <w:lang w:eastAsia="tr-TR"/>
        </w:rPr>
        <w:t xml:space="preserve"> 23.6.1982 günlü, 2686 sayılı Yasa ile değiştirilen 378. maddesinin ikinci fıkrasının birinci tümcesinin, Anayasanın 2</w:t>
      </w:r>
      <w:proofErr w:type="gramStart"/>
      <w:r w:rsidRPr="00D13B8D">
        <w:rPr>
          <w:rFonts w:ascii="Times New Roman" w:eastAsia="Times New Roman" w:hAnsi="Times New Roman" w:cs="Times New Roman"/>
          <w:color w:val="000000"/>
          <w:sz w:val="24"/>
          <w:szCs w:val="27"/>
          <w:lang w:eastAsia="tr-TR"/>
        </w:rPr>
        <w:t>.,</w:t>
      </w:r>
      <w:proofErr w:type="gramEnd"/>
      <w:r w:rsidRPr="00D13B8D">
        <w:rPr>
          <w:rFonts w:ascii="Times New Roman" w:eastAsia="Times New Roman" w:hAnsi="Times New Roman" w:cs="Times New Roman"/>
          <w:color w:val="000000"/>
          <w:sz w:val="24"/>
          <w:szCs w:val="27"/>
          <w:lang w:eastAsia="tr-TR"/>
        </w:rPr>
        <w:t xml:space="preserve"> 36. ve 125. maddelerine aykırılığı savıyla iptali istemidir.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13B8D">
        <w:rPr>
          <w:rFonts w:ascii="Times New Roman" w:eastAsia="Times New Roman" w:hAnsi="Times New Roman" w:cs="Times New Roman"/>
          <w:b/>
          <w:bCs/>
          <w:color w:val="000000"/>
          <w:sz w:val="24"/>
          <w:szCs w:val="27"/>
          <w:lang w:eastAsia="tr-TR"/>
        </w:rPr>
        <w:t>I- İLK İNCELEME</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xml:space="preserve">Anayasa Mahkemesi </w:t>
      </w:r>
      <w:proofErr w:type="spellStart"/>
      <w:r w:rsidRPr="00D13B8D">
        <w:rPr>
          <w:rFonts w:ascii="Times New Roman" w:eastAsia="Times New Roman" w:hAnsi="Times New Roman" w:cs="Times New Roman"/>
          <w:color w:val="000000"/>
          <w:sz w:val="24"/>
          <w:szCs w:val="27"/>
          <w:lang w:eastAsia="tr-TR"/>
        </w:rPr>
        <w:t>İçtüzüğü'nün</w:t>
      </w:r>
      <w:proofErr w:type="spellEnd"/>
      <w:r w:rsidRPr="00D13B8D">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kuralı, ilgili Anayasa kuralları ile bunların gerekçeleri ve öteki yasama belgeleri okunup incelendikten sonra gereği görüşülüp düşünüldü:</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Anayasa'nın Geçici 15. maddesinde;</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3B8D">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xml:space="preserve">Bu karar ve tasarrufların idarece veya yetkili kılınmış organ, merci ve görevlilerce uygulanmasından dolayı, karar alanlar, tasarrufta bulunanlar ve uygulayanlar hakkında da </w:t>
      </w:r>
      <w:proofErr w:type="gramStart"/>
      <w:r w:rsidRPr="00D13B8D">
        <w:rPr>
          <w:rFonts w:ascii="Times New Roman" w:eastAsia="Times New Roman" w:hAnsi="Times New Roman" w:cs="Times New Roman"/>
          <w:color w:val="000000"/>
          <w:sz w:val="24"/>
          <w:szCs w:val="27"/>
          <w:lang w:eastAsia="tr-TR"/>
        </w:rPr>
        <w:t>yukarıdaki</w:t>
      </w:r>
      <w:proofErr w:type="gramEnd"/>
      <w:r w:rsidRPr="00D13B8D">
        <w:rPr>
          <w:rFonts w:ascii="Times New Roman" w:eastAsia="Times New Roman" w:hAnsi="Times New Roman" w:cs="Times New Roman"/>
          <w:color w:val="000000"/>
          <w:sz w:val="24"/>
          <w:szCs w:val="27"/>
          <w:lang w:eastAsia="tr-TR"/>
        </w:rPr>
        <w:t xml:space="preserve"> fıkra hükümleri uygulanır.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3B8D">
        <w:rPr>
          <w:rFonts w:ascii="Times New Roman" w:eastAsia="Times New Roman" w:hAnsi="Times New Roman" w:cs="Times New Roman"/>
          <w:color w:val="000000"/>
          <w:sz w:val="24"/>
          <w:szCs w:val="27"/>
          <w:lang w:eastAsia="tr-TR"/>
        </w:rPr>
        <w:t>denilmektedir</w:t>
      </w:r>
      <w:proofErr w:type="gramEnd"/>
      <w:r w:rsidRPr="00D13B8D">
        <w:rPr>
          <w:rFonts w:ascii="Times New Roman" w:eastAsia="Times New Roman" w:hAnsi="Times New Roman" w:cs="Times New Roman"/>
          <w:color w:val="000000"/>
          <w:sz w:val="24"/>
          <w:szCs w:val="27"/>
          <w:lang w:eastAsia="tr-TR"/>
        </w:rPr>
        <w:t>.</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Bu kuralla, 12 Eylül 1980 tarihinden, ilk genel seçimler sonucu toplanacak Türkiye Büyük Millet Meclisinin Başkanlık Divanını oluşturuncaya kadar geçecek süre içinde, yasama ve yürütme yetkilerini Türk milleti adına kullanan Millî Güvenlik Konseyi'nin çıkardığı yasaların, Anayasa'ya aykırılığı savında bulunulamayacağı öngörülmektedir.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lastRenderedPageBreak/>
        <w:t>7.11.1982 günlü, 2709 sayılı Türkiye Cumhuriyeti Anayasası'nın halkoyu ile kabulünden sonra yapılan ilk genel seçimler sonucu oluşan Türkiye Büyük Millet Meclisi'nin Başkanlık Divanı 6.12.1983 tarihinde toplanmıştır.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13B8D">
        <w:rPr>
          <w:rFonts w:ascii="Times New Roman" w:eastAsia="Times New Roman" w:hAnsi="Times New Roman" w:cs="Times New Roman"/>
          <w:color w:val="000000"/>
          <w:sz w:val="24"/>
          <w:szCs w:val="27"/>
          <w:lang w:eastAsia="tr-TR"/>
        </w:rPr>
        <w:t>Anayasakoyucunun</w:t>
      </w:r>
      <w:proofErr w:type="spellEnd"/>
      <w:r w:rsidRPr="00D13B8D">
        <w:rPr>
          <w:rFonts w:ascii="Times New Roman" w:eastAsia="Times New Roman" w:hAnsi="Times New Roman" w:cs="Times New Roman"/>
          <w:color w:val="000000"/>
          <w:sz w:val="24"/>
          <w:szCs w:val="27"/>
          <w:lang w:eastAsia="tr-TR"/>
        </w:rPr>
        <w:t>, söz konusu kural ile Millî Güvenlik Konseyi'nin yasama yetkisini tek başına ya da Danışma Meclisi ile birlikte kullandığı dönemde çıkarılan yasalar ve kanun hükmünde kararnameler ile 2324 sayıl Anayasa Düzeni Hakkında Kanun uyarınca alınan karar ve yapılan işlemleri Anayasa Mahkemesinin denetimi dışında tutmak amacında olduğu açıktır.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D13B8D">
        <w:rPr>
          <w:rFonts w:ascii="Times New Roman" w:eastAsia="Times New Roman" w:hAnsi="Times New Roman" w:cs="Times New Roman"/>
          <w:color w:val="000000"/>
          <w:sz w:val="24"/>
          <w:szCs w:val="27"/>
          <w:lang w:eastAsia="tr-TR"/>
        </w:rPr>
        <w:t>gözönünde</w:t>
      </w:r>
      <w:proofErr w:type="spellEnd"/>
      <w:r w:rsidRPr="00D13B8D">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Özel düzenlemenin genel düzenlemeden önce geleceği hukukun genel bir ilkesidir. Anayasa'da da belli bir konuyu düzenleyen özel kural varken, o konuyu da kapsamı içine alabilecek nitelikte bir genel kural bulunsa bile, konuya özgü Anayasa kurallarının uygulanması gerekir. Genel olarak geçici maddeler uygulanıp sonuçları alındıktan sonra işlevlerini yitirirlerse de Anayasa'nın Geçici 15. maddesi bu nitelikte değildir.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xml:space="preserve">Geçici 15. madde kapsamındaki, olağanüstü yönetimin olağanüstü koşulları altında çıkarılan yasalarla kanun hükmünde kararnamelerin, geçilen demokratik düzen içinde değiştirilmesine ya da yürürlükten kaldırılmasına değin Anayasa'ya uygunluk denetimi dışında bırakılmasında kamu yararı görülmüştür. Ancak, </w:t>
      </w:r>
      <w:proofErr w:type="spellStart"/>
      <w:r w:rsidRPr="00D13B8D">
        <w:rPr>
          <w:rFonts w:ascii="Times New Roman" w:eastAsia="Times New Roman" w:hAnsi="Times New Roman" w:cs="Times New Roman"/>
          <w:color w:val="000000"/>
          <w:sz w:val="24"/>
          <w:szCs w:val="27"/>
          <w:lang w:eastAsia="tr-TR"/>
        </w:rPr>
        <w:t>yasakoyucu</w:t>
      </w:r>
      <w:proofErr w:type="spellEnd"/>
      <w:r w:rsidRPr="00D13B8D">
        <w:rPr>
          <w:rFonts w:ascii="Times New Roman" w:eastAsia="Times New Roman" w:hAnsi="Times New Roman" w:cs="Times New Roman"/>
          <w:color w:val="000000"/>
          <w:sz w:val="24"/>
          <w:szCs w:val="27"/>
          <w:lang w:eastAsia="tr-TR"/>
        </w:rPr>
        <w:t>,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15. maddesinin geçersiz ve etkisiz duruma getirilmesi olanaksızdır.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Anayasa'nın Geçici 15. maddesi kapsamına giren kuralların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xml:space="preserve">4.1.1961 günlü, 213 sayılı "Vergi Usul </w:t>
      </w:r>
      <w:proofErr w:type="spellStart"/>
      <w:r w:rsidRPr="00D13B8D">
        <w:rPr>
          <w:rFonts w:ascii="Times New Roman" w:eastAsia="Times New Roman" w:hAnsi="Times New Roman" w:cs="Times New Roman"/>
          <w:color w:val="000000"/>
          <w:sz w:val="24"/>
          <w:szCs w:val="27"/>
          <w:lang w:eastAsia="tr-TR"/>
        </w:rPr>
        <w:t>Kanunu"nun</w:t>
      </w:r>
      <w:proofErr w:type="spellEnd"/>
      <w:r w:rsidRPr="00D13B8D">
        <w:rPr>
          <w:rFonts w:ascii="Times New Roman" w:eastAsia="Times New Roman" w:hAnsi="Times New Roman" w:cs="Times New Roman"/>
          <w:color w:val="000000"/>
          <w:sz w:val="24"/>
          <w:szCs w:val="27"/>
          <w:lang w:eastAsia="tr-TR"/>
        </w:rPr>
        <w:t xml:space="preserve">, 23.6.1982 gününde kabul edilip, 29.6.1982 günlü Resmî </w:t>
      </w:r>
      <w:proofErr w:type="spellStart"/>
      <w:r w:rsidRPr="00D13B8D">
        <w:rPr>
          <w:rFonts w:ascii="Times New Roman" w:eastAsia="Times New Roman" w:hAnsi="Times New Roman" w:cs="Times New Roman"/>
          <w:color w:val="000000"/>
          <w:sz w:val="24"/>
          <w:szCs w:val="27"/>
          <w:lang w:eastAsia="tr-TR"/>
        </w:rPr>
        <w:t>Gazete'de</w:t>
      </w:r>
      <w:proofErr w:type="spellEnd"/>
      <w:r w:rsidRPr="00D13B8D">
        <w:rPr>
          <w:rFonts w:ascii="Times New Roman" w:eastAsia="Times New Roman" w:hAnsi="Times New Roman" w:cs="Times New Roman"/>
          <w:color w:val="000000"/>
          <w:sz w:val="24"/>
          <w:szCs w:val="27"/>
          <w:lang w:eastAsia="tr-TR"/>
        </w:rPr>
        <w:t xml:space="preserve"> yayımlanarak yürürlüğe giren 2686 sayılı Yasa'nın 51. maddesi ile değiştirilen 378. maddesinin ikinci fıkrasının birinci tümcesinde, daha sonra herhangi bir değişiklik yapılmamıştır.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lastRenderedPageBreak/>
        <w:t>Bu nedenlerle, söz konusu kural hakkında Anayasa'ya aykırılık savında bulunulmasına Geçici 15. madde olanak vermediğinden, itirazın, başvuran Mahkeme'nin yetkisizliği nedeniyle reddi gerekir.</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13B8D">
        <w:rPr>
          <w:rFonts w:ascii="Times New Roman" w:eastAsia="Times New Roman" w:hAnsi="Times New Roman" w:cs="Times New Roman"/>
          <w:b/>
          <w:bCs/>
          <w:color w:val="000000"/>
          <w:sz w:val="24"/>
          <w:szCs w:val="27"/>
          <w:lang w:eastAsia="tr-TR"/>
        </w:rPr>
        <w:t>II- SONUÇ</w:t>
      </w:r>
    </w:p>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xml:space="preserve">4.1.1961 günlü, 213 sayılı "Vergi Usul </w:t>
      </w:r>
      <w:proofErr w:type="spellStart"/>
      <w:r w:rsidRPr="00D13B8D">
        <w:rPr>
          <w:rFonts w:ascii="Times New Roman" w:eastAsia="Times New Roman" w:hAnsi="Times New Roman" w:cs="Times New Roman"/>
          <w:color w:val="000000"/>
          <w:sz w:val="24"/>
          <w:szCs w:val="27"/>
          <w:lang w:eastAsia="tr-TR"/>
        </w:rPr>
        <w:t>Kanunu"nun</w:t>
      </w:r>
      <w:proofErr w:type="spellEnd"/>
      <w:r w:rsidRPr="00D13B8D">
        <w:rPr>
          <w:rFonts w:ascii="Times New Roman" w:eastAsia="Times New Roman" w:hAnsi="Times New Roman" w:cs="Times New Roman"/>
          <w:color w:val="000000"/>
          <w:sz w:val="24"/>
          <w:szCs w:val="27"/>
          <w:lang w:eastAsia="tr-TR"/>
        </w:rPr>
        <w:t xml:space="preserve"> 2686 sayılı Yasa ile değiştirilen 378. maddesinin ikinci fıkrasının birinci tümcesinin, Anayasa'nın Geçici 15. maddesinin son fıkrası kapsamında olması nedeniyle Anayasa'ya aykırılığı savında bulunulamayacağından Mahkeme'nin yetkisizliği nedeniyle BAŞVURUNUN REDDİNE, 18.7.2001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13B8D" w:rsidRPr="00D13B8D" w:rsidTr="00D13B8D">
        <w:trPr>
          <w:tblCellSpacing w:w="0" w:type="dxa"/>
          <w:jc w:val="center"/>
        </w:trPr>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c>
          <w:tcPr>
            <w:tcW w:w="1667"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r>
      <w:tr w:rsidR="00D13B8D" w:rsidRPr="00D13B8D" w:rsidTr="00D13B8D">
        <w:trPr>
          <w:tblCellSpacing w:w="0" w:type="dxa"/>
          <w:jc w:val="center"/>
        </w:trPr>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Başkan</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Mustafa BUMİN</w:t>
            </w:r>
          </w:p>
        </w:tc>
        <w:tc>
          <w:tcPr>
            <w:tcW w:w="1667"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Başkanvekili</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Haşim KILIÇ</w:t>
            </w:r>
          </w:p>
        </w:tc>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3B8D">
              <w:rPr>
                <w:rFonts w:ascii="Times New Roman" w:eastAsia="Times New Roman" w:hAnsi="Times New Roman" w:cs="Times New Roman"/>
                <w:sz w:val="24"/>
                <w:szCs w:val="27"/>
                <w:lang w:eastAsia="tr-TR"/>
              </w:rPr>
              <w:t>Samia</w:t>
            </w:r>
            <w:proofErr w:type="spellEnd"/>
            <w:r w:rsidRPr="00D13B8D">
              <w:rPr>
                <w:rFonts w:ascii="Times New Roman" w:eastAsia="Times New Roman" w:hAnsi="Times New Roman" w:cs="Times New Roman"/>
                <w:sz w:val="24"/>
                <w:szCs w:val="27"/>
                <w:lang w:eastAsia="tr-TR"/>
              </w:rPr>
              <w:t xml:space="preserve"> AKBULUT</w:t>
            </w:r>
          </w:p>
        </w:tc>
      </w:tr>
      <w:tr w:rsidR="00D13B8D" w:rsidRPr="00D13B8D" w:rsidTr="00D13B8D">
        <w:trPr>
          <w:tblCellSpacing w:w="0" w:type="dxa"/>
          <w:jc w:val="center"/>
        </w:trPr>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c>
          <w:tcPr>
            <w:tcW w:w="1667"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r>
      <w:tr w:rsidR="00D13B8D" w:rsidRPr="00D13B8D" w:rsidTr="00D13B8D">
        <w:trPr>
          <w:tblCellSpacing w:w="0" w:type="dxa"/>
          <w:jc w:val="center"/>
        </w:trPr>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Yalçın ACARGÜN</w:t>
            </w:r>
          </w:p>
        </w:tc>
        <w:tc>
          <w:tcPr>
            <w:tcW w:w="1667"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3B8D">
              <w:rPr>
                <w:rFonts w:ascii="Times New Roman" w:eastAsia="Times New Roman" w:hAnsi="Times New Roman" w:cs="Times New Roman"/>
                <w:sz w:val="24"/>
                <w:szCs w:val="27"/>
                <w:lang w:eastAsia="tr-TR"/>
              </w:rPr>
              <w:t>Sacit</w:t>
            </w:r>
            <w:proofErr w:type="spellEnd"/>
            <w:r w:rsidRPr="00D13B8D">
              <w:rPr>
                <w:rFonts w:ascii="Times New Roman" w:eastAsia="Times New Roman" w:hAnsi="Times New Roman" w:cs="Times New Roman"/>
                <w:sz w:val="24"/>
                <w:szCs w:val="27"/>
                <w:lang w:eastAsia="tr-TR"/>
              </w:rPr>
              <w:t xml:space="preserve"> ADALI</w:t>
            </w:r>
          </w:p>
        </w:tc>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Ali HÜNER</w:t>
            </w:r>
          </w:p>
        </w:tc>
      </w:tr>
      <w:tr w:rsidR="00D13B8D" w:rsidRPr="00D13B8D" w:rsidTr="00D13B8D">
        <w:trPr>
          <w:tblCellSpacing w:w="0" w:type="dxa"/>
          <w:jc w:val="center"/>
        </w:trPr>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c>
          <w:tcPr>
            <w:tcW w:w="1667"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r>
      <w:tr w:rsidR="00D13B8D" w:rsidRPr="00D13B8D" w:rsidTr="00D13B8D">
        <w:trPr>
          <w:tblCellSpacing w:w="0" w:type="dxa"/>
          <w:jc w:val="center"/>
        </w:trPr>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Fulya KANTARCIOĞLU</w:t>
            </w:r>
          </w:p>
        </w:tc>
        <w:tc>
          <w:tcPr>
            <w:tcW w:w="1667"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Rüştü SÖNMEZ</w:t>
            </w:r>
          </w:p>
        </w:tc>
        <w:tc>
          <w:tcPr>
            <w:tcW w:w="1667" w:type="pct"/>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Ertuğrul ERSOY</w:t>
            </w:r>
          </w:p>
        </w:tc>
      </w:tr>
      <w:tr w:rsidR="00D13B8D" w:rsidRPr="00D13B8D" w:rsidTr="00D13B8D">
        <w:trPr>
          <w:tblCellSpacing w:w="0" w:type="dxa"/>
          <w:jc w:val="center"/>
        </w:trPr>
        <w:tc>
          <w:tcPr>
            <w:tcW w:w="2500"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c>
          <w:tcPr>
            <w:tcW w:w="2500"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4"/>
                <w:lang w:eastAsia="tr-TR"/>
              </w:rPr>
              <w:t> </w:t>
            </w:r>
          </w:p>
        </w:tc>
      </w:tr>
      <w:tr w:rsidR="00D13B8D" w:rsidRPr="00D13B8D" w:rsidTr="00D13B8D">
        <w:trPr>
          <w:tblCellSpacing w:w="0" w:type="dxa"/>
          <w:jc w:val="center"/>
        </w:trPr>
        <w:tc>
          <w:tcPr>
            <w:tcW w:w="2500"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Tülay TUĞCU</w:t>
            </w:r>
          </w:p>
        </w:tc>
        <w:tc>
          <w:tcPr>
            <w:tcW w:w="2500" w:type="pct"/>
            <w:gridSpan w:val="2"/>
            <w:hideMark/>
          </w:tcPr>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13B8D">
              <w:rPr>
                <w:rFonts w:ascii="Times New Roman" w:eastAsia="Times New Roman" w:hAnsi="Times New Roman" w:cs="Times New Roman"/>
                <w:sz w:val="24"/>
                <w:szCs w:val="27"/>
                <w:lang w:eastAsia="tr-TR"/>
              </w:rPr>
              <w:t>Üye</w:t>
            </w:r>
          </w:p>
          <w:p w:rsidR="00D13B8D" w:rsidRPr="00D13B8D" w:rsidRDefault="00D13B8D" w:rsidP="00D1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B8D">
              <w:rPr>
                <w:rFonts w:ascii="Times New Roman" w:eastAsia="Times New Roman" w:hAnsi="Times New Roman" w:cs="Times New Roman"/>
                <w:sz w:val="24"/>
                <w:szCs w:val="27"/>
                <w:lang w:eastAsia="tr-TR"/>
              </w:rPr>
              <w:t>Ahmet AKYALÇIN</w:t>
            </w:r>
          </w:p>
        </w:tc>
      </w:tr>
    </w:tbl>
    <w:p w:rsidR="00D13B8D" w:rsidRPr="00D13B8D" w:rsidRDefault="00D13B8D" w:rsidP="00D13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3B8D">
        <w:rPr>
          <w:rFonts w:ascii="Times New Roman" w:eastAsia="Times New Roman" w:hAnsi="Times New Roman" w:cs="Times New Roman"/>
          <w:color w:val="000000"/>
          <w:sz w:val="24"/>
          <w:szCs w:val="27"/>
          <w:lang w:eastAsia="tr-TR"/>
        </w:rPr>
        <w:t> </w:t>
      </w:r>
    </w:p>
    <w:p w:rsidR="00CE1FB9" w:rsidRPr="00D13B8D" w:rsidRDefault="00CE1FB9" w:rsidP="00D13B8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13B8D" w:rsidSect="00D13B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AB" w:rsidRDefault="000808AB" w:rsidP="00D13B8D">
      <w:pPr>
        <w:spacing w:after="0" w:line="240" w:lineRule="auto"/>
      </w:pPr>
      <w:r>
        <w:separator/>
      </w:r>
    </w:p>
  </w:endnote>
  <w:endnote w:type="continuationSeparator" w:id="0">
    <w:p w:rsidR="000808AB" w:rsidRDefault="000808AB" w:rsidP="00D1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8D" w:rsidRDefault="00D13B8D" w:rsidP="00A84C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3B8D" w:rsidRDefault="00D13B8D" w:rsidP="00D13B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8D" w:rsidRPr="00D13B8D" w:rsidRDefault="00D13B8D" w:rsidP="00A84C47">
    <w:pPr>
      <w:pStyle w:val="Altbilgi"/>
      <w:framePr w:wrap="around" w:vAnchor="text" w:hAnchor="margin" w:xAlign="right" w:y="1"/>
      <w:rPr>
        <w:rStyle w:val="SayfaNumaras"/>
        <w:rFonts w:ascii="Times New Roman" w:hAnsi="Times New Roman" w:cs="Times New Roman"/>
      </w:rPr>
    </w:pPr>
    <w:r w:rsidRPr="00D13B8D">
      <w:rPr>
        <w:rStyle w:val="SayfaNumaras"/>
        <w:rFonts w:ascii="Times New Roman" w:hAnsi="Times New Roman" w:cs="Times New Roman"/>
      </w:rPr>
      <w:fldChar w:fldCharType="begin"/>
    </w:r>
    <w:r w:rsidRPr="00D13B8D">
      <w:rPr>
        <w:rStyle w:val="SayfaNumaras"/>
        <w:rFonts w:ascii="Times New Roman" w:hAnsi="Times New Roman" w:cs="Times New Roman"/>
      </w:rPr>
      <w:instrText xml:space="preserve">PAGE  </w:instrText>
    </w:r>
    <w:r w:rsidRPr="00D13B8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13B8D">
      <w:rPr>
        <w:rStyle w:val="SayfaNumaras"/>
        <w:rFonts w:ascii="Times New Roman" w:hAnsi="Times New Roman" w:cs="Times New Roman"/>
      </w:rPr>
      <w:fldChar w:fldCharType="end"/>
    </w:r>
  </w:p>
  <w:p w:rsidR="00D13B8D" w:rsidRPr="00D13B8D" w:rsidRDefault="00D13B8D" w:rsidP="00D13B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8D" w:rsidRDefault="00D13B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AB" w:rsidRDefault="000808AB" w:rsidP="00D13B8D">
      <w:pPr>
        <w:spacing w:after="0" w:line="240" w:lineRule="auto"/>
      </w:pPr>
      <w:r>
        <w:separator/>
      </w:r>
    </w:p>
  </w:footnote>
  <w:footnote w:type="continuationSeparator" w:id="0">
    <w:p w:rsidR="000808AB" w:rsidRDefault="000808AB" w:rsidP="00D13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8D" w:rsidRDefault="00D13B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8D" w:rsidRDefault="00D13B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/360</w:t>
    </w:r>
  </w:p>
  <w:p w:rsidR="00D13B8D" w:rsidRDefault="00D13B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/105</w:t>
    </w:r>
  </w:p>
  <w:p w:rsidR="00D13B8D" w:rsidRPr="00D13B8D" w:rsidRDefault="00D13B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8D" w:rsidRDefault="00D13B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C5"/>
    <w:rsid w:val="000808AB"/>
    <w:rsid w:val="005528C5"/>
    <w:rsid w:val="00CE1FB9"/>
    <w:rsid w:val="00D13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DF4D7-637A-4B2D-B724-EA01B383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3B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13B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3B8D"/>
  </w:style>
  <w:style w:type="paragraph" w:styleId="Altbilgi">
    <w:name w:val="footer"/>
    <w:basedOn w:val="Normal"/>
    <w:link w:val="AltbilgiChar"/>
    <w:uiPriority w:val="99"/>
    <w:unhideWhenUsed/>
    <w:rsid w:val="00D13B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3B8D"/>
  </w:style>
  <w:style w:type="character" w:styleId="SayfaNumaras">
    <w:name w:val="page number"/>
    <w:basedOn w:val="VarsaylanParagrafYazTipi"/>
    <w:uiPriority w:val="99"/>
    <w:semiHidden/>
    <w:unhideWhenUsed/>
    <w:rsid w:val="00D1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2019-01-09T11:22:00Z</dcterms:created>
  <dcterms:modified xsi:type="dcterms:W3CDTF">2019-01-09T11:22:00Z</dcterms:modified>
</cp:coreProperties>
</file>