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505" w:rsidRPr="003D5505" w:rsidRDefault="003D5505" w:rsidP="003D550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ANAYASA MAHKEMESİ KARARI</w:t>
      </w:r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 </w:t>
      </w:r>
    </w:p>
    <w:p w:rsidR="003D5505" w:rsidRPr="003D5505" w:rsidRDefault="003D5505" w:rsidP="003D55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 xml:space="preserve">Esas </w:t>
      </w:r>
      <w:proofErr w:type="gramStart"/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>Sayısı : 1995</w:t>
      </w:r>
      <w:proofErr w:type="gramEnd"/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>/30</w:t>
      </w:r>
    </w:p>
    <w:p w:rsidR="003D5505" w:rsidRPr="003D5505" w:rsidRDefault="003D5505" w:rsidP="003D55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 xml:space="preserve">Karar </w:t>
      </w:r>
      <w:proofErr w:type="gramStart"/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>Sayısı : 1995</w:t>
      </w:r>
      <w:proofErr w:type="gramEnd"/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>/18</w:t>
      </w:r>
    </w:p>
    <w:p w:rsidR="003D5505" w:rsidRPr="003D5505" w:rsidRDefault="003D5505" w:rsidP="003D55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 xml:space="preserve">Karar </w:t>
      </w:r>
      <w:proofErr w:type="gramStart"/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>Günü : 27</w:t>
      </w:r>
      <w:proofErr w:type="gramEnd"/>
      <w:r w:rsidRPr="003D5505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>.6.1995</w:t>
      </w:r>
    </w:p>
    <w:p w:rsidR="003D5505" w:rsidRPr="003D5505" w:rsidRDefault="003D5505" w:rsidP="003D55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</w:pPr>
      <w:r w:rsidRPr="003D550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R.G. Tarih-</w:t>
      </w:r>
      <w:proofErr w:type="gramStart"/>
      <w:r w:rsidRPr="003D550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Sayı :</w:t>
      </w:r>
      <w:proofErr w:type="spellStart"/>
      <w:r w:rsidRPr="003D550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R</w:t>
      </w:r>
      <w:proofErr w:type="gramEnd"/>
      <w:r w:rsidRPr="003D550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.G.'de</w:t>
      </w:r>
      <w:proofErr w:type="spellEnd"/>
      <w:r w:rsidRPr="003D550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yayımlanmamıştır. (</w:t>
      </w:r>
      <w:proofErr w:type="spellStart"/>
      <w:r w:rsidRPr="003D550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Red</w:t>
      </w:r>
      <w:proofErr w:type="spellEnd"/>
      <w:r w:rsidRPr="003D550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)</w:t>
      </w:r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Dâvacı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vekilinin, ayrıntılarıyla açıkladığı istemlerini, sonucunda da öncelikle "506 sayılı Kanunun Ek 24/L maddesinin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dâvacının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hukukî durumu itibariyle değerlendirerek madde kapsamında olup olmadığının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tesbiti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ile" biçiminde yinelediği dilekçesiyle açtığı dâva, içerdiği Anayasa'ya aykırılık savı,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dâvacının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SSK'na borçlu bulunmadığının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tesbiti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ve sataşmanın önlenmesi bölümlerinden oluşan kademeli bir dâvadır.</w:t>
      </w:r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Bu tür bir dâvada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isteminin gereği, olumlu ya da olumsuz, yerine getirilmeden öbür isteme geçilmesi ve çözüm sağlayan bir yargıya varılması uygun olmadığı gibi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sorunu aşılmadan öze ilişkin uygulamanın dayanağı olan bir kural hakkında itiraz yoluna başvurulması da olanaksızdır.</w:t>
      </w:r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proofErr w:type="gram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Anayasa'nın 152. maddesinin birinci fıkrasıyla Anayasa Mahkemesinin Kuruluşu ve Yargılama Usulleri Hakkında 2949 sayılı Kanun'un 28. maddesinin birinci fıkrasının 2. bendine göre; bir dâvaya bakmakta olan mahkemenin, uygulanacak bir kanun veya kanun hükmünde kararnamenin hükümlerine ilişkin olarak taraflardan birinin ileri sürdüğü aykırılık savının ciddî olduğu kanısına vararak Anayasa Mahkemesi'ne başvurabilmesi, o kuralın bakılan dâvada uygulanabilmesi koşuluna bağlıdır.</w:t>
      </w:r>
      <w:proofErr w:type="gramEnd"/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Kademeli dâvaların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bölümünde, tespitle ilgili kurallar uygulanma durumundadır.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istemini olumlu ya da olumsuz sonuçlandırırken uygulanan ya da uygulama olasılığı bulunan bir kural için başvurulabilir.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istemi çözümlenip eda bölümüne geçilmiş gibi bu evrede uygulanabilecek bir kuralın iptali istemiyle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evresinde itiraz yoluna başvurulamaz.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Kaldıki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yerel mahkeme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istemini karara bağlarken ya da bağlamak için bu yola başvurduğu açıklığına yer vermemiştir. Başvuru kararındaki "... </w:t>
      </w:r>
      <w:proofErr w:type="gram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olayımızda</w:t>
      </w:r>
      <w:proofErr w:type="gram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dâvacının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kanunla kurulan diğer kuruluşlar kapsamında olduğu..." tümcesi,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isteminin incelenip bu konuda bir yargıya varıldığı anlamında değildir. Bu durumda,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istemini sonuçlandırırken itiraz konusu 24/L maddesinin uygulanma yeri yoktur.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,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dâvacının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bu madde kapsamına girip girmediğidir. Madde kapsamında olup olmadığına göre maddenin uygulanıp uygulanmayacağı söz konusu olacak, gündeme gelecektir.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Tesbitin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sonucunda,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dâvacının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anılan madde kapsamına girmediği saptanırsa uygulanması düşünülmeyecektir.</w:t>
      </w:r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Bu durum karşısında, itiraz yoluna başvuran mahkemenin bakmakta olduğu davanın bu evresinde iptalini istediği kuralın uygulanma niteliği bulunmadığından mahkemenin yetkisizliği nedeniyle</w:t>
      </w:r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proofErr w:type="gram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başvurunun</w:t>
      </w:r>
      <w:proofErr w:type="gram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reddine karar verilmesi gerekir.</w:t>
      </w:r>
    </w:p>
    <w:p w:rsid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p w:rsid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proofErr w:type="gram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lastRenderedPageBreak/>
        <w:t>SONUÇ :</w:t>
      </w:r>
      <w:proofErr w:type="gramEnd"/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Dâvanın kademeli olması ve ilk kademeyi oluşturan </w:t>
      </w:r>
      <w:proofErr w:type="spellStart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tesbitin</w:t>
      </w:r>
      <w:proofErr w:type="spellEnd"/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sonuçlanmaması nedeniyle, iptali istenen kuralın bu evrede uygulanma niteliği bulunmadığından başvuran Mahkemenin yetkisizliği nedeniyle itirazın REDDİNE,</w:t>
      </w:r>
    </w:p>
    <w:p w:rsidR="003D5505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3D5505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27.6.1995 gününde OYBİRLİĞİYLE karar verildi.</w:t>
      </w:r>
    </w:p>
    <w:tbl>
      <w:tblPr>
        <w:tblW w:w="5000" w:type="pct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25"/>
        <w:gridCol w:w="1511"/>
        <w:gridCol w:w="1513"/>
        <w:gridCol w:w="3023"/>
      </w:tblGrid>
      <w:tr w:rsidR="003D5505" w:rsidRPr="003D5505" w:rsidTr="003D5505">
        <w:trPr>
          <w:tblCellSpacing w:w="0" w:type="dxa"/>
          <w:jc w:val="center"/>
        </w:trPr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3D5505" w:rsidRPr="003D5505" w:rsidTr="003D5505">
        <w:trPr>
          <w:tblCellSpacing w:w="0" w:type="dxa"/>
          <w:jc w:val="center"/>
        </w:trPr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Başkan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Yekta Güngör ÖZDEN</w:t>
            </w:r>
          </w:p>
        </w:tc>
        <w:tc>
          <w:tcPr>
            <w:tcW w:w="1667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Başkanvekili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Yılmaz ALİEFENDİOĞLU</w:t>
            </w:r>
          </w:p>
        </w:tc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İhsan PEKEL</w:t>
            </w:r>
          </w:p>
        </w:tc>
      </w:tr>
      <w:tr w:rsidR="003D5505" w:rsidRPr="003D5505" w:rsidTr="003D5505">
        <w:trPr>
          <w:tblCellSpacing w:w="0" w:type="dxa"/>
          <w:jc w:val="center"/>
        </w:trPr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3D5505" w:rsidRPr="003D5505" w:rsidTr="003D5505">
        <w:trPr>
          <w:tblCellSpacing w:w="0" w:type="dxa"/>
          <w:jc w:val="center"/>
        </w:trPr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Selçuk TÜZÜN</w:t>
            </w:r>
          </w:p>
        </w:tc>
        <w:tc>
          <w:tcPr>
            <w:tcW w:w="1667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Ahmet N. SEZER</w:t>
            </w:r>
          </w:p>
        </w:tc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proofErr w:type="spellStart"/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Samia</w:t>
            </w:r>
            <w:proofErr w:type="spellEnd"/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 xml:space="preserve"> AKBULUT</w:t>
            </w:r>
          </w:p>
        </w:tc>
      </w:tr>
      <w:tr w:rsidR="003D5505" w:rsidRPr="003D5505" w:rsidTr="003D5505">
        <w:trPr>
          <w:tblCellSpacing w:w="0" w:type="dxa"/>
          <w:jc w:val="center"/>
        </w:trPr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3D5505" w:rsidRPr="003D5505" w:rsidTr="003D5505">
        <w:trPr>
          <w:tblCellSpacing w:w="0" w:type="dxa"/>
          <w:jc w:val="center"/>
        </w:trPr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Yalçın ACARGÜN</w:t>
            </w:r>
          </w:p>
        </w:tc>
        <w:tc>
          <w:tcPr>
            <w:tcW w:w="1667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Mustafa BUMİN</w:t>
            </w:r>
            <w:bookmarkStart w:id="0" w:name="_GoBack"/>
            <w:bookmarkEnd w:id="0"/>
          </w:p>
        </w:tc>
        <w:tc>
          <w:tcPr>
            <w:tcW w:w="1667" w:type="pct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proofErr w:type="spellStart"/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Sacit</w:t>
            </w:r>
            <w:proofErr w:type="spellEnd"/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 xml:space="preserve"> ADALI</w:t>
            </w:r>
          </w:p>
        </w:tc>
      </w:tr>
      <w:tr w:rsidR="003D5505" w:rsidRPr="003D5505" w:rsidTr="003D5505">
        <w:trPr>
          <w:tblCellSpacing w:w="0" w:type="dxa"/>
          <w:jc w:val="center"/>
        </w:trPr>
        <w:tc>
          <w:tcPr>
            <w:tcW w:w="2500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2500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3D5505" w:rsidRPr="003D5505" w:rsidTr="003D5505">
        <w:trPr>
          <w:tblCellSpacing w:w="0" w:type="dxa"/>
          <w:jc w:val="center"/>
        </w:trPr>
        <w:tc>
          <w:tcPr>
            <w:tcW w:w="2500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Ali HÜNER</w:t>
            </w:r>
          </w:p>
        </w:tc>
        <w:tc>
          <w:tcPr>
            <w:tcW w:w="2500" w:type="pct"/>
            <w:gridSpan w:val="2"/>
            <w:hideMark/>
          </w:tcPr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Üye</w:t>
            </w:r>
          </w:p>
          <w:p w:rsidR="003D5505" w:rsidRPr="003D5505" w:rsidRDefault="003D5505" w:rsidP="003D55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D5505">
              <w:rPr>
                <w:rFonts w:ascii="Times New Roman" w:eastAsia="Times New Roman" w:hAnsi="Times New Roman" w:cs="Times New Roman"/>
                <w:sz w:val="24"/>
                <w:szCs w:val="27"/>
                <w:lang w:eastAsia="tr-TR"/>
              </w:rPr>
              <w:t>Nurettin TURAN</w:t>
            </w:r>
          </w:p>
        </w:tc>
      </w:tr>
    </w:tbl>
    <w:p w:rsidR="00BE70E4" w:rsidRPr="003D5505" w:rsidRDefault="003D5505" w:rsidP="003D5505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</w:p>
    <w:sectPr w:rsidR="00BE70E4" w:rsidRPr="003D5505" w:rsidSect="003D550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5505" w:rsidRDefault="003D5505" w:rsidP="003D5505">
      <w:pPr>
        <w:spacing w:after="0" w:line="240" w:lineRule="auto"/>
      </w:pPr>
      <w:r>
        <w:separator/>
      </w:r>
    </w:p>
  </w:endnote>
  <w:endnote w:type="continuationSeparator" w:id="0">
    <w:p w:rsidR="003D5505" w:rsidRDefault="003D5505" w:rsidP="003D5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5505" w:rsidRDefault="003D5505" w:rsidP="00DD71EE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3D5505" w:rsidRDefault="003D5505" w:rsidP="003D5505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5505" w:rsidRPr="003D5505" w:rsidRDefault="003D5505" w:rsidP="00DD71EE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3D5505">
      <w:rPr>
        <w:rStyle w:val="SayfaNumaras"/>
        <w:rFonts w:ascii="Times New Roman" w:hAnsi="Times New Roman" w:cs="Times New Roman"/>
      </w:rPr>
      <w:fldChar w:fldCharType="begin"/>
    </w:r>
    <w:r w:rsidRPr="003D5505">
      <w:rPr>
        <w:rStyle w:val="SayfaNumaras"/>
        <w:rFonts w:ascii="Times New Roman" w:hAnsi="Times New Roman" w:cs="Times New Roman"/>
      </w:rPr>
      <w:instrText xml:space="preserve">PAGE  </w:instrText>
    </w:r>
    <w:r w:rsidRPr="003D5505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2</w:t>
    </w:r>
    <w:r w:rsidRPr="003D5505">
      <w:rPr>
        <w:rStyle w:val="SayfaNumaras"/>
        <w:rFonts w:ascii="Times New Roman" w:hAnsi="Times New Roman" w:cs="Times New Roman"/>
      </w:rPr>
      <w:fldChar w:fldCharType="end"/>
    </w:r>
  </w:p>
  <w:p w:rsidR="003D5505" w:rsidRPr="003D5505" w:rsidRDefault="003D5505" w:rsidP="003D5505">
    <w:pPr>
      <w:pStyle w:val="Altbilgi"/>
      <w:ind w:right="360"/>
      <w:rPr>
        <w:rFonts w:ascii="Times New Roman" w:hAnsi="Times New Roman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5505" w:rsidRDefault="003D5505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5505" w:rsidRDefault="003D5505" w:rsidP="003D5505">
      <w:pPr>
        <w:spacing w:after="0" w:line="240" w:lineRule="auto"/>
      </w:pPr>
      <w:r>
        <w:separator/>
      </w:r>
    </w:p>
  </w:footnote>
  <w:footnote w:type="continuationSeparator" w:id="0">
    <w:p w:rsidR="003D5505" w:rsidRDefault="003D5505" w:rsidP="003D5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5505" w:rsidRDefault="003D5505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5505" w:rsidRDefault="003D5505">
    <w:pPr>
      <w:pStyle w:val="stbilgi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 xml:space="preserve">Esas </w:t>
    </w:r>
    <w:proofErr w:type="gramStart"/>
    <w:r>
      <w:rPr>
        <w:rFonts w:ascii="Times New Roman" w:hAnsi="Times New Roman" w:cs="Times New Roman"/>
        <w:b/>
      </w:rPr>
      <w:t>Sayısı : 1995</w:t>
    </w:r>
    <w:proofErr w:type="gramEnd"/>
    <w:r>
      <w:rPr>
        <w:rFonts w:ascii="Times New Roman" w:hAnsi="Times New Roman" w:cs="Times New Roman"/>
        <w:b/>
      </w:rPr>
      <w:t>/30</w:t>
    </w:r>
  </w:p>
  <w:p w:rsidR="003D5505" w:rsidRDefault="003D5505">
    <w:pPr>
      <w:pStyle w:val="stbilgi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 xml:space="preserve">Karar </w:t>
    </w:r>
    <w:proofErr w:type="gramStart"/>
    <w:r>
      <w:rPr>
        <w:rFonts w:ascii="Times New Roman" w:hAnsi="Times New Roman" w:cs="Times New Roman"/>
        <w:b/>
      </w:rPr>
      <w:t>Sayısı : 1995</w:t>
    </w:r>
    <w:proofErr w:type="gramEnd"/>
    <w:r>
      <w:rPr>
        <w:rFonts w:ascii="Times New Roman" w:hAnsi="Times New Roman" w:cs="Times New Roman"/>
        <w:b/>
      </w:rPr>
      <w:t>/18</w:t>
    </w:r>
  </w:p>
  <w:p w:rsidR="003D5505" w:rsidRPr="003D5505" w:rsidRDefault="003D5505">
    <w:pPr>
      <w:pStyle w:val="stbilgi"/>
      <w:rPr>
        <w:rFonts w:ascii="Times New Roman" w:hAnsi="Times New Roman" w:cs="Times New Roman"/>
        <w:b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5505" w:rsidRDefault="003D550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929"/>
    <w:rsid w:val="00172622"/>
    <w:rsid w:val="003D5505"/>
    <w:rsid w:val="00717CD7"/>
    <w:rsid w:val="00875929"/>
    <w:rsid w:val="00957D8F"/>
    <w:rsid w:val="0099656F"/>
    <w:rsid w:val="00AD5221"/>
    <w:rsid w:val="00BE5E89"/>
    <w:rsid w:val="00C23B1C"/>
    <w:rsid w:val="00CD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D8A21B-9E7B-4E09-9526-18C628301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D55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3D55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D5505"/>
  </w:style>
  <w:style w:type="paragraph" w:styleId="Altbilgi">
    <w:name w:val="footer"/>
    <w:basedOn w:val="Normal"/>
    <w:link w:val="AltbilgiChar"/>
    <w:uiPriority w:val="99"/>
    <w:unhideWhenUsed/>
    <w:rsid w:val="003D55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D5505"/>
  </w:style>
  <w:style w:type="character" w:styleId="SayfaNumaras">
    <w:name w:val="page number"/>
    <w:basedOn w:val="VarsaylanParagrafYazTipi"/>
    <w:uiPriority w:val="99"/>
    <w:semiHidden/>
    <w:unhideWhenUsed/>
    <w:rsid w:val="003D55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39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466</Words>
  <Characters>2659</Characters>
  <Application>Microsoft Office Word</Application>
  <DocSecurity>0</DocSecurity>
  <Lines>22</Lines>
  <Paragraphs>6</Paragraphs>
  <ScaleCrop>false</ScaleCrop>
  <Company>Adalet</Company>
  <LinksUpToDate>false</LinksUpToDate>
  <CharactersWithSpaces>3119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Sibel Yöndem 502499</dc:creator>
  <cp:keywords/>
  <dc:description/>
  <cp:lastModifiedBy>Sibel Yöndem 502499</cp:lastModifiedBy>
  <cp:revision>2</cp:revision>
  <dcterms:created xsi:type="dcterms:W3CDTF">2018-12-12T07:37:00Z</dcterms:created>
  <dcterms:modified xsi:type="dcterms:W3CDTF">2018-12-12T07:38:00Z</dcterms:modified>
</cp:coreProperties>
</file>