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7E2" w:rsidRDefault="004077E2" w:rsidP="004077E2">
      <w:pPr>
        <w:spacing w:before="100" w:after="100" w:line="240" w:lineRule="auto"/>
        <w:jc w:val="center"/>
        <w:rPr>
          <w:rFonts w:ascii="Times New Roman" w:eastAsia="Times New Roman" w:hAnsi="Times New Roman" w:cs="Times New Roman"/>
          <w:b/>
          <w:bCs/>
          <w:color w:val="000000"/>
          <w:sz w:val="24"/>
          <w:szCs w:val="27"/>
          <w:lang w:val="tr-TR" w:eastAsia="tr-TR"/>
        </w:rPr>
      </w:pPr>
      <w:r w:rsidRPr="004077E2">
        <w:rPr>
          <w:rFonts w:ascii="Times New Roman" w:eastAsia="Times New Roman" w:hAnsi="Times New Roman" w:cs="Times New Roman"/>
          <w:b/>
          <w:bCs/>
          <w:color w:val="000000"/>
          <w:sz w:val="24"/>
          <w:szCs w:val="27"/>
          <w:lang w:val="tr-TR" w:eastAsia="tr-TR"/>
        </w:rPr>
        <w:t>ANAYASA MAHKEMESİ KARARI</w:t>
      </w:r>
    </w:p>
    <w:p w:rsidR="004077E2" w:rsidRDefault="004077E2" w:rsidP="004077E2">
      <w:pPr>
        <w:spacing w:before="100" w:after="100" w:line="240" w:lineRule="auto"/>
        <w:jc w:val="center"/>
        <w:rPr>
          <w:rFonts w:ascii="Times New Roman" w:eastAsia="Times New Roman" w:hAnsi="Times New Roman" w:cs="Times New Roman"/>
          <w:b/>
          <w:bCs/>
          <w:color w:val="000000"/>
          <w:sz w:val="24"/>
          <w:szCs w:val="27"/>
          <w:lang w:val="tr-TR" w:eastAsia="tr-TR"/>
        </w:rPr>
      </w:pPr>
    </w:p>
    <w:p w:rsidR="004077E2" w:rsidRDefault="004077E2" w:rsidP="004077E2">
      <w:pPr>
        <w:spacing w:before="100" w:after="100" w:line="240" w:lineRule="auto"/>
        <w:jc w:val="center"/>
        <w:rPr>
          <w:rFonts w:ascii="Times New Roman" w:eastAsia="Times New Roman" w:hAnsi="Times New Roman" w:cs="Times New Roman"/>
          <w:color w:val="000000"/>
          <w:sz w:val="24"/>
          <w:szCs w:val="27"/>
          <w:lang w:val="tr-TR" w:eastAsia="tr-TR"/>
        </w:rPr>
      </w:pPr>
    </w:p>
    <w:p w:rsidR="004077E2" w:rsidRPr="004077E2" w:rsidRDefault="004077E2" w:rsidP="004077E2">
      <w:pPr>
        <w:spacing w:after="0" w:line="240" w:lineRule="auto"/>
        <w:jc w:val="both"/>
        <w:rPr>
          <w:rFonts w:ascii="Times New Roman" w:eastAsia="Times New Roman" w:hAnsi="Times New Roman" w:cs="Times New Roman"/>
          <w:b/>
          <w:color w:val="000000"/>
          <w:sz w:val="24"/>
          <w:szCs w:val="27"/>
          <w:lang w:val="tr-TR" w:eastAsia="tr-TR"/>
        </w:rPr>
      </w:pPr>
      <w:r w:rsidRPr="004077E2">
        <w:rPr>
          <w:rFonts w:ascii="Times New Roman" w:eastAsia="Times New Roman" w:hAnsi="Times New Roman" w:cs="Times New Roman"/>
          <w:b/>
          <w:color w:val="000000"/>
          <w:sz w:val="24"/>
          <w:szCs w:val="27"/>
          <w:lang w:val="tr-TR" w:eastAsia="tr-TR"/>
        </w:rPr>
        <w:t>Esas Sayısı : 1994/73</w:t>
      </w:r>
    </w:p>
    <w:p w:rsidR="004077E2" w:rsidRPr="004077E2" w:rsidRDefault="004077E2" w:rsidP="004077E2">
      <w:pPr>
        <w:spacing w:after="0" w:line="240" w:lineRule="auto"/>
        <w:jc w:val="both"/>
        <w:rPr>
          <w:rFonts w:ascii="Times New Roman" w:eastAsia="Times New Roman" w:hAnsi="Times New Roman" w:cs="Times New Roman"/>
          <w:b/>
          <w:color w:val="000000"/>
          <w:sz w:val="24"/>
          <w:szCs w:val="27"/>
          <w:lang w:val="tr-TR" w:eastAsia="tr-TR"/>
        </w:rPr>
      </w:pPr>
      <w:r w:rsidRPr="004077E2">
        <w:rPr>
          <w:rFonts w:ascii="Times New Roman" w:eastAsia="Times New Roman" w:hAnsi="Times New Roman" w:cs="Times New Roman"/>
          <w:b/>
          <w:color w:val="000000"/>
          <w:sz w:val="24"/>
          <w:szCs w:val="27"/>
          <w:lang w:val="tr-TR" w:eastAsia="tr-TR"/>
        </w:rPr>
        <w:t>Karar Sayısı : 1994/75</w:t>
      </w:r>
    </w:p>
    <w:p w:rsidR="004077E2" w:rsidRPr="004077E2" w:rsidRDefault="004077E2" w:rsidP="004077E2">
      <w:pPr>
        <w:spacing w:after="0" w:line="240" w:lineRule="auto"/>
        <w:jc w:val="both"/>
        <w:rPr>
          <w:rFonts w:ascii="Times New Roman" w:eastAsia="Times New Roman" w:hAnsi="Times New Roman" w:cs="Times New Roman"/>
          <w:b/>
          <w:color w:val="000000"/>
          <w:sz w:val="24"/>
          <w:szCs w:val="27"/>
          <w:lang w:val="tr-TR" w:eastAsia="tr-TR"/>
        </w:rPr>
      </w:pPr>
      <w:r w:rsidRPr="004077E2">
        <w:rPr>
          <w:rFonts w:ascii="Times New Roman" w:eastAsia="Times New Roman" w:hAnsi="Times New Roman" w:cs="Times New Roman"/>
          <w:b/>
          <w:color w:val="000000"/>
          <w:sz w:val="24"/>
          <w:szCs w:val="27"/>
          <w:lang w:val="tr-TR" w:eastAsia="tr-TR"/>
        </w:rPr>
        <w:t>Karar Günü : 25.10.1994</w:t>
      </w:r>
    </w:p>
    <w:p w:rsidR="004077E2" w:rsidRPr="004077E2" w:rsidRDefault="004077E2" w:rsidP="004077E2">
      <w:pPr>
        <w:spacing w:after="0" w:line="240" w:lineRule="auto"/>
        <w:jc w:val="both"/>
        <w:rPr>
          <w:rFonts w:ascii="Times New Roman" w:eastAsia="Times New Roman" w:hAnsi="Times New Roman" w:cs="Times New Roman"/>
          <w:b/>
          <w:color w:val="000000"/>
          <w:sz w:val="24"/>
          <w:szCs w:val="27"/>
          <w:lang w:val="tr-TR" w:eastAsia="tr-TR"/>
        </w:rPr>
      </w:pPr>
      <w:r w:rsidRPr="004077E2">
        <w:rPr>
          <w:rFonts w:ascii="Times New Roman" w:eastAsia="Times New Roman" w:hAnsi="Times New Roman" w:cs="Times New Roman"/>
          <w:b/>
          <w:bCs/>
          <w:color w:val="000000"/>
          <w:sz w:val="24"/>
          <w:szCs w:val="26"/>
          <w:lang w:val="tr-TR" w:eastAsia="tr-TR"/>
        </w:rPr>
        <w:t>R.G. Tarih-Sayı :13.11.1995-22462</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İTİRAZ YOLUNA BAŞVURAN : Yargıtay 10. Hukuk Dairesi</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İTİRAZIN KONUSU : 17.7.1964 günlü, 506 sayılı Sosyal Sigortalar Kanunu'nun 110. maddesinin birinci tümcesinde yer alan, "... suç sayılır bir hareketi yüzünden hastalanan sigortalıya geçici iş göremezlik ödeneği verilmemesi..."ni öngören kuralın Anayasa'nın 2., 5. ve 61. maddelerine aykırılığı savıyla iptali istemidir.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 OLAY</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Tümüyle kendi kusuru sonucu meydana gelen bir trafik kazasında yaralanan ve Sosyal Sigortalar Kurumu'nca tedavi altına alınan sigortalıya ödenen geçici iş göremezlik tazminatının Kurum'ca dava edilmesi üzerine Kayseri İş Mahkemesi'nce Sosyal Sigortalar Kanunu'nun 110. maddesine göre sigortalıdan geri alınmasına karar verilmiş ve karar sigortalı tarafından temyiz edilmiştir.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Temyiz istemini inceleyen Yargıtay 10. Hukuk Dairesi, 506 sayılı Yasa'nın 110. maddesinin birinci tümcesinde yer alan ve suç sayılan bir hareketi yüzünden hastalanan sigortalıya geçici iş göremezlik ödeneği verilmemesini öngören kuralın iptali istemiyle Anayasa Mahkemesi'ne başvurmuştur.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III- YASA METİNLERİ</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A- İptali İstenilen Yasa Kuralı</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İptali istenilen kuralın yer aldığı 506 sayılı Sosyal Sigortalar Yasası'nın 110. maddesi şöyledir :</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"Madde 110- Kastı veya suç sayılır bir hareketi yüzünden iş kazasına uğrayan, meslek hastalığına tutulan veya hastalanan sigortalıya geçici iş göremezlik ödeneği ve sürekli iş göremezlik geliri verilmez. Sigortalıya yalnız gerekli sağlık yardımı yapılır."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B- Dayanılan Anayasa Kuralları</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İtiraz başvurusunda dayanılan Anayasa kuralları şunlardır :</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xml:space="preserve">2- "MADDE 5.- Devletin temel amaç ve görevleri, Türk milletinin bağımsızlığını ve bütünlüğünü, ülkenin bölünmezliğini, Cumhuriyeti ve demokrasiyi korumak, kişilerin ve </w:t>
      </w:r>
      <w:r w:rsidRPr="004077E2">
        <w:rPr>
          <w:rFonts w:ascii="Times New Roman" w:eastAsia="Times New Roman" w:hAnsi="Times New Roman" w:cs="Times New Roman"/>
          <w:color w:val="000000"/>
          <w:sz w:val="24"/>
          <w:szCs w:val="27"/>
          <w:lang w:val="tr-TR" w:eastAsia="tr-TR"/>
        </w:rPr>
        <w:lastRenderedPageBreak/>
        <w:t>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3- "MADDE 60.- Herkes, sosyal güvenlik hakkına sahiptir.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Devlet, bu güvenliği sağlayacak gerekli tedbirleri alır ve teşkilatı kurar."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4- "MADDE 61.- Devlet, harp ve vazife şehitlerinin dul ve yetimleriyle, malûl ve gazileri korur ve toplumda kendilerine yaraşır bir hayat seviyesi sağlar.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Devlet, sakatların korunmalarını ve toplum hayatına intibaklarını sağlayıcı tedbirleri alır.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Yaşlılar, Devletçe korunur. Yaşlılara Devlet yardımı ve sağlanacak diğer haklar ve kolaylıklar kanunla düzenlenir.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Devlet, korunmaya muhtaç çocukların topluma kazandırılması için her türlü tedbiri alır.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Bu amaçlarla gerekli teşkilat ve tesisleri kurar veya kurdurur."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IV- İLK İNCELEME</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Anayasa Mahkemesi İçtüzüğü'nün 8. maddesi gereğince Yekta Güngör ÖZDEN, Güven DİNÇER, İhsan PEKEL, Selçuk TÜZÜN, Ahmet N. SEZER, Haşim KILIÇ, Yalçın ACARGÜN, Mustafa BUMİN, Sacit ADALI, Ali HÜNER ve Lütfi F. TUNCEL'in katılmalarıyla 20.9.1994 günü yapılan ilk inceleme toplantısında dosyadaki eksikliğin giderildiği anlaşıldığından işin esasının incelenmesine oybirliğiyle karar verilmiştir.</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V- ESASIN İNCELENMESİ</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İşin esasına ilişkin rapor, başvuru kararı ve ekleri, itiraz konusu yasa kuralı ile dayanılan Anayasa kuralları, bunların gerekçeleri ve öteki yasama belgeleri okunup incelendikten sonra gereği görüşülüp düşünüldü :</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A- Sınırlama Sorunu</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İtiraz yoluna başvuran Yargıtay 10. Hukuk Dairesi, 506 sayılı Yasa'nın 110. maddesinin birinci tümcesinde yer alan, suç sayılır bir hareketi yüzünden hastalanan sigortalıya geçici iş göremezlik ödeneği verilmemesini öngören kuralın Anayasa'ya aykırılığı savıyla iptali isteminde bulunurken suçların türü yönünden bir ayrıma gitmemiş ve istemini sınırlandırmamıştır.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Anayasa'nın 152. ve 2949 sayılı Anayasa Mahkemesinin Kuruluşu ve Yargılama Usulleri Hakkında Yasa'nın 28. maddelerinde, itiraz yoluyla Anayasa Mahkemesi'ne yapılan başvuruların Mahkeme'nin görev alanı ve bakmakta olduğu davada uygulanacak yasa kuralı ile ilgili olması öngörülmüştür.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lastRenderedPageBreak/>
        <w:t>İtiraz yoluna başvuran Yargıtay 10. Hukuk Dairesi'nin bakmakta olduğu dava, 506 sayılı Sosyal Sigortalar Yasası'nın 110. maddesinin uygulanmasından doğmuştur. Sözü edilen maddeye göre kasdî veya suç sayılabilir bir hareketi yüzünden iş kazasına uğrayan, meslek hastalığına tutulan veya hastalanan sigortalılara geçici ve sürekli iş göremezlik geliri verilmemektedir. Davaya konu olay, kasdî olmayan ve suç sayılır bir eylemi yüzünden iş kazasına uğrayan sigortalıya geçici iş göremezlik geliri bağlanmasına ilişkindir.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Yargıtay 10. Hukuk Dairesi, Sosyal Sigortalar Yasası'nın 110. maddesinin birinci tümcesinin, suç sayılan bir eylemi yüzünden iş kazasına uğrayan sigortalının geçici iş göremezlik geliri almamasına ilişkin kurallarını uygulama durumundadır. Olayda davalının kasde dayanmayan kusurlu bir eylemi sonucu iş kazasına uğraması söz konusudur.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Bu nedenlerle, 17.7.1964 günlü, 506 sayılı Sosyal Sigortalar Yasası'nın iptali istenilen 110. maddesinin esas yönünden incelenmesinin, "... suç sayılan taksirli bir hareketi yüzünden iş kazasına uğrayan sigortalıya geçici iş göremezlik ödeneği verilmemesi..." ile sınırlı olarak yapılması gerekmektedir.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B- Anayasa'ya Aykırılık Sorunu</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1- Anayasa'nın 2., 5. ve 60. Maddeleri Yönünden İnceleme</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Anayasa'nın "sosyal güvenlik hakkı" başlıklı 60. Maddesinin birinci fıkrasında, herkesin sosyal güvenlik hakkına sahip olması öngörülmüştür. Sosyal güvenlik hakkı, çalışanların yaşamlarının ve yarınlarının güvencesidir. Sosyal güvenlik, toplumun parçası olan bireylere, gelirleri ne olursa olsun doğal bir olay olan yaşlılık ile hastalık, kaza, ölüm ve malûllük gibi sosyal riskler karşısında asgari bir yaşam düzeyi sağlama amacına yöneliktir. 60. Maddenin ikinci fıkrasında, Devlete sosyal güvenliği sağlayacak gerekli önlemleri almak ve teşkilâtı kurmak görevi verilmiştir. T.C. Emekli Sandığı, Bağ-Kur ve Sosyal Sigortalar Kurumu, ülkemizde sosyal güvenliğin temelini oluşturan kurumlardır. Sosyal Sigortalar Kurumu, hizmet akdine dayanarak bir veya birkaç işveren tarafından çalıştırılanlara, iş kazalarıyla meslek hastalıkları, hastalık, analık, malûllük, yaşlılık ve ölüm hallerinde sosyal sigorta yardımları yapan sosyal güvenlik kuruluşudur. Çalışmaları, yasal ölçüler içinde ve sigorta esaslarına göre düzenlenmiştir. Bu madde sosyal güvenliğin düzenlenmesinde temel kural olmakla birlikte, Anayasa'da, çalışma hayatını düzenleyen diğer kurallar bütün sosyal güvenlik kurumları gibi Sosyal Sigortalar Kurumu için de geçerlidir.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Sosyal devlet, Anayasa'nın 2. maddesi uyarınca vatandaşın sosyal durumu ve refahı ile ilgilenen ve onlara asgarî yaşam düzeyi sağlayan devlettir. Anayasa'nın 5. maddesinde ise, "... kişilerin ve toplumun refah, huzur ve mutluluğunu sağlamak; kişinin temel hak ve hürriyetlerine, sosyal hukuk devleti ve adalet ilkeleriyle bağdaşmayacak surette sınırlayan siyasal, ekonomik ve sosyal engelleri kaldırmaya, insanın maddî ve manevî varlığının gelişmesi için gerekli şartları hazırlamaya çalışmak ..." devletin temel amaç ve görevleri arasında sayılmıştır.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Sosyal Sigortalar Yasası'nın itiraz konusu 110. maddesinde, kasdî veya suç sayılır bir hareketi yüzünden iş kazasına uğrayan, meslek hastalığına tutulan ya da hastalanan sigortalıya geçici iş göremezlik ödeneğiyle sürekli iş göremezlik gelirinin verilemeyeceği ve sigortalıya yalnız gerekli sağlık yardımlarının yapılacağı öngörülmüştür. Buna göre, sigortalının suç sayılır bir hareketiyle iş kazasına uğraması durumunda, sigortalı geçici işgörmezlik gelirinden yararlandırılmamaktadır.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lastRenderedPageBreak/>
        <w:t>Sosyal sigorta yasalarla kurulmuş bir sistem olup, sigortanın kapsamı, sigorta alanı ve kapsadığı riskler ile alınacak primler yasal ölçülerle belirlenmiştir. Sosyal güvenliğin ve sigortanın temel özelliği ve nedeni olan sosyal risklerin karşılaması işlevini yasaların öngörmesi zorunludur. Diğer yandan modern toplumun ulaştığı bilimsel düzey ve ileri teknolojik uygulamalar iş kazaları ve meslek hastalıklarına yeni boyutlar getirmiş ve yeni iş güvenliği sorunları ortaya çıkarmıştır. İleri ve karmaşık teknolojik uygulamalar bağlamında "kusur" kavramı, ceza hukukundaki anlamıyla "suç kavramı"na dönüşebilmekte ve maddenin düzenlenişine göre kastî suç olmasa bile bu tür suç sayılabilir bir eylemi yüzünden işçi sosyal güvenliğinden yoksun kalabilmektedir.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Emeğinden ve sosyal güvenliğinden başka hiçbir güvenceye sahip olmayan işçinin, suç sayılabilecek kusurlu bir eylemi nedeniyle sosyal güvenlikten yoksun bırakılması, prime dayanan sigorta anlayışına ters düşmektedir.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Yasa'nın 110. maddesinin taksirli suçları nedeniyle meydana gelen iş kazalarında işçiyi geçici iş göremezlik gelirinden yoksun bırakan kuralı, Sosyal Sigortalar Kurumu'nun kuruluş ve varlık nedenine de aykırı düşmektedir.</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Bu nedenlerle, sınırlama kararı uyarınca incelenen 110. maddedeki itiraz konusu kural 2., 5. ve 60. maddelerine aykırıdır.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İptali gerekir.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Haşim KILIÇ bu görüşe katılmamıştır.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2- Anayasa'nın 61. Maddesi Yönünden İnceleme</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Anayasa'nın 61. maddesinde harp ve vazife şehitlerinin dul ve yetimleri ile malûl ve gazilerin, sakatların, yaşlıların ve korunmaya muhtaç çocukların devletçe korunmalarına yönelik özel kurallar konulmuştur.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Anayasa'nın 60. ve 61. maddeleri, geniş anlamda sosyal güvenlik konularını düzenleyen maddeler olmalarına karşın birbirlerinden tümüyle ayrıdırlar. 61. madde, toplumun özel olarak koruması ve gözetmesi gereken bir kesiminin sosyal güvenliğini, 60. maddesi ise sigorta esasına dayanan ve çalışanların geleceğini güvence altına alan sosyal güvenlik sistemlerini düzenlemektedir. Bu nedenle itiraz konusu kuralın Anayasa'nın 61. maddesi ile ilgisi görülememiştir.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VI- SONUÇ</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Sınırlama kararı uyarınca incelenen 17.7.1964 günlü, 506 sayılı Sosyal Sigortalar Kanunu'nun 110. maddesinin, "... suç sayılan taksirli bir hareketi yüzünden iş kazasına uğrayan sigortalıya geçici iş göremezlik ödeneği verilmemesi ..." yönünden Anayasa'ya aykırı olduğuna ve İPTALİNE, Haşim KILIÇ'ın karşıoyu ve OYÇOKLUĞUYLA;</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25.10.1994 gününde karar verildi.</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077E2" w:rsidRPr="004077E2" w:rsidTr="004077E2">
        <w:trPr>
          <w:tblCellSpacing w:w="0" w:type="dxa"/>
          <w:jc w:val="center"/>
        </w:trPr>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lastRenderedPageBreak/>
              <w:t> </w:t>
            </w:r>
          </w:p>
        </w:tc>
        <w:tc>
          <w:tcPr>
            <w:tcW w:w="1667"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r>
      <w:tr w:rsidR="004077E2" w:rsidRPr="004077E2" w:rsidTr="004077E2">
        <w:trPr>
          <w:tblCellSpacing w:w="0" w:type="dxa"/>
          <w:jc w:val="center"/>
        </w:trPr>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Başkan</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Yekta Güngör ÖZDEN</w:t>
            </w:r>
          </w:p>
        </w:tc>
        <w:tc>
          <w:tcPr>
            <w:tcW w:w="1667"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Başkanvekili</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Güven DİNÇER</w:t>
            </w:r>
          </w:p>
        </w:tc>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İhsan PEKEL</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r>
      <w:tr w:rsidR="004077E2" w:rsidRPr="004077E2" w:rsidTr="004077E2">
        <w:trPr>
          <w:tblCellSpacing w:w="0" w:type="dxa"/>
          <w:jc w:val="center"/>
        </w:trPr>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c>
          <w:tcPr>
            <w:tcW w:w="1667"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r>
      <w:tr w:rsidR="004077E2" w:rsidRPr="004077E2" w:rsidTr="004077E2">
        <w:trPr>
          <w:tblCellSpacing w:w="0" w:type="dxa"/>
          <w:jc w:val="center"/>
        </w:trPr>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Selçuk TÜZÜN</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c>
          <w:tcPr>
            <w:tcW w:w="1667"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Ahmet N. SEZER</w:t>
            </w:r>
          </w:p>
        </w:tc>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Haşim KILIÇ</w:t>
            </w:r>
          </w:p>
        </w:tc>
      </w:tr>
      <w:tr w:rsidR="004077E2" w:rsidRPr="004077E2" w:rsidTr="004077E2">
        <w:trPr>
          <w:tblCellSpacing w:w="0" w:type="dxa"/>
          <w:jc w:val="center"/>
        </w:trPr>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c>
          <w:tcPr>
            <w:tcW w:w="1667"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r>
      <w:tr w:rsidR="004077E2" w:rsidRPr="004077E2" w:rsidTr="004077E2">
        <w:trPr>
          <w:tblCellSpacing w:w="0" w:type="dxa"/>
          <w:jc w:val="center"/>
        </w:trPr>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Yalçın ACARGÜN</w:t>
            </w:r>
          </w:p>
        </w:tc>
        <w:tc>
          <w:tcPr>
            <w:tcW w:w="1667"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Mustafa BUMİN</w:t>
            </w:r>
          </w:p>
        </w:tc>
        <w:tc>
          <w:tcPr>
            <w:tcW w:w="1667" w:type="pct"/>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Sacit ADALI</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r>
      <w:tr w:rsidR="004077E2" w:rsidRPr="004077E2" w:rsidTr="004077E2">
        <w:trPr>
          <w:tblCellSpacing w:w="0" w:type="dxa"/>
          <w:jc w:val="center"/>
        </w:trPr>
        <w:tc>
          <w:tcPr>
            <w:tcW w:w="2500"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c>
          <w:tcPr>
            <w:tcW w:w="2500"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r>
      <w:tr w:rsidR="004077E2" w:rsidRPr="004077E2" w:rsidTr="004077E2">
        <w:trPr>
          <w:tblCellSpacing w:w="0" w:type="dxa"/>
          <w:jc w:val="center"/>
        </w:trPr>
        <w:tc>
          <w:tcPr>
            <w:tcW w:w="2500"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Ali HÜNER</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c>
          <w:tcPr>
            <w:tcW w:w="2500"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Lütfi F. TUNCEL</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r>
      <w:tr w:rsidR="004077E2" w:rsidRPr="004077E2" w:rsidTr="004077E2">
        <w:trPr>
          <w:tblCellSpacing w:w="0" w:type="dxa"/>
          <w:jc w:val="center"/>
        </w:trPr>
        <w:tc>
          <w:tcPr>
            <w:tcW w:w="2500"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c>
          <w:tcPr>
            <w:tcW w:w="2500" w:type="pct"/>
            <w:gridSpan w:val="2"/>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4"/>
                <w:lang w:val="tr-TR" w:eastAsia="tr-TR"/>
              </w:rPr>
              <w:t> </w:t>
            </w:r>
          </w:p>
        </w:tc>
      </w:tr>
    </w:tbl>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w:t>
      </w:r>
    </w:p>
    <w:p w:rsidR="004077E2" w:rsidRDefault="004077E2" w:rsidP="004077E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KARŞIOY GEREKÇEM</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Esas Sayısı : 1994/73</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Karar Sayısı : 1994/75</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Anayasa'nın 60. maddesinde herkesin sosyal güvenlik hakkına sahip olduğu belirtilerek sosyal riskler karşısında asgari bir hayat seviyenin teminat altına alınması amaçlanmıştır. Yine aynı madde de, belirtilen sosyal güvenliği sağlayacak sosyal güvenlik kuruluşlarını kurma görevi de devlete verilmiştir. Sosyal Sigortalar Kurumu bu kapsamda görev yapan bir sosyal güvenlik kuruluşudur. 506 sayılı Sosyal Sigortalar Kanunu'nun 26. maddesi işveren sorum</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lastRenderedPageBreak/>
        <w:t>luluğunu düzenlemiştir. İşverenin kendi suç sayılır bir hareketi sebebiyle meydana gelen iş kazası ve meslek hastalığından dolayı Sosyal Sigortalar Kurumu'nun işçiye yaptığı ödemeler işverenden tahsil edilmektedir. Bu maddenin Anayasa'ya aykırılığı iddia edilmiş fakat Anayasa Mahkemesi 1990/28 Esas, 1991/11 sayılı kararı ile maddenin Anayasa'ya aykırı olmadığına karar vermiştir. Kararda " ... İşverenin Sosyal Sigortalar karşısındaki sorumluluğunu düzenleyen itiraz konusu kural, kurumun iş kazası ya da meslek hastalığına uğrayan sigortalı için yaptığı giderleri sigortalının zarara uğramasına neden olanlarından rûcu yoluyla geri isteyebilme hakkı, kurumuna sigortalıya yardım yapma ödevi dolayısıyla malvarlığında meydana gelen eksiltmeyi kısmen ve tümüyle giderme olanağı sağlar. Öte yandan zararı ödemek durumunda bulunan kişilerin bundan böyle sigortalının sağlığını ve can güvenliğini korumak yönünden daha çok özen göstermesi sağlanmış, iş kazası ve meslek hastalıklarının meydana gelmesi önlenmiş olur." denmektedir. Kararda da belirtildiği gibi işveren sorumluluğunun temel amacı Sosyal Sigortalar Kurumu'nun malvarlığının eksilmemesi ile işçinin can güvenliği konusunda gerekli önlemleri almasını temin için sözkonusu yasa hükmü düzenlenmiştir. Dava konusu Sosyal Sigortalar Kanunu'nun 110. maddesi de işçi sorumluluğuna yönelik getirilmiş paralel bir hükümdür. İşçinin kasdî ve suç sayılır bir hareketi yüzünden iş kazasına uğraması ya da meslek hastalığına tutulması halinde sigortalıya geçici ya da devamlı daimi iş görememezlik geliri verilmemek suretiyle hem Sosyal Sigortalar Kurumu'nun malvarlığının eksilmesi önlenmek istenmiş hem de işçinin işinde daha dikkatli davranması düşünülerek işyerinde başkalarına zarar vermemesi amaçlanmıştır.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Dava konusu yasa hükmü, suç teşkil eden bir fiil neticesinde iş kazasına uğrayan işçilere geçici iş göremezlik ödeneği verilmemesini öngörüyordu. Bu bölüm çoğunluk görüşü gereğince iptal edilmiştir. Çoğunluk gerekçesinde özellikle taksirli suçlar açısından işçinin yasada belirtilen gelirden mahrum edilemeyeceği vurgulanmıştır. Taksirli suç ağır olabileceği gibi hafif de olabilir. Ağır taksirde suçlu fiil sonunda doğacak ağır zararın olmasını arzu etmemesine rağmen bu zararın olabileceğini tahmin edebilecek durumdadır. Yasakoyucu işçinin belirtilen bu taksirli fiili sonunda (esasen tahmin edilebilir) meydana gelebilecek zararı önlemek için dava konusu yasa hükmünü getirmiştir. İptal edilmekle ağır kusur sonucu büyük zararların doğmasına sebep olan kişiler sosyal hak kavramına sığınarak suç sayılan bir hareketi yüzünden Sosyal Sigortalar Kurumu'ndan yardım sağlayacaktır.</w:t>
      </w:r>
    </w:p>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Sosyal güvenlik hakkını, devlet kuracağı sosyal güvenlik kuruluşları eliyle yürüteceğine göre Anayasa'nın 65. Maddesi gereğince malî kaynaklarının yeterliliği ölçüsünde bu görevini yerine getirecektir. Aksi halde sosyal güvenlik kuruluşlarının malvarlığında meydana gelen eksilme kurumu acze düşürebilir. İşçinin işyerinde azami özeni göstermesi ve Sosyal Sigortalar Kurumu'nun malî yapısı düşünülerek yasakoyucu sosyal güvenlik hakkına belirtilen sınırlamayı getirmiştir.</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Bu nedenlerle çoğunluğun iptal kararına katılmıyorum. </w:t>
      </w:r>
    </w:p>
    <w:p w:rsidR="004077E2"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w:t>
      </w:r>
    </w:p>
    <w:tbl>
      <w:tblPr>
        <w:tblW w:w="1905" w:type="dxa"/>
        <w:jc w:val="right"/>
        <w:tblCellSpacing w:w="0" w:type="dxa"/>
        <w:tblCellMar>
          <w:top w:w="60" w:type="dxa"/>
          <w:left w:w="60" w:type="dxa"/>
          <w:bottom w:w="60" w:type="dxa"/>
          <w:right w:w="60" w:type="dxa"/>
        </w:tblCellMar>
        <w:tblLook w:val="04A0" w:firstRow="1" w:lastRow="0" w:firstColumn="1" w:lastColumn="0" w:noHBand="0" w:noVBand="1"/>
      </w:tblPr>
      <w:tblGrid>
        <w:gridCol w:w="1905"/>
      </w:tblGrid>
      <w:tr w:rsidR="004077E2" w:rsidRPr="004077E2" w:rsidTr="004077E2">
        <w:trPr>
          <w:tblCellSpacing w:w="0" w:type="dxa"/>
          <w:jc w:val="right"/>
        </w:trPr>
        <w:tc>
          <w:tcPr>
            <w:tcW w:w="0" w:type="auto"/>
            <w:hideMark/>
          </w:tcPr>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Üye</w:t>
            </w:r>
          </w:p>
          <w:p w:rsidR="004077E2" w:rsidRPr="004077E2" w:rsidRDefault="004077E2" w:rsidP="004077E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077E2">
              <w:rPr>
                <w:rFonts w:ascii="Times New Roman" w:eastAsia="Times New Roman" w:hAnsi="Times New Roman" w:cs="Times New Roman"/>
                <w:sz w:val="24"/>
                <w:szCs w:val="27"/>
                <w:lang w:val="tr-TR" w:eastAsia="tr-TR"/>
              </w:rPr>
              <w:t>Haşim KILIÇ</w:t>
            </w:r>
          </w:p>
        </w:tc>
      </w:tr>
    </w:tbl>
    <w:p w:rsid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w:t>
      </w:r>
    </w:p>
    <w:p w:rsidR="00F74073" w:rsidRPr="004077E2" w:rsidRDefault="004077E2" w:rsidP="004077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077E2">
        <w:rPr>
          <w:rFonts w:ascii="Times New Roman" w:eastAsia="Times New Roman" w:hAnsi="Times New Roman" w:cs="Times New Roman"/>
          <w:color w:val="000000"/>
          <w:sz w:val="24"/>
          <w:szCs w:val="27"/>
          <w:lang w:val="tr-TR" w:eastAsia="tr-TR"/>
        </w:rPr>
        <w:t> </w:t>
      </w:r>
      <w:bookmarkStart w:id="0" w:name="_GoBack"/>
      <w:bookmarkEnd w:id="0"/>
    </w:p>
    <w:sectPr w:rsidR="00F74073" w:rsidRPr="004077E2" w:rsidSect="004077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9A8" w:rsidRDefault="002409A8" w:rsidP="004077E2">
      <w:pPr>
        <w:spacing w:after="0" w:line="240" w:lineRule="auto"/>
      </w:pPr>
      <w:r>
        <w:separator/>
      </w:r>
    </w:p>
  </w:endnote>
  <w:endnote w:type="continuationSeparator" w:id="0">
    <w:p w:rsidR="002409A8" w:rsidRDefault="002409A8" w:rsidP="0040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E2" w:rsidRDefault="004077E2" w:rsidP="005B2F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77E2" w:rsidRDefault="004077E2" w:rsidP="004077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E2" w:rsidRPr="004077E2" w:rsidRDefault="004077E2" w:rsidP="005B2F83">
    <w:pPr>
      <w:pStyle w:val="Altbilgi"/>
      <w:framePr w:wrap="around" w:vAnchor="text" w:hAnchor="margin" w:xAlign="right" w:y="1"/>
      <w:rPr>
        <w:rStyle w:val="SayfaNumaras"/>
        <w:rFonts w:ascii="Times New Roman" w:hAnsi="Times New Roman" w:cs="Times New Roman"/>
      </w:rPr>
    </w:pPr>
    <w:r w:rsidRPr="004077E2">
      <w:rPr>
        <w:rStyle w:val="SayfaNumaras"/>
        <w:rFonts w:ascii="Times New Roman" w:hAnsi="Times New Roman" w:cs="Times New Roman"/>
      </w:rPr>
      <w:fldChar w:fldCharType="begin"/>
    </w:r>
    <w:r w:rsidRPr="004077E2">
      <w:rPr>
        <w:rStyle w:val="SayfaNumaras"/>
        <w:rFonts w:ascii="Times New Roman" w:hAnsi="Times New Roman" w:cs="Times New Roman"/>
      </w:rPr>
      <w:instrText xml:space="preserve">PAGE  </w:instrText>
    </w:r>
    <w:r w:rsidRPr="004077E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077E2">
      <w:rPr>
        <w:rStyle w:val="SayfaNumaras"/>
        <w:rFonts w:ascii="Times New Roman" w:hAnsi="Times New Roman" w:cs="Times New Roman"/>
      </w:rPr>
      <w:fldChar w:fldCharType="end"/>
    </w:r>
  </w:p>
  <w:p w:rsidR="004077E2" w:rsidRPr="004077E2" w:rsidRDefault="004077E2" w:rsidP="004077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E2" w:rsidRDefault="004077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9A8" w:rsidRDefault="002409A8" w:rsidP="004077E2">
      <w:pPr>
        <w:spacing w:after="0" w:line="240" w:lineRule="auto"/>
      </w:pPr>
      <w:r>
        <w:separator/>
      </w:r>
    </w:p>
  </w:footnote>
  <w:footnote w:type="continuationSeparator" w:id="0">
    <w:p w:rsidR="002409A8" w:rsidRDefault="002409A8" w:rsidP="00407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E2" w:rsidRDefault="004077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E2" w:rsidRDefault="004077E2">
    <w:pPr>
      <w:pStyle w:val="stbilgi"/>
      <w:rPr>
        <w:rFonts w:ascii="Times New Roman" w:hAnsi="Times New Roman" w:cs="Times New Roman"/>
        <w:b/>
      </w:rPr>
    </w:pPr>
    <w:r>
      <w:rPr>
        <w:rFonts w:ascii="Times New Roman" w:hAnsi="Times New Roman" w:cs="Times New Roman"/>
        <w:b/>
      </w:rPr>
      <w:t>Esas Sayısı : 1994/73</w:t>
    </w:r>
  </w:p>
  <w:p w:rsidR="004077E2" w:rsidRDefault="004077E2">
    <w:pPr>
      <w:pStyle w:val="stbilgi"/>
      <w:rPr>
        <w:rFonts w:ascii="Times New Roman" w:hAnsi="Times New Roman" w:cs="Times New Roman"/>
        <w:b/>
      </w:rPr>
    </w:pPr>
    <w:r>
      <w:rPr>
        <w:rFonts w:ascii="Times New Roman" w:hAnsi="Times New Roman" w:cs="Times New Roman"/>
        <w:b/>
      </w:rPr>
      <w:t>Karar Sayısı : 1994/75</w:t>
    </w:r>
  </w:p>
  <w:p w:rsidR="004077E2" w:rsidRPr="004077E2" w:rsidRDefault="004077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E2" w:rsidRDefault="004077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85"/>
    <w:rsid w:val="002409A8"/>
    <w:rsid w:val="004077E2"/>
    <w:rsid w:val="007A6285"/>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AC98E-8228-48D3-82E0-1332242F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077E2"/>
    <w:rPr>
      <w:color w:val="0000FF"/>
      <w:u w:val="single"/>
    </w:rPr>
  </w:style>
  <w:style w:type="paragraph" w:styleId="NormalWeb">
    <w:name w:val="Normal (Web)"/>
    <w:basedOn w:val="Normal"/>
    <w:uiPriority w:val="99"/>
    <w:semiHidden/>
    <w:unhideWhenUsed/>
    <w:rsid w:val="004077E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077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77E2"/>
    <w:rPr>
      <w:lang w:val="en-US"/>
    </w:rPr>
  </w:style>
  <w:style w:type="character" w:styleId="SayfaNumaras">
    <w:name w:val="page number"/>
    <w:basedOn w:val="VarsaylanParagrafYazTipi"/>
    <w:uiPriority w:val="99"/>
    <w:semiHidden/>
    <w:unhideWhenUsed/>
    <w:rsid w:val="0040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2018-12-19T06:39:00Z</dcterms:created>
  <dcterms:modified xsi:type="dcterms:W3CDTF">2018-12-19T06:40:00Z</dcterms:modified>
</cp:coreProperties>
</file>