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5A" w:rsidRPr="00BE595A" w:rsidRDefault="00BE595A" w:rsidP="00BE595A">
      <w:pPr>
        <w:spacing w:before="100" w:after="100" w:line="240" w:lineRule="auto"/>
        <w:jc w:val="center"/>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b/>
          <w:bCs/>
          <w:color w:val="000000"/>
          <w:sz w:val="24"/>
          <w:szCs w:val="27"/>
          <w:lang w:val="tr-TR" w:eastAsia="tr-TR"/>
        </w:rPr>
        <w:t>ANAYASA MAHKEMESİ KARARI</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 </w:t>
      </w:r>
    </w:p>
    <w:p w:rsidR="00BE595A" w:rsidRPr="00BE595A" w:rsidRDefault="00BE595A" w:rsidP="00BE595A">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color w:val="000000"/>
          <w:sz w:val="24"/>
          <w:szCs w:val="27"/>
          <w:lang w:val="tr-TR" w:eastAsia="tr-TR"/>
        </w:rPr>
        <w:t>Esas Sayısı : 1994/51</w:t>
      </w:r>
    </w:p>
    <w:p w:rsidR="00BE595A" w:rsidRPr="00BE595A" w:rsidRDefault="00BE595A" w:rsidP="00BE595A">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color w:val="000000"/>
          <w:sz w:val="24"/>
          <w:szCs w:val="27"/>
          <w:lang w:val="tr-TR" w:eastAsia="tr-TR"/>
        </w:rPr>
        <w:t>Karar Sayısı : 1994/46</w:t>
      </w:r>
    </w:p>
    <w:p w:rsidR="00BE595A" w:rsidRPr="00BE595A" w:rsidRDefault="00BE595A" w:rsidP="00BE595A">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color w:val="000000"/>
          <w:sz w:val="24"/>
          <w:szCs w:val="27"/>
          <w:lang w:val="tr-TR" w:eastAsia="tr-TR"/>
        </w:rPr>
        <w:t>Karar Günü : 4.7.1994</w:t>
      </w:r>
    </w:p>
    <w:p w:rsidR="00BE595A" w:rsidRPr="00BE595A" w:rsidRDefault="00BE595A" w:rsidP="00BE595A">
      <w:pPr>
        <w:spacing w:after="0" w:line="240" w:lineRule="auto"/>
        <w:jc w:val="both"/>
        <w:rPr>
          <w:rFonts w:ascii="Times New Roman" w:eastAsia="Times New Roman" w:hAnsi="Times New Roman" w:cs="Times New Roman"/>
          <w:b/>
          <w:color w:val="000000"/>
          <w:sz w:val="24"/>
          <w:szCs w:val="27"/>
          <w:lang w:val="tr-TR" w:eastAsia="tr-TR"/>
        </w:rPr>
      </w:pPr>
      <w:r w:rsidRPr="00BE595A">
        <w:rPr>
          <w:rFonts w:ascii="Times New Roman" w:eastAsia="Times New Roman" w:hAnsi="Times New Roman" w:cs="Times New Roman"/>
          <w:b/>
          <w:bCs/>
          <w:color w:val="000000"/>
          <w:sz w:val="24"/>
          <w:szCs w:val="26"/>
          <w:lang w:val="tr-TR" w:eastAsia="tr-TR"/>
        </w:rPr>
        <w:t>R.G. Tarih-Sayı :13.09.1994-22050</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İTİRAZ YOLUNA BAŞVURAN : Terme İcra (Ceza) Mahkemesi</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İTİRAZIN KONUSU : 9.6.1932 günlü, 2004 sayılı İcra ve İflas Yasası'nın 352/a maddesinde yer alan "Bu Kanun uyarınca hükmolunan cezalar tecil edilemez, hürriyeti bağlayıcı cezalar 647 sayılı Cezaların İnfazı Hakkında Kanunun 4 üncü maddesinde yazılı para cezasına ve tedbirlere çevrilemez," kuralının Anayasa'nın 10. ve 38. maddelerine aykırılığı savıyla iptali istemidir.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 OLAY :</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Borcun, ödenmemesi nedeniyle alacaklısı tarafından icra yoluna başvurulmuş; ödeme emrinin tebliği üzerine müşterek borçlular, mal beyanında bulunmuşlar ve borcu kabul ettikleri bildirmişlerdir.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Müşterek boçlulardan biri, Haciz sırasında borcunu 20.12.1993 gününde ödeme taahhütünde bulunmuş; ancak taahhütünü yerine getirmemesi üzerine alacaklı vekili, İİK'nun 340. maddesi uyarınca sanığın cezalandırılması istemi ile 7.1.1994 günü Terme İcra (Ceza) Hakimliğine başvurmuştur.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Mahkeme, davada uygulayacağı İcra ve İflas Yasası'nın 352/a maddesinin Anayasa'nın 10. ve 38. maddelerine aykırı görerek iptali için Anayasa Mahkemesi'ne başvurmuştur.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III- YASA METİNLERİ :</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9.6.1932 günlü, 2004 sayılı İcra ve İflas Yasası'na 6.6.1985 günlü, 3222 sayılı Yasa'nın 44. maddesiyle eklenen "352/a" maddesinin itiraz konusu cümlesi şöyledir: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"Madde 352/a -Bu Kanun uyarınca hükmolunan cezalar tecil edilemez, hürriyeti bağlayıcı cezalar 647 sayılı Cezaların İnfazı Hakkında Kanun'un 4 üncü maddesinde yazılı para cezasına ve tedbirlere çevrilemez."</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IV- İLK İNCELEME :</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Anayasa Mahkemesi İçtüzüğü'nün 8. maddesi gereğince yapılan ilk inceleme toplantısında, başka bir husus üzerinde durulmadan esas yönünden karar verilmesi uygun bulunarak ilk inceleme raporu, itirazla ilgili dava dosyası, iptali istenen yasa kuralı ile Anayasa kuralları, bunların gerekçeleri ve ilgili diğer yasama belgeleri okunup incelendikten sonra gereği görüşülüp düşünüldü:</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 xml:space="preserve">İtiraz konusu, İcra İflas Yasası'nın 352/a maddesindeki kural hakkında Anayasa'ya aykırılık savı ile daha önce Anayasa Mahkemesi'ne başvuruda bulunulmuş ve bu itiraz yerinde </w:t>
      </w:r>
      <w:r w:rsidRPr="00BE595A">
        <w:rPr>
          <w:rFonts w:ascii="Times New Roman" w:eastAsia="Times New Roman" w:hAnsi="Times New Roman" w:cs="Times New Roman"/>
          <w:color w:val="000000"/>
          <w:sz w:val="24"/>
          <w:szCs w:val="27"/>
          <w:lang w:val="tr-TR" w:eastAsia="tr-TR"/>
        </w:rPr>
        <w:lastRenderedPageBreak/>
        <w:t>görülmiyerek 11.3.1986 günlü, Esas 1985/32, Karar 1986/9 sayılı karar ile esastan red edilmiş, Anayasa Mahkemesi'nin bu kararı da 9.5.1986 günlü, 19102 sayılı Resmî Gazete'de yayımlanmıştır.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Anayasa'nın 152. maddesinin ve 2949 sayılı Anayasa Mahkemesinin Kuruluşu ve Yargılama Usulleri Hakkında Kanun'un 28. maddesinin son fıkralarında, Anayasa Mahkemesi'nin işin esasına girerek verdiği red kararının Resmî Gazete'de yayımlanmasından sonra on yıl geçmedikçe aynı yasa hükmünün Anayasa'ya aykırılığı savıyla yeniden başvuruda bulunulamayacağı öngörülmektedir.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Aynı kural hakkında yeni bir başvurunun yapılabilmesi için, önceki kararın Resmî Gazete'de yayımlandığı 9.5.1986 gününden itibaren geçmesi zorunlu on yıllık süre henüz geçmemiştir. On yıl geçmeden aynı kural hakkında Anayasa'ya uygunluk denetiminin yapılması olanaksızdır. Bu nedenle Mahkeme'nin, itiraz başvurusunun yetkisizlik nedeniyle reddine karar verilmelidir.</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V- SONUÇ :</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İtiraz konusu kuralın iptali istemi, daha önce Anayasa Mahkemesi'nin 9.5.1986 günlü, 19102 sayılı Resmî Gazete'de yayımlanan 11.3.1986 günlü, Esas 1985/32, Karar 1986/9 sayılı kararıyla işin esasına girilerek reddedilmiş olduğundan, Anayasa'nın 152. maddesinin son fıkrası ile 2949 sayılı Yasa'nın 28. maddesinin son fıkrası gereğince başvuran mahkemenin yetkisizliği nedeniyle itirazın REDDİNE,</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4.7.1994 gününde OYBİRLİĞİYLE karar verildi.</w:t>
      </w:r>
    </w:p>
    <w:p w:rsidR="00BE595A"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r>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Başkan</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Yekta Güngör ÖZDEN</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Başkanvekili</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Güven DİNÇER</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Yılmaz ALİEFENDİOĞLU</w:t>
            </w:r>
          </w:p>
        </w:tc>
      </w:tr>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r>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Selçuk TÜZÜN</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Ahmet N. SEZER</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Haşim KILIÇ</w:t>
            </w:r>
          </w:p>
        </w:tc>
      </w:tr>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r>
      <w:tr w:rsidR="00BE595A" w:rsidRPr="00BE595A" w:rsidTr="00BE595A">
        <w:trPr>
          <w:tblCellSpacing w:w="0" w:type="dxa"/>
        </w:trPr>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Yalçın ACARGÜN</w:t>
            </w:r>
          </w:p>
        </w:tc>
        <w:tc>
          <w:tcPr>
            <w:tcW w:w="1667"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Mustafa BUMİN</w:t>
            </w:r>
          </w:p>
        </w:tc>
        <w:tc>
          <w:tcPr>
            <w:tcW w:w="1667" w:type="pct"/>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Sacit ADALI</w:t>
            </w:r>
          </w:p>
        </w:tc>
      </w:tr>
      <w:tr w:rsidR="00BE595A" w:rsidRPr="00BE595A" w:rsidTr="00BE595A">
        <w:trPr>
          <w:tblCellSpacing w:w="0" w:type="dxa"/>
        </w:trPr>
        <w:tc>
          <w:tcPr>
            <w:tcW w:w="2500"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c>
          <w:tcPr>
            <w:tcW w:w="2500"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4"/>
                <w:lang w:val="tr-TR" w:eastAsia="tr-TR"/>
              </w:rPr>
              <w:t> </w:t>
            </w:r>
          </w:p>
        </w:tc>
      </w:tr>
      <w:tr w:rsidR="00BE595A" w:rsidRPr="00BE595A" w:rsidTr="00BE595A">
        <w:trPr>
          <w:tblCellSpacing w:w="0" w:type="dxa"/>
        </w:trPr>
        <w:tc>
          <w:tcPr>
            <w:tcW w:w="2500"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Ali HÜNER</w:t>
            </w:r>
          </w:p>
        </w:tc>
        <w:tc>
          <w:tcPr>
            <w:tcW w:w="2500" w:type="pct"/>
            <w:gridSpan w:val="2"/>
            <w:hideMark/>
          </w:tcPr>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Üye</w:t>
            </w:r>
          </w:p>
          <w:p w:rsidR="00BE595A" w:rsidRPr="00BE595A" w:rsidRDefault="00BE595A" w:rsidP="00BE59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E595A">
              <w:rPr>
                <w:rFonts w:ascii="Times New Roman" w:eastAsia="Times New Roman" w:hAnsi="Times New Roman" w:cs="Times New Roman"/>
                <w:sz w:val="24"/>
                <w:szCs w:val="27"/>
                <w:lang w:val="tr-TR" w:eastAsia="tr-TR"/>
              </w:rPr>
              <w:t>Lütfi F. TUNCEL</w:t>
            </w:r>
          </w:p>
        </w:tc>
      </w:tr>
    </w:tbl>
    <w:p w:rsidR="00F74073" w:rsidRPr="00BE595A" w:rsidRDefault="00BE595A" w:rsidP="00BE59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E595A">
        <w:rPr>
          <w:rFonts w:ascii="Times New Roman" w:eastAsia="Times New Roman" w:hAnsi="Times New Roman" w:cs="Times New Roman"/>
          <w:color w:val="000000"/>
          <w:sz w:val="24"/>
          <w:szCs w:val="27"/>
          <w:lang w:val="tr-TR" w:eastAsia="tr-TR"/>
        </w:rPr>
        <w:t> </w:t>
      </w:r>
      <w:bookmarkStart w:id="0" w:name="_GoBack"/>
      <w:bookmarkEnd w:id="0"/>
    </w:p>
    <w:sectPr w:rsidR="00F74073" w:rsidRPr="00BE595A" w:rsidSect="00BE59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7B0" w:rsidRDefault="000857B0" w:rsidP="00BE595A">
      <w:pPr>
        <w:spacing w:after="0" w:line="240" w:lineRule="auto"/>
      </w:pPr>
      <w:r>
        <w:separator/>
      </w:r>
    </w:p>
  </w:endnote>
  <w:endnote w:type="continuationSeparator" w:id="0">
    <w:p w:rsidR="000857B0" w:rsidRDefault="000857B0" w:rsidP="00BE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Default="00BE595A" w:rsidP="00D01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595A" w:rsidRDefault="00BE595A" w:rsidP="00BE59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Pr="00BE595A" w:rsidRDefault="00BE595A" w:rsidP="00D016FE">
    <w:pPr>
      <w:pStyle w:val="Altbilgi"/>
      <w:framePr w:wrap="around" w:vAnchor="text" w:hAnchor="margin" w:xAlign="right" w:y="1"/>
      <w:rPr>
        <w:rStyle w:val="SayfaNumaras"/>
        <w:rFonts w:ascii="Times New Roman" w:hAnsi="Times New Roman" w:cs="Times New Roman"/>
      </w:rPr>
    </w:pPr>
    <w:r w:rsidRPr="00BE595A">
      <w:rPr>
        <w:rStyle w:val="SayfaNumaras"/>
        <w:rFonts w:ascii="Times New Roman" w:hAnsi="Times New Roman" w:cs="Times New Roman"/>
      </w:rPr>
      <w:fldChar w:fldCharType="begin"/>
    </w:r>
    <w:r w:rsidRPr="00BE595A">
      <w:rPr>
        <w:rStyle w:val="SayfaNumaras"/>
        <w:rFonts w:ascii="Times New Roman" w:hAnsi="Times New Roman" w:cs="Times New Roman"/>
      </w:rPr>
      <w:instrText xml:space="preserve">PAGE  </w:instrText>
    </w:r>
    <w:r w:rsidRPr="00BE595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E595A">
      <w:rPr>
        <w:rStyle w:val="SayfaNumaras"/>
        <w:rFonts w:ascii="Times New Roman" w:hAnsi="Times New Roman" w:cs="Times New Roman"/>
      </w:rPr>
      <w:fldChar w:fldCharType="end"/>
    </w:r>
  </w:p>
  <w:p w:rsidR="00BE595A" w:rsidRPr="00BE595A" w:rsidRDefault="00BE595A" w:rsidP="00BE59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Default="00BE59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7B0" w:rsidRDefault="000857B0" w:rsidP="00BE595A">
      <w:pPr>
        <w:spacing w:after="0" w:line="240" w:lineRule="auto"/>
      </w:pPr>
      <w:r>
        <w:separator/>
      </w:r>
    </w:p>
  </w:footnote>
  <w:footnote w:type="continuationSeparator" w:id="0">
    <w:p w:rsidR="000857B0" w:rsidRDefault="000857B0" w:rsidP="00BE5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Default="00BE59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Default="00BE595A">
    <w:pPr>
      <w:pStyle w:val="stbilgi"/>
      <w:rPr>
        <w:rFonts w:ascii="Times New Roman" w:hAnsi="Times New Roman" w:cs="Times New Roman"/>
        <w:b/>
      </w:rPr>
    </w:pPr>
    <w:r>
      <w:rPr>
        <w:rFonts w:ascii="Times New Roman" w:hAnsi="Times New Roman" w:cs="Times New Roman"/>
        <w:b/>
      </w:rPr>
      <w:t>Esas Sayısı : 1994/51</w:t>
    </w:r>
  </w:p>
  <w:p w:rsidR="00BE595A" w:rsidRDefault="00BE595A">
    <w:pPr>
      <w:pStyle w:val="stbilgi"/>
      <w:rPr>
        <w:rFonts w:ascii="Times New Roman" w:hAnsi="Times New Roman" w:cs="Times New Roman"/>
        <w:b/>
      </w:rPr>
    </w:pPr>
    <w:r>
      <w:rPr>
        <w:rFonts w:ascii="Times New Roman" w:hAnsi="Times New Roman" w:cs="Times New Roman"/>
        <w:b/>
      </w:rPr>
      <w:t>Karar Sayısı : 1994/46</w:t>
    </w:r>
  </w:p>
  <w:p w:rsidR="00BE595A" w:rsidRPr="00BE595A" w:rsidRDefault="00BE59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5A" w:rsidRDefault="00BE59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5C"/>
    <w:rsid w:val="000857B0"/>
    <w:rsid w:val="001D565C"/>
    <w:rsid w:val="007D70D8"/>
    <w:rsid w:val="00A040FC"/>
    <w:rsid w:val="00BE595A"/>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AFFBF-3B2F-4EA7-A587-8280A2BB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E595A"/>
    <w:rPr>
      <w:color w:val="0000FF"/>
      <w:u w:val="single"/>
    </w:rPr>
  </w:style>
  <w:style w:type="paragraph" w:styleId="NormalWeb">
    <w:name w:val="Normal (Web)"/>
    <w:basedOn w:val="Normal"/>
    <w:uiPriority w:val="99"/>
    <w:semiHidden/>
    <w:unhideWhenUsed/>
    <w:rsid w:val="00BE59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E59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95A"/>
    <w:rPr>
      <w:lang w:val="en-US"/>
    </w:rPr>
  </w:style>
  <w:style w:type="character" w:styleId="SayfaNumaras">
    <w:name w:val="page number"/>
    <w:basedOn w:val="VarsaylanParagrafYazTipi"/>
    <w:uiPriority w:val="99"/>
    <w:semiHidden/>
    <w:unhideWhenUsed/>
    <w:rsid w:val="00BE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2018-12-18T07:57:00Z</dcterms:created>
  <dcterms:modified xsi:type="dcterms:W3CDTF">2018-12-18T07:57:00Z</dcterms:modified>
</cp:coreProperties>
</file>