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E7" w:rsidRDefault="00E957E7" w:rsidP="00E957E7">
      <w:pPr>
        <w:spacing w:after="200" w:line="240" w:lineRule="auto"/>
        <w:ind w:right="283"/>
        <w:jc w:val="center"/>
        <w:rPr>
          <w:rFonts w:ascii="Times New Roman" w:eastAsia="Times New Roman" w:hAnsi="Times New Roman" w:cs="Times New Roman"/>
          <w:b/>
          <w:caps/>
          <w:color w:val="010000"/>
          <w:sz w:val="24"/>
          <w:szCs w:val="27"/>
          <w:lang w:eastAsia="tr-TR"/>
        </w:rPr>
      </w:pPr>
      <w:r w:rsidRPr="00E957E7">
        <w:rPr>
          <w:rFonts w:ascii="Times New Roman" w:eastAsia="Times New Roman" w:hAnsi="Times New Roman" w:cs="Times New Roman"/>
          <w:b/>
          <w:caps/>
          <w:color w:val="010000"/>
          <w:sz w:val="24"/>
          <w:szCs w:val="27"/>
          <w:lang w:eastAsia="tr-TR"/>
        </w:rPr>
        <w:t>ANAYASA MAHKEMESİ KARARI</w:t>
      </w:r>
    </w:p>
    <w:p w:rsidR="00E957E7" w:rsidRPr="00E957E7" w:rsidRDefault="00E957E7" w:rsidP="00E957E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957E7" w:rsidRDefault="00E957E7" w:rsidP="00E957E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Sayı:1978/39</w:t>
      </w:r>
    </w:p>
    <w:p w:rsidR="00E957E7" w:rsidRDefault="00E957E7" w:rsidP="00E957E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Sayısı:1978/53</w:t>
      </w:r>
    </w:p>
    <w:p w:rsidR="00E957E7" w:rsidRDefault="00E957E7" w:rsidP="00E957E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Günü:7/11/1978</w:t>
      </w:r>
    </w:p>
    <w:p w:rsidR="00E957E7" w:rsidRDefault="00E957E7" w:rsidP="00E957E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tarih/sayı:12.2.1979/16548</w:t>
      </w:r>
    </w:p>
    <w:p w:rsidR="00E957E7" w:rsidRPr="00E957E7" w:rsidRDefault="00E957E7" w:rsidP="00E957E7">
      <w:pPr>
        <w:spacing w:after="0" w:line="240" w:lineRule="auto"/>
        <w:rPr>
          <w:rFonts w:ascii="Times New Roman" w:eastAsia="Times New Roman" w:hAnsi="Times New Roman" w:cs="Times New Roman"/>
          <w:b/>
          <w:color w:val="010000"/>
          <w:sz w:val="24"/>
          <w:szCs w:val="27"/>
          <w:lang w:eastAsia="tr-TR"/>
        </w:rPr>
      </w:pP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İTİRAZ YOLUNA BAŞVURAN : Askerî Yüksek İdare Mahkemesi Birinci Dairesi</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İTİRAZIN KONUSU : 27/2/1975 günlü, 1868 sayılı "1975 Yılı Bütçe Kanunu"nun (R) işaretli cetvelinin "350-Kiralar" bölümünün "gayrimenkul kiraları" na ilişkin (a) bendinin "sürekli görevle yurt dışında bulunan ..." diye başlayan dördüncü fıkrasının, Anayasa'nın 64., 92., 93., 126. maddelerine aykırı oluğu ileri sürülerek iptaline karar verilmesi istenmiştir.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I- OLAY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Emekli Kurmay Albay olan davacı, 30/8/1973-30/8/1975 tarihleri arasında Pekin'de kara ateşeliği görevini yaparken Büyükelçilik için kiralanan konutun bir dairesinde oturduğunu, kira parası olarak aylığı 3500,- TL. üzerinden 24 ay için toplam 84.000 liranın kur farkı alacağından mahsup yoluyla kesildiğini, bu işlemin hukuksal dayanağı bulunmadığını ileri sürerek, işlemin iptali ve 84.000 TL. nın geri verilmesi isteği ile Askerî Yüksek îdare Mahkemesinde dava açmıştır. Adı geçen Mahkemenin Birinci Dairesi, "1868 sayılı 1975 yılı Bütçe Kanununun (R) işaretli cetvelin 350 Kiralarla ilgili bölümünün Gayrimenkul kiralarına ilişkin (a) bendinin (sürekli görevle yurt dışında bulunan...) diye başlayan dördüncü fıkrasının Anayasanın 64, 92, 93 ve 126. maddelerine aykırı olduğu" kanısına vararak, bu hükmün iptali için resen Anayasa Mahkemesine başvurmuştur.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III- YASA METİNLERİ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A) İptali istenen yasa hükmü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1/3/1975 günlü, 15164 sayılı Resmî Gazetede yayımlanan 27/2/1975 günlü, 1868 sayılı "1975 Yılı Bütçe Kanunu" nun (R) işaretli cetvelinin "350-Kiralar" bölümünün "a) Gayrimenkul kiraları" bendinin iptali istenen dördüncü fıkrası hükmü şöyledir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"Sürekli görevle yurtdışında bulunan ve kendilerine Devletçe ikametgâh temin edilen 657 sayılı Devlet Memurları Kanunu ile 926 sayılı Türk Silahlı Kuvvetleri Personel Kanununa tabi personelin aylıklarının ele geçen miktarının Misyon Şefleri için 1/12 si, bunlar dışında kalanlar için 1/10 u her ay kira karşılığı olarak kesilir. Ancak, bu şekilde yapılacak kesinti (söz konusu binalar kiralanmak suretiyle sağlanmış ise) binanın tamamının ikametgâh olarak kullanılması halinde aylık gerçek kira bedelinden, binanın kısmen ikametgâh, kısmen resmî daire olarak kullanılması halinde aylık gerçek kira bedelinin yarısından fazla olamaz."</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B) Dayanılan Anayasa maddeleri:</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"Madde 64 (20/9/1971 günlü, 1488 sayılı Yasa ile değişik) Kanun koymak, değiştirmek ve kaldırmak, Devletin bütçe ve kesinhesap kanun tasarılarını görüşmek ve kabul etmek, para basılmasına, genel ve özel af ilânına, mahkemelerce verilip kesinleşen ölüm cezalarının yerine gerilmesine karar vermek, Türkiye Büyük Millet Meclisinin yetkilerindendir.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lastRenderedPageBreak/>
        <w:t>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Resmi Gazete'de yayımlandıkları gün Türkiye Büyük Millet Meclisine sunulur.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siyasî haklar ve ödevler kanun hükmünde kararnamelerle düzenlenemez. Anayasa Mahkemesi, bu kararnamelerin Anayasa'ya uygunluğunu da denetler."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"Madde 92- Kanun tasarı ve teklifleri önce Millet Meclisinde görüşülür.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Millet Meclisinin reddettiği tasarı veya teklif, Cumhuriyet Senatosunca da reddedilirse düşer.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Cumhuriyet Senatosunca üye tamsayısının salt çoğunluğu ile tümü reddedilen bir metin Millet Meclisi tarafından kabulü için, üye tamsayısının salt çoğunluğunun oyu lazımdır. Bu halde açık oya başvurulur.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lastRenderedPageBreak/>
        <w:t>Cumhuriyet Senatosunca üye tamsayısının üçte iki çoğunluğu ile tümü reddedilen bir metnin kanunlaşabilmesi, Millet Meclisi tarafından üye tamsayısının üçte iki çoğunluğu ile kabul edilmesine bağlıdır. Bu halde açık oya başvurulur.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Yasama Meclislerinin ve mahallî idarelerin seçimleri ve siyasi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ve 9. fıkralar hükümleri saklıdır."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 bir hüküm konulamaz."</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IV- İLK İNCELEME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Anayasa Mahkemesinin 25/5/1978 gününde Kani Vrana, Şevket Müftügil, Abdullah Üner, Ahmet Koçak, Sekip Çopuroğlu, Fahrettin Uluç, Muhittin Gürün, Lûtfi Ömerbaş, Ahmet Erdoğdu, Hasan Gürsel, Osman Tokcan, Ahmet Salih Çebi, Nihat O. Akçakayalıoğlu, Ahmet H. Boyacıoğlu ve Necdet Darıcıoğlu'nun katılmalarıyla içtüzüğün 15. maddesi uyarınca, yaptığı ilk inceleme toplantısında, dosyanın eksiği bulunmadığından işin esasının incelenmesine karar verilmiştir.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V- ESASIN İNCELENMESİ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İşin esasına ilişkin rapor, itiraz yoluna başvuran mahkemenin kararı ve ekleri, iptali istenen yasa hükmü, dayanılan Anayasa maddeleri, bunlara ilişkin gerekçeler ve konu ile ilgili öteki metinler okunduktan sonra gereği görüşülüp düşünüldü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Anayasa'nın 126. maddesinin son fıkrasının son tümcesi, Bütçe Yasasına bütçe ile ilgili olanlar dışında hüküm konulmasını yasaklamaktadır. Bütçe Yasasına konulabilecek hükümleri sınırlayan bu kuralın Anayasa'da yer alış nedeni, Bütçe Yasası ile başka yasaların hazırlanış biçimleri ve nitelikleri yönünden farklarım belirleyen Anayasa'nın 64., 92., 93. ve 94. maddelerinin incelenmesinden açıkça ortaya çıkmaktadır.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lastRenderedPageBreak/>
        <w:t>Gerçekten, Anayasa'nın 64. maddesinde, Türkiye Büyük Millet Meclisi'nin görev ve yetkileri belirtilirken, "Kanun koyma" yetkisi yanında, ayrıca "Devletin Bütçe Kanun tasarılarını görüşmek ve kabul etmek" yetkisinden de sözedilmesi, iki çeşit yasanın Anayasa Koyucu tarafından temelde birbirinden ayrı olarak ele alındığını ortaya koyduğu gibi, yasaların görüşülmesi ve kabulü konusunu düzenleyen 92. madde yanında, Bütçe Yasasının görüşülmesi ve kabulünü ayrı bir yönteme bağlayan 94. maddenin getirilmiş olması ve 93. maddede, Cumhurbaşkanı'nın yasaları bir kez daha görüşülmeleri için Türkiye Büyük Millet Meclisi'ne geri gönderme yetkisinin kapsamına bütçe yasalarının alınmamış bulunması da iki çeşit yasa arasındaki ayırımı kesinlikle belirlemektedir.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Bu anayasal durum karşısında, itiraz konusu hükmün Bütçe Yasasında yer alabilmesi, "Bütçe ile ilgili olması" koşuluna bağlıdır. Halbuki Anayasa Mahkemesinin birçok kararında belirtildiği gibi, bir hükmün Anayasa'nın 126. maddesindeki anlamda "Bütçe ile ilgili" sayılabilmesi, yalnızca bütçenin uygulanması ile ilgili uygulamayı kolaylaştırıcı, tamamlayıcı ya da açıklayıcı nitelikte bulunmasına bağlı olup, itiraz konusu hükmün bu niteliği taşımadığı ve ancak Bütçe Yasası dışında bir yasal düzenlemeye konu olabileceği açıkça ortadadır.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Nitekim, daha önceki bir itiraz nedeniyle, 1828 sayılı, "1974 yılı Bütçe Kanunu"nun (R) işaretli cetvelinin "351-Kiralar" bölümünün "a) gayrimenkul kiralan" bendinde yer alan aynı nitelikteki bir hüküm Anayasa Mahkemesinin 21/10/1976 günlü, Esas 1976/35, Karar 1976/49 sayılı kararı ile ve yukarda özetlenen gerekçeye dayanılarak iptal edilmiştir. (13 Aralık 1976 günlü, 15798 sayılı Resmî Gazete).</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Böyle olunca, 27/2/1975 günlü, 1868 sayılı "1975 Yılı Bütçe Kanunu" na ekli (R) işaretli cetvelin "350-Kiralar" bölümünde yer alan "a) gayrımenkul kiraları" bendinin "Sürekli görevle yurt dışında bulunan..." diye başlayan fıkrasının da aynı gerekçe ile ve Anayasa'nın 64., 92., 93., 94. ve 126. maddelerine aykırılığı nedeniyle iptaline karar verilmelidir.</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VI- SONUÇ :</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27/2/1975 günlü 1868 sayılı 1975 yılı Bütçe Kanununa ekli (R) işaretli cetvelin "350 .kiralar" bölümünün gayri menkul kiralarına ilişkin (a) bendinin "sürekli görevle yurt dışında bulunan..." diye başlayan fıkrasının Anayasanın 64., 92., 93., 94. ve 126. maddelerine aykırı olduğuna ve iptaline,</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r w:rsidRPr="00E957E7">
        <w:rPr>
          <w:rFonts w:ascii="Times New Roman" w:eastAsia="Times New Roman" w:hAnsi="Times New Roman" w:cs="Times New Roman"/>
          <w:color w:val="010000"/>
          <w:sz w:val="24"/>
          <w:szCs w:val="27"/>
          <w:lang w:eastAsia="tr-TR"/>
        </w:rPr>
        <w:t>7/11/1978 gününde oybirliği ile karar verildi.</w:t>
      </w:r>
    </w:p>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E957E7">
              <w:rPr>
                <w:rFonts w:ascii="Times New Roman" w:eastAsia="Times New Roman" w:hAnsi="Times New Roman" w:cs="Times New Roman"/>
                <w:color w:val="010000"/>
                <w:sz w:val="24"/>
                <w:szCs w:val="24"/>
                <w:lang w:eastAsia="tr-TR"/>
              </w:rPr>
              <w:t xml:space="preserve"> </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Başkan</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Şevket Müftügil</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Muhittin Gürün</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Lütfi Ömerbaş</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Ahmet Erdoğdu</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Osman Tokcan</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Ali Rüştü Aral</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Ahmet Salih Çebi</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Muammer Yazar</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Adil Esmer</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Nihat O. Akçakayalıoğlu</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Nahit Saçlıoğlu</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Hüseyin Karamüstantikoğlu</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 xml:space="preserve"> </w:t>
            </w:r>
          </w:p>
        </w:tc>
      </w:tr>
      <w:tr w:rsidR="00E957E7" w:rsidRPr="00E957E7" w:rsidTr="00E957E7">
        <w:trPr>
          <w:tblCellSpacing w:w="0" w:type="dxa"/>
          <w:jc w:val="center"/>
        </w:trPr>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Ahmet H. Boyacıoğlu</w:t>
            </w:r>
          </w:p>
        </w:tc>
        <w:tc>
          <w:tcPr>
            <w:tcW w:w="1667"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Necdet Darıcıoğlu</w:t>
            </w:r>
          </w:p>
        </w:tc>
        <w:tc>
          <w:tcPr>
            <w:tcW w:w="1666" w:type="pct"/>
            <w:hideMark/>
          </w:tcPr>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Üye</w:t>
            </w:r>
          </w:p>
          <w:p w:rsidR="00E957E7" w:rsidRPr="00E957E7" w:rsidRDefault="00E957E7" w:rsidP="00E957E7">
            <w:pPr>
              <w:spacing w:before="120" w:after="120" w:line="240" w:lineRule="auto"/>
              <w:jc w:val="center"/>
              <w:rPr>
                <w:rFonts w:ascii="Times New Roman" w:eastAsia="Times New Roman" w:hAnsi="Times New Roman" w:cs="Times New Roman"/>
                <w:color w:val="010000"/>
                <w:sz w:val="24"/>
                <w:szCs w:val="24"/>
                <w:lang w:eastAsia="tr-TR"/>
              </w:rPr>
            </w:pPr>
            <w:r w:rsidRPr="00E957E7">
              <w:rPr>
                <w:rFonts w:ascii="Times New Roman" w:eastAsia="Times New Roman" w:hAnsi="Times New Roman" w:cs="Times New Roman"/>
                <w:color w:val="010000"/>
                <w:sz w:val="24"/>
                <w:szCs w:val="24"/>
                <w:lang w:eastAsia="tr-TR"/>
              </w:rPr>
              <w:t>Bülent Olçay</w:t>
            </w:r>
          </w:p>
        </w:tc>
      </w:tr>
    </w:tbl>
    <w:p w:rsidR="00E957E7" w:rsidRPr="00E957E7" w:rsidRDefault="00E957E7" w:rsidP="00E957E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957E7" w:rsidRPr="00E957E7" w:rsidSect="00E957E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22" w:rsidRDefault="001F7D22" w:rsidP="00E957E7">
      <w:pPr>
        <w:spacing w:after="0" w:line="240" w:lineRule="auto"/>
      </w:pPr>
      <w:r>
        <w:separator/>
      </w:r>
    </w:p>
  </w:endnote>
  <w:endnote w:type="continuationSeparator" w:id="0">
    <w:p w:rsidR="001F7D22" w:rsidRDefault="001F7D22" w:rsidP="00E9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E7" w:rsidRDefault="00E957E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57E7" w:rsidRDefault="00E957E7" w:rsidP="00E957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E7" w:rsidRPr="00E957E7" w:rsidRDefault="00E957E7" w:rsidP="002D7B7B">
    <w:pPr>
      <w:pStyle w:val="Altbilgi"/>
      <w:framePr w:wrap="around" w:vAnchor="text" w:hAnchor="margin" w:xAlign="right" w:y="1"/>
      <w:rPr>
        <w:rStyle w:val="SayfaNumaras"/>
        <w:rFonts w:ascii="Times New Roman" w:hAnsi="Times New Roman" w:cs="Times New Roman"/>
        <w:sz w:val="24"/>
      </w:rPr>
    </w:pPr>
    <w:r w:rsidRPr="00E957E7">
      <w:rPr>
        <w:rStyle w:val="SayfaNumaras"/>
        <w:rFonts w:ascii="Times New Roman" w:hAnsi="Times New Roman" w:cs="Times New Roman"/>
        <w:sz w:val="24"/>
      </w:rPr>
      <w:fldChar w:fldCharType="begin"/>
    </w:r>
    <w:r w:rsidRPr="00E957E7">
      <w:rPr>
        <w:rStyle w:val="SayfaNumaras"/>
        <w:rFonts w:ascii="Times New Roman" w:hAnsi="Times New Roman" w:cs="Times New Roman"/>
        <w:sz w:val="24"/>
      </w:rPr>
      <w:instrText xml:space="preserve">PAGE  </w:instrText>
    </w:r>
    <w:r w:rsidRPr="00E957E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E957E7">
      <w:rPr>
        <w:rStyle w:val="SayfaNumaras"/>
        <w:rFonts w:ascii="Times New Roman" w:hAnsi="Times New Roman" w:cs="Times New Roman"/>
        <w:sz w:val="24"/>
      </w:rPr>
      <w:fldChar w:fldCharType="end"/>
    </w:r>
  </w:p>
  <w:p w:rsidR="00E957E7" w:rsidRDefault="00E957E7" w:rsidP="00E957E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22" w:rsidRDefault="001F7D22" w:rsidP="00E957E7">
      <w:pPr>
        <w:spacing w:after="0" w:line="240" w:lineRule="auto"/>
      </w:pPr>
      <w:r>
        <w:separator/>
      </w:r>
    </w:p>
  </w:footnote>
  <w:footnote w:type="continuationSeparator" w:id="0">
    <w:p w:rsidR="001F7D22" w:rsidRDefault="001F7D22" w:rsidP="00E95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E7" w:rsidRPr="00E957E7" w:rsidRDefault="00E957E7" w:rsidP="00E957E7">
    <w:pPr>
      <w:pStyle w:val="stbilgi"/>
      <w:rPr>
        <w:rFonts w:ascii="Times New Roman" w:hAnsi="Times New Roman" w:cs="Times New Roman"/>
        <w:b/>
        <w:sz w:val="24"/>
      </w:rPr>
    </w:pPr>
    <w:r w:rsidRPr="00E957E7">
      <w:rPr>
        <w:rFonts w:ascii="Times New Roman" w:hAnsi="Times New Roman" w:cs="Times New Roman"/>
        <w:b/>
        <w:sz w:val="24"/>
      </w:rPr>
      <w:t>Esas Sayı:1978/39</w:t>
    </w:r>
  </w:p>
  <w:p w:rsidR="00E957E7" w:rsidRDefault="00E957E7" w:rsidP="00E957E7">
    <w:pPr>
      <w:pStyle w:val="stbilgi"/>
      <w:rPr>
        <w:rFonts w:ascii="Times New Roman" w:hAnsi="Times New Roman" w:cs="Times New Roman"/>
        <w:b/>
        <w:sz w:val="24"/>
      </w:rPr>
    </w:pPr>
    <w:r>
      <w:rPr>
        <w:rFonts w:ascii="Times New Roman" w:hAnsi="Times New Roman" w:cs="Times New Roman"/>
        <w:b/>
        <w:sz w:val="24"/>
      </w:rPr>
      <w:t>Karar Sayısı:1978/53</w:t>
    </w:r>
  </w:p>
  <w:p w:rsidR="00E957E7" w:rsidRPr="00E957E7" w:rsidRDefault="00E957E7" w:rsidP="00E957E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E7"/>
    <w:rsid w:val="001F7D22"/>
    <w:rsid w:val="00A75DEA"/>
    <w:rsid w:val="00E95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FBEA6-8475-443A-87AD-B6F14B16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957E7"/>
    <w:rPr>
      <w:color w:val="0000FF"/>
      <w:u w:val="single"/>
    </w:rPr>
  </w:style>
  <w:style w:type="paragraph" w:styleId="NormalWeb">
    <w:name w:val="Normal (Web)"/>
    <w:basedOn w:val="Normal"/>
    <w:uiPriority w:val="99"/>
    <w:semiHidden/>
    <w:unhideWhenUsed/>
    <w:rsid w:val="00E957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95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57E7"/>
  </w:style>
  <w:style w:type="paragraph" w:styleId="Altbilgi">
    <w:name w:val="footer"/>
    <w:basedOn w:val="Normal"/>
    <w:link w:val="AltbilgiChar"/>
    <w:uiPriority w:val="99"/>
    <w:unhideWhenUsed/>
    <w:rsid w:val="00E95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57E7"/>
  </w:style>
  <w:style w:type="character" w:styleId="SayfaNumaras">
    <w:name w:val="page number"/>
    <w:basedOn w:val="VarsaylanParagrafYazTipi"/>
    <w:uiPriority w:val="99"/>
    <w:semiHidden/>
    <w:unhideWhenUsed/>
    <w:rsid w:val="00E9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2020-06-25T12:01:00Z</dcterms:created>
  <dcterms:modified xsi:type="dcterms:W3CDTF">2020-06-25T12:03:00Z</dcterms:modified>
</cp:coreProperties>
</file>