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19" w:rsidRDefault="000D0219" w:rsidP="000D0219">
      <w:pPr>
        <w:spacing w:after="200" w:line="240" w:lineRule="auto"/>
        <w:ind w:right="283"/>
        <w:jc w:val="center"/>
        <w:rPr>
          <w:rFonts w:ascii="Times New Roman" w:eastAsia="Times New Roman" w:hAnsi="Times New Roman" w:cs="Times New Roman"/>
          <w:b/>
          <w:bCs/>
          <w:caps/>
          <w:color w:val="010000"/>
          <w:sz w:val="24"/>
          <w:szCs w:val="27"/>
          <w:lang w:eastAsia="tr-TR"/>
        </w:rPr>
      </w:pPr>
      <w:r w:rsidRPr="000D0219">
        <w:rPr>
          <w:rFonts w:ascii="Times New Roman" w:eastAsia="Times New Roman" w:hAnsi="Times New Roman" w:cs="Times New Roman"/>
          <w:b/>
          <w:bCs/>
          <w:caps/>
          <w:color w:val="010000"/>
          <w:sz w:val="24"/>
          <w:szCs w:val="27"/>
          <w:lang w:eastAsia="tr-TR"/>
        </w:rPr>
        <w:t>ANAYASA MAHKEMESİ KARARI</w:t>
      </w:r>
    </w:p>
    <w:p w:rsidR="000D0219" w:rsidRPr="000D0219" w:rsidRDefault="000D0219" w:rsidP="000D021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D0219" w:rsidRDefault="000D0219" w:rsidP="000D021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w:t>
      </w:r>
    </w:p>
    <w:p w:rsidR="000D0219" w:rsidRDefault="000D0219" w:rsidP="000D021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w:t>
      </w:r>
    </w:p>
    <w:p w:rsidR="000D0219" w:rsidRDefault="000D0219" w:rsidP="000D021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günü:26/1/1978</w:t>
      </w:r>
    </w:p>
    <w:p w:rsidR="000D0219" w:rsidRDefault="000D0219" w:rsidP="000D021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tarih/sayı:2.2.1978/16188</w:t>
      </w:r>
    </w:p>
    <w:p w:rsidR="000D0219" w:rsidRPr="000D0219" w:rsidRDefault="000D0219" w:rsidP="000D0219">
      <w:pPr>
        <w:spacing w:after="0" w:line="240" w:lineRule="auto"/>
        <w:rPr>
          <w:rFonts w:ascii="Times New Roman" w:eastAsia="Times New Roman" w:hAnsi="Times New Roman" w:cs="Times New Roman"/>
          <w:b/>
          <w:color w:val="010000"/>
          <w:sz w:val="24"/>
          <w:szCs w:val="27"/>
          <w:lang w:eastAsia="tr-TR"/>
        </w:rPr>
      </w:pP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İtiraz yoluna başvuran mahkeme : İstanbul 12. Asliye Hukuk Mahkemesi.</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İtirazın konusu : 17.2.1976 günlü, 1940 sayılı Vakıflar Genel Müdürlüğü 1976 yılı Bütçe Kanununun 11. maddesi'nin Anayasaya aykırı olduğu öne sürülerek iptali istenmiştir.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I. OLAY :</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Davacı 5.6.1935 günlü 2762 sayılı Vakıflar Kanununun 27. maddesi uyarınca Vakıflar Genel Müdürlüğüne ödemesi gereken taviz bedelinden daha fazlasını ödeme zorunda bırakıldığını ileri sürmüş, fazla ödenen paranın geri alınmasına karar verilmesini mahkemeden istemiştir. Davalı idare taviz bedelinin, 27.2.1976 günlü 1940 sayılı Vakıflar Genel Müdürlüğü Bütçe Yasasının 11. maddesi uyarınca hesaplandığından söz ederek davanın reddini istemiştir. Davacı 11. maddenin Anayasaya aykırı olduğunu savunmuş, bu iddiayı ciddi bulan mahkeme, sözü geçen madde hükmünün iptali için Anayasa Mahkemesine başvurmuştur.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III. METİNLER :</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1- İptali istenen 27.2.1976 günlü 1940 sayılı Vakıflar Genel Müdürlüğü 1976 yılı Bütçe Kanununun 11. maddesi şöyledir: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Madde 11- 2762 sayılı Kanunda öngörülen taviz bedelleri, 1319 sayılı Kanun gereğince verilen beyannamelerdeki değerlere göre hesaplanır.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2- İlgili Yasa Hükümleri :</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5.6.1935 günlü 2762 sayılı Vakıflar Kanununun 27- maddesi şeyledir :</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Hadde 27- Mevcut mukataalı toprakların veya icareteynli gayrimenkullerin mülkiyetleri, icare veya mukataaların yirmi misli bir taviz karşılığında mutasarrıfına geçirilir. Taviz ister toptan, İster taksit ile ödensin, ilk ödeme yılı için tahakkuk ettirilen icare veya mukataa üzerinden hesap olunur.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(20.6.1952 ve 5982 No.K. ile 27 nci maddeye eklenen fıkra) Özel ve tüzel kişiler uhdesinde bulunan vakıf mahallerin icare ve mukataaları vergi kıymetlerine nisbetle binde iki buçuktan noksan ise o miktara çıkarılır.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3- Dayanılan Anayasa Kuralları :</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Madde 64- Kanun koymak, değiştirmek ve kaldırmak, Devletin Bütçe ve kesinhesap kanun tasarılarını görüşmek ve kabul etmek, para basılmasına, genel ve özel af ilanına, mahkemelerce, kesinleşen ölüm cezalarının yerine getirilmesine karar vermek, Türkiye Büyük Millet Meclisinin yetkilerindendir.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 xml:space="preserve">Türkiye Büyük Millet Meclisi kanunla, belli konularda, Bakanlar Kuruluna kanun hükmünde kararnameler çıkarmak yetkisi verebilir. Yetki veren kanunda, çıkarılacak </w:t>
      </w:r>
      <w:r w:rsidRPr="000D0219">
        <w:rPr>
          <w:rFonts w:ascii="Times New Roman" w:eastAsia="Times New Roman" w:hAnsi="Times New Roman" w:cs="Times New Roman"/>
          <w:color w:val="010000"/>
          <w:sz w:val="24"/>
          <w:szCs w:val="27"/>
          <w:lang w:eastAsia="tr-TR"/>
        </w:rPr>
        <w:lastRenderedPageBreak/>
        <w:t>kararnamelerin amacı, kapsamı ve ilkeleriyle bu yetkiyi kullanma süresinin ve yürürlükten kaldırılacak kanun hükümlerinin açıkça gösterilmesi ve kanun hükmünde kararnamede de yetkinin hangi kanunla verilmiş olduğunun belirtilmesi lâzımdır.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Resmî Gazetede yayımlandıkları gün Türkiye Büyük Millet Meclisine sunulur.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yeralan siyasî haklar ve ödevler kanun hükmünde kararnamelerle düzenlenemez. Anayasa Mahkemesi, bu kararnamelerin Anayasaya uygunluğunu da denetler.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Madde 92- Kanun tasarı ve teklifleri önce Millet Meclisinde görüşülür.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Meclisinde değiştirilerek kabul edilirse, beşinci fıkra hükümleri uygulanır.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lazımdır. Bu halde açık oya başvurulur.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lastRenderedPageBreak/>
        <w:t>Cumhuriyet Senatosunca üye tamsayısının üçte iki çoğunluğu ile tümü reddedilen bir metnin kanunlaşabilmesi, Millet Meclisi tarafından üye tamsayısının üçte iki çoğunluğu ile kabul edilmesine bağlıdır. Bu halde açık oya başvurulur.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w:t>
      </w:r>
      <w:r w:rsidRPr="000D0219">
        <w:rPr>
          <w:rFonts w:ascii="Times New Roman" w:eastAsia="Times New Roman" w:hAnsi="Times New Roman" w:cs="Times New Roman"/>
          <w:i/>
          <w:iCs/>
          <w:color w:val="010000"/>
          <w:sz w:val="24"/>
          <w:szCs w:val="27"/>
          <w:lang w:eastAsia="tr-TR"/>
        </w:rPr>
        <w:t xml:space="preserve"> </w:t>
      </w:r>
      <w:r w:rsidRPr="000D0219">
        <w:rPr>
          <w:rFonts w:ascii="Times New Roman" w:eastAsia="Times New Roman" w:hAnsi="Times New Roman" w:cs="Times New Roman"/>
          <w:color w:val="010000"/>
          <w:sz w:val="24"/>
          <w:szCs w:val="27"/>
          <w:lang w:eastAsia="tr-TR"/>
        </w:rPr>
        <w:t>ve ivedilik hallerinde onbeşgünden, ivedi olmıyan hallerde bir aydan kısa olamaz. Bu süreler içinde karara bağlanmıyan metinler, Cumhuriyet Senatosunca, Millet Meclisinden gelen şekliyle kabul edilmiş sayılır. Bu fıkrada belirtilen süreler Meclislerin tatili devamınca işlemez.</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Yasama Meclislerinin ve mahalli idarelerin seçimleri ve siyasî partilerle ilgiler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lazımdır. 8 nci ve 9 ncu fıkralar hükümleri saklıdır.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Madde 94- Genel ve Katma bütçe tasarıları ile milli bütçe tahminlerini gösteren rapor, malî yılbaşından en az üç ay önce, Bakanlar Kurulu tarafından, Türkiye Büyük Millet Meclisine sunulur.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Bu tasarılar ve rapor, otuzbeş milletvekiliyle onbeş Cumhuriyet Senatosu üyesinden kurulu bir karma komisyona verilir. Bu komisyonun kuruluşunda, iktidar grupuna veya gruplarına en az otuz üye verilmek şartıyla, siyasi parti gruplarının ve bağımsızların oranlarına göre temsili gözönünde tutulur.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mali yılbaşına kadar karara bağlanır.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Kanun, kalkınma plânları ile ilgili yatırımlar veya bir yıldan fazla sürecek iş ve hizmetler için özel süre ve usuller koyabilir.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lastRenderedPageBreak/>
        <w:t>Genel ve katma bütçelerin nasıl yapılacağı ve uygulanacağı kanunla gösterilir. Bütçe kanununa bütçe ile ilgili hükümler dışında hiçbir hüküm konulamaz.</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IV. İLK İNCELEME:</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Anayasa Mahkemesi, İçtüzüğün 15. maddesi uyarınca yaptığı ilk inceleme toplantısında, aşağıda açıklanan konu üzerinde durmuştur:.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27.2.1976 günlü, 1940 sayılı Vakıflar Genel Müdürlüğü 1976 yılı Bütçe Kanununun itiraz konusu 11. maddesi hükmü, başka bir dava dolayısıyle Anayasaya uygunluk denetiminden geçirilerek Anayasanın 64.,92.,93.,94. ve 126. maddelerinde yeralan ilkelere aykırı olduğu saptanmış ve 22.12.1977 günlü, Esas: 1977/119, Karar: 1977/146 sayılı Anayasa Mahkemesi kararıyle iptaline karar verilmiştir.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Bu durumda aynı konu hakkında yeniden inceleme yapılarak bir karar verilmesine yer kalmamıştır.</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V. SONUÇ:</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27.2.1976 günlü, 1940 sayılı Vakıflar Genel Müdürlüğü 1976 yılı Bütçe Kanununun 11. maddesi hükmünün, Anayasa Mahkemesi'nin 22.12.1977 günlü, Esas: 1977/119, Karar: 1977/146 sayılı kararıyle iptaline karar verilmiş olduğundan, bu konuda yeniden karar verilmesine yer olmadığına,</w:t>
      </w:r>
    </w:p>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r w:rsidRPr="000D0219">
        <w:rPr>
          <w:rFonts w:ascii="Times New Roman" w:eastAsia="Times New Roman" w:hAnsi="Times New Roman" w:cs="Times New Roman"/>
          <w:color w:val="010000"/>
          <w:sz w:val="24"/>
          <w:szCs w:val="27"/>
          <w:lang w:eastAsia="tr-TR"/>
        </w:rPr>
        <w:t>26.1.1978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D0219" w:rsidRPr="000D0219" w:rsidTr="000D0219">
        <w:trPr>
          <w:tblCellSpacing w:w="0" w:type="dxa"/>
          <w:jc w:val="center"/>
        </w:trPr>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0D0219">
              <w:rPr>
                <w:rFonts w:ascii="Times New Roman" w:eastAsia="Times New Roman" w:hAnsi="Times New Roman" w:cs="Times New Roman"/>
                <w:color w:val="010000"/>
                <w:sz w:val="24"/>
                <w:szCs w:val="24"/>
                <w:lang w:eastAsia="tr-TR"/>
              </w:rPr>
              <w:t>Başkan</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Kâni Vrana</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Başkanvekili</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Şevket Müftügil</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Abdullah Üner</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Ahmet Koçak</w:t>
            </w:r>
          </w:p>
        </w:tc>
      </w:tr>
      <w:tr w:rsidR="000D0219" w:rsidRPr="000D0219" w:rsidTr="000D0219">
        <w:trPr>
          <w:tblCellSpacing w:w="0" w:type="dxa"/>
          <w:jc w:val="center"/>
        </w:trPr>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r>
      <w:tr w:rsidR="000D0219" w:rsidRPr="000D0219" w:rsidTr="000D0219">
        <w:trPr>
          <w:tblCellSpacing w:w="0" w:type="dxa"/>
          <w:jc w:val="center"/>
        </w:trPr>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Şekip Çopuroğlu</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Fahrettin Uluç</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Muhittin Gürün</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Lûtfi Ömerbaş</w:t>
            </w:r>
          </w:p>
        </w:tc>
      </w:tr>
      <w:tr w:rsidR="000D0219" w:rsidRPr="000D0219" w:rsidTr="000D0219">
        <w:trPr>
          <w:tblCellSpacing w:w="0" w:type="dxa"/>
          <w:jc w:val="center"/>
        </w:trPr>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r>
      <w:tr w:rsidR="000D0219" w:rsidRPr="000D0219" w:rsidTr="000D0219">
        <w:trPr>
          <w:tblCellSpacing w:w="0" w:type="dxa"/>
          <w:jc w:val="center"/>
        </w:trPr>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Ahmet Erdoğdu</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Hasan Gürsel</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Ahmet Salih Çebi</w:t>
            </w:r>
          </w:p>
        </w:tc>
        <w:tc>
          <w:tcPr>
            <w:tcW w:w="125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Âdil Esmer</w:t>
            </w:r>
          </w:p>
        </w:tc>
      </w:tr>
    </w:tbl>
    <w:p w:rsidR="000D0219" w:rsidRDefault="000D021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0D0219" w:rsidRPr="000D0219" w:rsidTr="000D0219">
        <w:trPr>
          <w:tblCellSpacing w:w="0" w:type="dxa"/>
          <w:jc w:val="center"/>
        </w:trPr>
        <w:tc>
          <w:tcPr>
            <w:tcW w:w="200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100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c>
          <w:tcPr>
            <w:tcW w:w="200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 xml:space="preserve"> </w:t>
            </w:r>
          </w:p>
        </w:tc>
      </w:tr>
      <w:tr w:rsidR="000D0219" w:rsidRPr="000D0219" w:rsidTr="000D0219">
        <w:trPr>
          <w:tblCellSpacing w:w="0" w:type="dxa"/>
          <w:jc w:val="center"/>
        </w:trPr>
        <w:tc>
          <w:tcPr>
            <w:tcW w:w="200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Nihat O. Akçakayalıoğlu</w:t>
            </w:r>
          </w:p>
        </w:tc>
        <w:tc>
          <w:tcPr>
            <w:tcW w:w="100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Ahmet H. Boyacıoğlu</w:t>
            </w:r>
          </w:p>
        </w:tc>
        <w:tc>
          <w:tcPr>
            <w:tcW w:w="2000" w:type="pct"/>
            <w:hideMark/>
          </w:tcPr>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Üye</w:t>
            </w:r>
          </w:p>
          <w:p w:rsidR="000D0219" w:rsidRPr="000D0219" w:rsidRDefault="000D0219" w:rsidP="000D0219">
            <w:pPr>
              <w:spacing w:before="120" w:after="120" w:line="240" w:lineRule="auto"/>
              <w:jc w:val="center"/>
              <w:rPr>
                <w:rFonts w:ascii="Times New Roman" w:eastAsia="Times New Roman" w:hAnsi="Times New Roman" w:cs="Times New Roman"/>
                <w:color w:val="010000"/>
                <w:sz w:val="24"/>
                <w:szCs w:val="24"/>
                <w:lang w:eastAsia="tr-TR"/>
              </w:rPr>
            </w:pPr>
            <w:r w:rsidRPr="000D0219">
              <w:rPr>
                <w:rFonts w:ascii="Times New Roman" w:eastAsia="Times New Roman" w:hAnsi="Times New Roman" w:cs="Times New Roman"/>
                <w:color w:val="010000"/>
                <w:sz w:val="24"/>
                <w:szCs w:val="24"/>
                <w:lang w:eastAsia="tr-TR"/>
              </w:rPr>
              <w:t>Necdet Darıcıoğlu</w:t>
            </w:r>
          </w:p>
        </w:tc>
      </w:tr>
    </w:tbl>
    <w:p w:rsidR="000D0219" w:rsidRPr="000D0219" w:rsidRDefault="000D0219" w:rsidP="000D021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D0219" w:rsidRPr="000D0219" w:rsidSect="000D021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585" w:rsidRDefault="00474585" w:rsidP="000D0219">
      <w:pPr>
        <w:spacing w:after="0" w:line="240" w:lineRule="auto"/>
      </w:pPr>
      <w:r>
        <w:separator/>
      </w:r>
    </w:p>
  </w:endnote>
  <w:endnote w:type="continuationSeparator" w:id="0">
    <w:p w:rsidR="00474585" w:rsidRDefault="00474585" w:rsidP="000D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19" w:rsidRDefault="000D0219"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0219" w:rsidRDefault="000D0219" w:rsidP="000D02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19" w:rsidRPr="000D0219" w:rsidRDefault="000D0219" w:rsidP="002D7B7B">
    <w:pPr>
      <w:pStyle w:val="Altbilgi"/>
      <w:framePr w:wrap="around" w:vAnchor="text" w:hAnchor="margin" w:xAlign="right" w:y="1"/>
      <w:rPr>
        <w:rStyle w:val="SayfaNumaras"/>
        <w:rFonts w:ascii="Times New Roman" w:hAnsi="Times New Roman" w:cs="Times New Roman"/>
        <w:sz w:val="24"/>
      </w:rPr>
    </w:pPr>
    <w:r w:rsidRPr="000D0219">
      <w:rPr>
        <w:rStyle w:val="SayfaNumaras"/>
        <w:rFonts w:ascii="Times New Roman" w:hAnsi="Times New Roman" w:cs="Times New Roman"/>
        <w:sz w:val="24"/>
      </w:rPr>
      <w:fldChar w:fldCharType="begin"/>
    </w:r>
    <w:r w:rsidRPr="000D0219">
      <w:rPr>
        <w:rStyle w:val="SayfaNumaras"/>
        <w:rFonts w:ascii="Times New Roman" w:hAnsi="Times New Roman" w:cs="Times New Roman"/>
        <w:sz w:val="24"/>
      </w:rPr>
      <w:instrText xml:space="preserve">PAGE  </w:instrText>
    </w:r>
    <w:r w:rsidRPr="000D021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0D0219">
      <w:rPr>
        <w:rStyle w:val="SayfaNumaras"/>
        <w:rFonts w:ascii="Times New Roman" w:hAnsi="Times New Roman" w:cs="Times New Roman"/>
        <w:sz w:val="24"/>
      </w:rPr>
      <w:fldChar w:fldCharType="end"/>
    </w:r>
  </w:p>
  <w:p w:rsidR="000D0219" w:rsidRDefault="000D0219" w:rsidP="000D021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585" w:rsidRDefault="00474585" w:rsidP="000D0219">
      <w:pPr>
        <w:spacing w:after="0" w:line="240" w:lineRule="auto"/>
      </w:pPr>
      <w:r>
        <w:separator/>
      </w:r>
    </w:p>
  </w:footnote>
  <w:footnote w:type="continuationSeparator" w:id="0">
    <w:p w:rsidR="00474585" w:rsidRDefault="00474585" w:rsidP="000D0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19" w:rsidRPr="000D0219" w:rsidRDefault="000D0219" w:rsidP="000D0219">
    <w:pPr>
      <w:pStyle w:val="stbilgi"/>
      <w:rPr>
        <w:rFonts w:ascii="Times New Roman" w:hAnsi="Times New Roman" w:cs="Times New Roman"/>
        <w:b/>
        <w:sz w:val="24"/>
      </w:rPr>
    </w:pPr>
    <w:r w:rsidRPr="000D0219">
      <w:rPr>
        <w:rFonts w:ascii="Times New Roman" w:hAnsi="Times New Roman" w:cs="Times New Roman"/>
        <w:b/>
        <w:sz w:val="24"/>
      </w:rPr>
      <w:t>Esas Sayısı:1978/3</w:t>
    </w:r>
  </w:p>
  <w:p w:rsidR="000D0219" w:rsidRDefault="000D0219" w:rsidP="000D0219">
    <w:pPr>
      <w:pStyle w:val="stbilgi"/>
      <w:rPr>
        <w:rFonts w:ascii="Times New Roman" w:hAnsi="Times New Roman" w:cs="Times New Roman"/>
        <w:b/>
        <w:sz w:val="24"/>
      </w:rPr>
    </w:pPr>
    <w:r>
      <w:rPr>
        <w:rFonts w:ascii="Times New Roman" w:hAnsi="Times New Roman" w:cs="Times New Roman"/>
        <w:b/>
        <w:sz w:val="24"/>
      </w:rPr>
      <w:t>Karar Sayısı:1978/3</w:t>
    </w:r>
  </w:p>
  <w:p w:rsidR="000D0219" w:rsidRPr="000D0219" w:rsidRDefault="000D0219" w:rsidP="000D021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19"/>
    <w:rsid w:val="000D0219"/>
    <w:rsid w:val="0047458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890A8-41EF-4BA8-9E65-398C7C75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D0219"/>
    <w:rPr>
      <w:color w:val="0000FF"/>
      <w:u w:val="single"/>
    </w:rPr>
  </w:style>
  <w:style w:type="paragraph" w:styleId="NormalWeb">
    <w:name w:val="Normal (Web)"/>
    <w:basedOn w:val="Normal"/>
    <w:uiPriority w:val="99"/>
    <w:semiHidden/>
    <w:unhideWhenUsed/>
    <w:rsid w:val="000D02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02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0219"/>
  </w:style>
  <w:style w:type="paragraph" w:styleId="Altbilgi">
    <w:name w:val="footer"/>
    <w:basedOn w:val="Normal"/>
    <w:link w:val="AltbilgiChar"/>
    <w:uiPriority w:val="99"/>
    <w:unhideWhenUsed/>
    <w:rsid w:val="000D02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0219"/>
  </w:style>
  <w:style w:type="character" w:styleId="SayfaNumaras">
    <w:name w:val="page number"/>
    <w:basedOn w:val="VarsaylanParagrafYazTipi"/>
    <w:uiPriority w:val="99"/>
    <w:semiHidden/>
    <w:unhideWhenUsed/>
    <w:rsid w:val="000D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2020-06-25T06:08:00Z</dcterms:created>
  <dcterms:modified xsi:type="dcterms:W3CDTF">2020-06-25T06:10:00Z</dcterms:modified>
</cp:coreProperties>
</file>