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E7BA" w14:textId="77777777" w:rsidR="00181D98" w:rsidRDefault="006453E4" w:rsidP="00344951">
      <w:pPr>
        <w:pStyle w:val="Gvdemetni0"/>
        <w:widowControl/>
        <w:shd w:val="clear" w:color="auto" w:fill="auto"/>
        <w:spacing w:after="200"/>
        <w:ind w:right="283"/>
        <w:jc w:val="center"/>
        <w:rPr>
          <w:b/>
          <w:caps/>
          <w:color w:val="010000"/>
          <w:sz w:val="24"/>
          <w:szCs w:val="24"/>
        </w:rPr>
      </w:pPr>
      <w:r w:rsidRPr="00344951">
        <w:rPr>
          <w:b/>
          <w:caps/>
          <w:color w:val="010000"/>
          <w:sz w:val="24"/>
          <w:szCs w:val="24"/>
        </w:rPr>
        <w:t>ANAYASA MAHKEMESİ KARARI</w:t>
      </w:r>
    </w:p>
    <w:p w14:paraId="18B083AB" w14:textId="77777777" w:rsidR="00344951" w:rsidRPr="00344951" w:rsidRDefault="00344951" w:rsidP="00344951">
      <w:pPr>
        <w:pStyle w:val="Gvdemetni0"/>
        <w:widowControl/>
        <w:shd w:val="clear" w:color="auto" w:fill="auto"/>
        <w:spacing w:after="200"/>
        <w:ind w:right="283" w:firstLine="709"/>
        <w:jc w:val="center"/>
        <w:rPr>
          <w:b/>
          <w:caps/>
          <w:color w:val="010000"/>
          <w:sz w:val="24"/>
          <w:szCs w:val="24"/>
        </w:rPr>
      </w:pPr>
    </w:p>
    <w:p w14:paraId="46B7FA55" w14:textId="77777777" w:rsidR="00344951" w:rsidRDefault="00344951" w:rsidP="00344951">
      <w:pPr>
        <w:pStyle w:val="Gvdemetni0"/>
        <w:widowControl/>
        <w:shd w:val="clear" w:color="auto" w:fill="auto"/>
        <w:rPr>
          <w:b/>
          <w:color w:val="010000"/>
          <w:sz w:val="24"/>
          <w:szCs w:val="24"/>
        </w:rPr>
      </w:pPr>
      <w:r>
        <w:rPr>
          <w:b/>
          <w:color w:val="010000"/>
          <w:sz w:val="24"/>
          <w:szCs w:val="24"/>
        </w:rPr>
        <w:t xml:space="preserve">Esas </w:t>
      </w:r>
      <w:proofErr w:type="gramStart"/>
      <w:r>
        <w:rPr>
          <w:b/>
          <w:color w:val="010000"/>
          <w:sz w:val="24"/>
          <w:szCs w:val="24"/>
        </w:rPr>
        <w:t>Sayısı :</w:t>
      </w:r>
      <w:proofErr w:type="gramEnd"/>
      <w:r>
        <w:rPr>
          <w:b/>
          <w:color w:val="010000"/>
          <w:sz w:val="24"/>
          <w:szCs w:val="24"/>
        </w:rPr>
        <w:t xml:space="preserve"> 1977/12</w:t>
      </w:r>
    </w:p>
    <w:p w14:paraId="1B0B6619" w14:textId="77777777" w:rsidR="00344951" w:rsidRDefault="00344951" w:rsidP="00344951">
      <w:pPr>
        <w:pStyle w:val="Gvdemetni0"/>
        <w:widowControl/>
        <w:shd w:val="clear" w:color="auto" w:fill="auto"/>
        <w:rPr>
          <w:b/>
          <w:color w:val="010000"/>
          <w:sz w:val="24"/>
          <w:szCs w:val="24"/>
        </w:rPr>
      </w:pPr>
      <w:r>
        <w:rPr>
          <w:b/>
          <w:color w:val="010000"/>
          <w:sz w:val="24"/>
          <w:szCs w:val="24"/>
        </w:rPr>
        <w:t xml:space="preserve">Karar </w:t>
      </w:r>
      <w:proofErr w:type="gramStart"/>
      <w:r>
        <w:rPr>
          <w:b/>
          <w:color w:val="010000"/>
          <w:sz w:val="24"/>
          <w:szCs w:val="24"/>
        </w:rPr>
        <w:t>Sayısı :</w:t>
      </w:r>
      <w:proofErr w:type="gramEnd"/>
      <w:r>
        <w:rPr>
          <w:b/>
          <w:color w:val="010000"/>
          <w:sz w:val="24"/>
          <w:szCs w:val="24"/>
        </w:rPr>
        <w:t xml:space="preserve"> 1977/134</w:t>
      </w:r>
    </w:p>
    <w:p w14:paraId="1F58910B" w14:textId="77777777" w:rsidR="00344951" w:rsidRDefault="00344951" w:rsidP="00344951">
      <w:pPr>
        <w:pStyle w:val="Gvdemetni0"/>
        <w:widowControl/>
        <w:shd w:val="clear" w:color="auto" w:fill="auto"/>
        <w:rPr>
          <w:b/>
          <w:color w:val="010000"/>
          <w:sz w:val="24"/>
          <w:szCs w:val="24"/>
        </w:rPr>
      </w:pPr>
      <w:r>
        <w:rPr>
          <w:b/>
          <w:color w:val="010000"/>
          <w:sz w:val="24"/>
          <w:szCs w:val="24"/>
        </w:rPr>
        <w:t xml:space="preserve">Karar </w:t>
      </w:r>
      <w:proofErr w:type="gramStart"/>
      <w:r>
        <w:rPr>
          <w:b/>
          <w:color w:val="010000"/>
          <w:sz w:val="24"/>
          <w:szCs w:val="24"/>
        </w:rPr>
        <w:t>Günü :</w:t>
      </w:r>
      <w:proofErr w:type="gramEnd"/>
      <w:r>
        <w:rPr>
          <w:b/>
          <w:color w:val="010000"/>
          <w:sz w:val="24"/>
          <w:szCs w:val="24"/>
        </w:rPr>
        <w:t xml:space="preserve"> 13/12/1977</w:t>
      </w:r>
    </w:p>
    <w:p w14:paraId="23C1232C" w14:textId="77777777" w:rsidR="00002C5D" w:rsidRPr="00344951" w:rsidRDefault="00002C5D" w:rsidP="00344951">
      <w:pPr>
        <w:pStyle w:val="Gvdemetni0"/>
        <w:widowControl/>
        <w:shd w:val="clear" w:color="auto" w:fill="auto"/>
        <w:rPr>
          <w:b/>
          <w:color w:val="010000"/>
          <w:sz w:val="24"/>
          <w:szCs w:val="24"/>
        </w:rPr>
      </w:pPr>
    </w:p>
    <w:p w14:paraId="436F1019" w14:textId="77777777" w:rsidR="006453E4" w:rsidRPr="00344951" w:rsidRDefault="006453E4"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 xml:space="preserve">İtiraz Yoluna </w:t>
      </w:r>
      <w:proofErr w:type="gramStart"/>
      <w:r w:rsidRPr="00344951">
        <w:rPr>
          <w:color w:val="010000"/>
          <w:sz w:val="24"/>
          <w:szCs w:val="24"/>
        </w:rPr>
        <w:t>Başvuran :</w:t>
      </w:r>
      <w:proofErr w:type="gramEnd"/>
      <w:r w:rsidRPr="00344951">
        <w:rPr>
          <w:color w:val="010000"/>
          <w:sz w:val="24"/>
          <w:szCs w:val="24"/>
        </w:rPr>
        <w:t xml:space="preserve"> Asker</w:t>
      </w:r>
      <w:r w:rsidR="00983714" w:rsidRPr="00344951">
        <w:rPr>
          <w:color w:val="010000"/>
          <w:sz w:val="24"/>
          <w:szCs w:val="24"/>
        </w:rPr>
        <w:t>î</w:t>
      </w:r>
      <w:r w:rsidRPr="00344951">
        <w:rPr>
          <w:color w:val="010000"/>
          <w:sz w:val="24"/>
          <w:szCs w:val="24"/>
        </w:rPr>
        <w:t xml:space="preserve"> Yüksek İdare Mahkemesi Daireler Kurulu</w:t>
      </w:r>
    </w:p>
    <w:p w14:paraId="16C96301" w14:textId="77777777" w:rsidR="006453E4" w:rsidRPr="00344951" w:rsidRDefault="006453E4"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 xml:space="preserve">İtirazın Konusu : 27.7.1967 günlü, 926 sayılı Türk </w:t>
      </w:r>
      <w:proofErr w:type="spellStart"/>
      <w:r w:rsidRPr="00344951">
        <w:rPr>
          <w:color w:val="010000"/>
          <w:sz w:val="24"/>
          <w:szCs w:val="24"/>
        </w:rPr>
        <w:t>Sil</w:t>
      </w:r>
      <w:r w:rsidR="006B3ADF" w:rsidRPr="00344951">
        <w:rPr>
          <w:color w:val="010000"/>
          <w:sz w:val="24"/>
          <w:szCs w:val="24"/>
        </w:rPr>
        <w:t>â</w:t>
      </w:r>
      <w:r w:rsidRPr="00344951">
        <w:rPr>
          <w:color w:val="010000"/>
          <w:sz w:val="24"/>
          <w:szCs w:val="24"/>
        </w:rPr>
        <w:t>hlı</w:t>
      </w:r>
      <w:proofErr w:type="spellEnd"/>
      <w:r w:rsidRPr="00344951">
        <w:rPr>
          <w:color w:val="010000"/>
          <w:sz w:val="24"/>
          <w:szCs w:val="24"/>
        </w:rPr>
        <w:t xml:space="preserve"> Kuvvetleri Personel Kanunu</w:t>
      </w:r>
      <w:r w:rsidR="00983714" w:rsidRPr="00344951">
        <w:rPr>
          <w:color w:val="010000"/>
          <w:sz w:val="24"/>
          <w:szCs w:val="24"/>
        </w:rPr>
        <w:t>’</w:t>
      </w:r>
      <w:r w:rsidRPr="00344951">
        <w:rPr>
          <w:color w:val="010000"/>
          <w:sz w:val="24"/>
          <w:szCs w:val="24"/>
        </w:rPr>
        <w:t xml:space="preserve">nun 41. </w:t>
      </w:r>
      <w:r w:rsidR="00821A7B" w:rsidRPr="00344951">
        <w:rPr>
          <w:color w:val="010000"/>
          <w:sz w:val="24"/>
          <w:szCs w:val="24"/>
        </w:rPr>
        <w:t>m</w:t>
      </w:r>
      <w:r w:rsidRPr="00344951">
        <w:rPr>
          <w:color w:val="010000"/>
          <w:sz w:val="24"/>
          <w:szCs w:val="24"/>
        </w:rPr>
        <w:t>addesinin ikin</w:t>
      </w:r>
      <w:r w:rsidR="00983714" w:rsidRPr="00344951">
        <w:rPr>
          <w:color w:val="010000"/>
          <w:sz w:val="24"/>
          <w:szCs w:val="24"/>
        </w:rPr>
        <w:t>c</w:t>
      </w:r>
      <w:r w:rsidRPr="00344951">
        <w:rPr>
          <w:color w:val="010000"/>
          <w:sz w:val="24"/>
          <w:szCs w:val="24"/>
        </w:rPr>
        <w:t>i fıkrasının Anayasa</w:t>
      </w:r>
      <w:r w:rsidR="00983714" w:rsidRPr="00344951">
        <w:rPr>
          <w:color w:val="010000"/>
          <w:sz w:val="24"/>
          <w:szCs w:val="24"/>
        </w:rPr>
        <w:t>’</w:t>
      </w:r>
      <w:r w:rsidRPr="00344951">
        <w:rPr>
          <w:color w:val="010000"/>
          <w:sz w:val="24"/>
          <w:szCs w:val="24"/>
        </w:rPr>
        <w:t xml:space="preserve">nın 105. </w:t>
      </w:r>
      <w:r w:rsidR="00821A7B" w:rsidRPr="00344951">
        <w:rPr>
          <w:color w:val="010000"/>
          <w:sz w:val="24"/>
          <w:szCs w:val="24"/>
        </w:rPr>
        <w:t>m</w:t>
      </w:r>
      <w:r w:rsidRPr="00344951">
        <w:rPr>
          <w:color w:val="010000"/>
          <w:sz w:val="24"/>
          <w:szCs w:val="24"/>
        </w:rPr>
        <w:t>addesinin ikinci fıkrasına</w:t>
      </w:r>
      <w:r w:rsidR="00983714" w:rsidRPr="00344951">
        <w:rPr>
          <w:color w:val="010000"/>
          <w:sz w:val="24"/>
          <w:szCs w:val="24"/>
        </w:rPr>
        <w:t>,</w:t>
      </w:r>
      <w:r w:rsidRPr="00344951">
        <w:rPr>
          <w:color w:val="010000"/>
          <w:sz w:val="24"/>
          <w:szCs w:val="24"/>
        </w:rPr>
        <w:t xml:space="preserve"> aynı </w:t>
      </w:r>
      <w:r w:rsidR="00983714" w:rsidRPr="00344951">
        <w:rPr>
          <w:color w:val="010000"/>
          <w:sz w:val="24"/>
          <w:szCs w:val="24"/>
        </w:rPr>
        <w:t>K</w:t>
      </w:r>
      <w:r w:rsidRPr="00344951">
        <w:rPr>
          <w:color w:val="010000"/>
          <w:sz w:val="24"/>
          <w:szCs w:val="24"/>
        </w:rPr>
        <w:t>anun</w:t>
      </w:r>
      <w:r w:rsidR="00983714" w:rsidRPr="00344951">
        <w:rPr>
          <w:color w:val="010000"/>
          <w:sz w:val="24"/>
          <w:szCs w:val="24"/>
        </w:rPr>
        <w:t>’</w:t>
      </w:r>
      <w:r w:rsidRPr="00344951">
        <w:rPr>
          <w:color w:val="010000"/>
          <w:sz w:val="24"/>
          <w:szCs w:val="24"/>
        </w:rPr>
        <w:t xml:space="preserve">un 7.7.1971 günlü, 1424 sayılı </w:t>
      </w:r>
      <w:r w:rsidR="00983714" w:rsidRPr="00344951">
        <w:rPr>
          <w:color w:val="010000"/>
          <w:sz w:val="24"/>
          <w:szCs w:val="24"/>
        </w:rPr>
        <w:t>Y</w:t>
      </w:r>
      <w:r w:rsidRPr="00344951">
        <w:rPr>
          <w:color w:val="010000"/>
          <w:sz w:val="24"/>
          <w:szCs w:val="24"/>
        </w:rPr>
        <w:t xml:space="preserve">asa ile değişik 49. maddesini (a) ve (b) </w:t>
      </w:r>
      <w:r w:rsidR="000A6EB9" w:rsidRPr="00344951">
        <w:rPr>
          <w:color w:val="010000"/>
          <w:sz w:val="24"/>
          <w:szCs w:val="24"/>
        </w:rPr>
        <w:t>bentlerinin Anayasa</w:t>
      </w:r>
      <w:r w:rsidR="00983714" w:rsidRPr="00344951">
        <w:rPr>
          <w:color w:val="010000"/>
          <w:sz w:val="24"/>
          <w:szCs w:val="24"/>
        </w:rPr>
        <w:t>’</w:t>
      </w:r>
      <w:r w:rsidR="000A6EB9" w:rsidRPr="00344951">
        <w:rPr>
          <w:color w:val="010000"/>
          <w:sz w:val="24"/>
          <w:szCs w:val="24"/>
        </w:rPr>
        <w:t xml:space="preserve">nın 12. </w:t>
      </w:r>
      <w:r w:rsidR="00821A7B" w:rsidRPr="00344951">
        <w:rPr>
          <w:color w:val="010000"/>
          <w:sz w:val="24"/>
          <w:szCs w:val="24"/>
        </w:rPr>
        <w:t>m</w:t>
      </w:r>
      <w:r w:rsidR="000A6EB9" w:rsidRPr="00344951">
        <w:rPr>
          <w:color w:val="010000"/>
          <w:sz w:val="24"/>
          <w:szCs w:val="24"/>
        </w:rPr>
        <w:t xml:space="preserve">addesi ile 105. </w:t>
      </w:r>
      <w:r w:rsidR="00821A7B" w:rsidRPr="00344951">
        <w:rPr>
          <w:color w:val="010000"/>
          <w:sz w:val="24"/>
          <w:szCs w:val="24"/>
        </w:rPr>
        <w:t>m</w:t>
      </w:r>
      <w:r w:rsidR="000A6EB9" w:rsidRPr="00344951">
        <w:rPr>
          <w:color w:val="010000"/>
          <w:sz w:val="24"/>
          <w:szCs w:val="24"/>
        </w:rPr>
        <w:t>addesi</w:t>
      </w:r>
      <w:r w:rsidR="00821A7B" w:rsidRPr="00344951">
        <w:rPr>
          <w:color w:val="010000"/>
          <w:sz w:val="24"/>
          <w:szCs w:val="24"/>
        </w:rPr>
        <w:t>nin ikinci fıkrasına</w:t>
      </w:r>
      <w:r w:rsidR="00983714" w:rsidRPr="00344951">
        <w:rPr>
          <w:color w:val="010000"/>
          <w:sz w:val="24"/>
          <w:szCs w:val="24"/>
        </w:rPr>
        <w:t>,</w:t>
      </w:r>
      <w:r w:rsidR="00821A7B" w:rsidRPr="00344951">
        <w:rPr>
          <w:color w:val="010000"/>
          <w:sz w:val="24"/>
          <w:szCs w:val="24"/>
        </w:rPr>
        <w:t xml:space="preserve"> değişik 54. maddesinin Anayasa</w:t>
      </w:r>
      <w:r w:rsidR="00983714" w:rsidRPr="00344951">
        <w:rPr>
          <w:color w:val="010000"/>
          <w:sz w:val="24"/>
          <w:szCs w:val="24"/>
        </w:rPr>
        <w:t>’</w:t>
      </w:r>
      <w:r w:rsidR="00821A7B" w:rsidRPr="00344951">
        <w:rPr>
          <w:color w:val="010000"/>
          <w:sz w:val="24"/>
          <w:szCs w:val="24"/>
        </w:rPr>
        <w:t xml:space="preserve">nın 12. maddesi ile 58. maddesinin ikinci fıkrasına ve 1424 sayılı </w:t>
      </w:r>
      <w:r w:rsidR="00983714" w:rsidRPr="00344951">
        <w:rPr>
          <w:color w:val="010000"/>
          <w:sz w:val="24"/>
          <w:szCs w:val="24"/>
        </w:rPr>
        <w:t>Y</w:t>
      </w:r>
      <w:r w:rsidR="00821A7B" w:rsidRPr="00344951">
        <w:rPr>
          <w:color w:val="010000"/>
          <w:sz w:val="24"/>
          <w:szCs w:val="24"/>
        </w:rPr>
        <w:t>asa ile eklenen ek geçici 14. maddesinin (a) bendinin de Anayasa</w:t>
      </w:r>
      <w:r w:rsidR="00983714" w:rsidRPr="00344951">
        <w:rPr>
          <w:color w:val="010000"/>
          <w:sz w:val="24"/>
          <w:szCs w:val="24"/>
        </w:rPr>
        <w:t>’</w:t>
      </w:r>
      <w:r w:rsidR="00821A7B" w:rsidRPr="00344951">
        <w:rPr>
          <w:color w:val="010000"/>
          <w:sz w:val="24"/>
          <w:szCs w:val="24"/>
        </w:rPr>
        <w:t>nın 12. maddesi ile</w:t>
      </w:r>
      <w:r w:rsidR="00BB05A9" w:rsidRPr="00344951">
        <w:rPr>
          <w:color w:val="010000"/>
          <w:sz w:val="24"/>
          <w:szCs w:val="24"/>
        </w:rPr>
        <w:t xml:space="preserve"> </w:t>
      </w:r>
      <w:r w:rsidR="00821A7B" w:rsidRPr="00344951">
        <w:rPr>
          <w:color w:val="010000"/>
          <w:sz w:val="24"/>
          <w:szCs w:val="24"/>
        </w:rPr>
        <w:t xml:space="preserve">105. maddesinin ikinci fıkrasına aykırı oldukları </w:t>
      </w:r>
      <w:r w:rsidR="00983714" w:rsidRPr="00344951">
        <w:rPr>
          <w:color w:val="010000"/>
          <w:sz w:val="24"/>
          <w:szCs w:val="24"/>
        </w:rPr>
        <w:t>M</w:t>
      </w:r>
      <w:r w:rsidR="00821A7B" w:rsidRPr="00344951">
        <w:rPr>
          <w:color w:val="010000"/>
          <w:sz w:val="24"/>
          <w:szCs w:val="24"/>
        </w:rPr>
        <w:t>ahkemece ileri sürülerek iptalleri istenilmiştir.</w:t>
      </w:r>
    </w:p>
    <w:p w14:paraId="46E7E19F" w14:textId="77777777" w:rsidR="00821A7B" w:rsidRPr="00344951" w:rsidRDefault="005A4573" w:rsidP="00344951">
      <w:pPr>
        <w:pStyle w:val="Gvdemetni0"/>
        <w:widowControl/>
        <w:numPr>
          <w:ilvl w:val="0"/>
          <w:numId w:val="5"/>
        </w:numPr>
        <w:shd w:val="clear" w:color="auto" w:fill="auto"/>
        <w:spacing w:after="200"/>
        <w:ind w:left="0" w:right="283" w:firstLine="709"/>
        <w:jc w:val="both"/>
        <w:rPr>
          <w:color w:val="010000"/>
          <w:sz w:val="24"/>
          <w:szCs w:val="24"/>
        </w:rPr>
      </w:pPr>
      <w:r w:rsidRPr="00344951">
        <w:rPr>
          <w:color w:val="010000"/>
          <w:sz w:val="24"/>
          <w:szCs w:val="24"/>
        </w:rPr>
        <w:t>OLAY:</w:t>
      </w:r>
    </w:p>
    <w:p w14:paraId="48C77CCF" w14:textId="77777777" w:rsidR="005A4573" w:rsidRPr="00344951" w:rsidRDefault="005A4573"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 xml:space="preserve">30.8.1970 </w:t>
      </w:r>
      <w:proofErr w:type="spellStart"/>
      <w:r w:rsidRPr="00344951">
        <w:rPr>
          <w:color w:val="010000"/>
          <w:sz w:val="24"/>
          <w:szCs w:val="24"/>
        </w:rPr>
        <w:t>nasıplı</w:t>
      </w:r>
      <w:proofErr w:type="spellEnd"/>
      <w:r w:rsidRPr="00344951">
        <w:rPr>
          <w:color w:val="010000"/>
          <w:sz w:val="24"/>
          <w:szCs w:val="24"/>
        </w:rPr>
        <w:t xml:space="preserve"> Tuğgeneral olan davacı, 30.8.1974 tarihinde türbesine mahsus bekleme süresini tamamlamış ve yükselme koşullarını taşıdığı için de bu tarihte bir üst rütbeye yükselme sırasına girmiştir. Ancak 926 sayılı Türk </w:t>
      </w:r>
      <w:proofErr w:type="spellStart"/>
      <w:r w:rsidRPr="00344951">
        <w:rPr>
          <w:color w:val="010000"/>
          <w:sz w:val="24"/>
          <w:szCs w:val="24"/>
        </w:rPr>
        <w:t>Sil</w:t>
      </w:r>
      <w:r w:rsidR="006B3ADF" w:rsidRPr="00344951">
        <w:rPr>
          <w:color w:val="010000"/>
          <w:sz w:val="24"/>
          <w:szCs w:val="24"/>
        </w:rPr>
        <w:t>â</w:t>
      </w:r>
      <w:r w:rsidRPr="00344951">
        <w:rPr>
          <w:color w:val="010000"/>
          <w:sz w:val="24"/>
          <w:szCs w:val="24"/>
        </w:rPr>
        <w:t>hlı</w:t>
      </w:r>
      <w:proofErr w:type="spellEnd"/>
      <w:r w:rsidRPr="00344951">
        <w:rPr>
          <w:color w:val="010000"/>
          <w:sz w:val="24"/>
          <w:szCs w:val="24"/>
        </w:rPr>
        <w:t xml:space="preserve"> Kuvvetleri Personel Kanunu</w:t>
      </w:r>
      <w:r w:rsidR="00983714" w:rsidRPr="00344951">
        <w:rPr>
          <w:color w:val="010000"/>
          <w:sz w:val="24"/>
          <w:szCs w:val="24"/>
        </w:rPr>
        <w:t>’</w:t>
      </w:r>
      <w:r w:rsidRPr="00344951">
        <w:rPr>
          <w:color w:val="010000"/>
          <w:sz w:val="24"/>
          <w:szCs w:val="24"/>
        </w:rPr>
        <w:t xml:space="preserve">nun 47., 49. ve 54. maddeleri ile </w:t>
      </w:r>
      <w:r w:rsidR="00983714" w:rsidRPr="00344951">
        <w:rPr>
          <w:color w:val="010000"/>
          <w:sz w:val="24"/>
          <w:szCs w:val="24"/>
        </w:rPr>
        <w:t>Subay Sicil Yönetmeliği’nin</w:t>
      </w:r>
      <w:r w:rsidRPr="00344951">
        <w:rPr>
          <w:color w:val="010000"/>
          <w:sz w:val="24"/>
          <w:szCs w:val="24"/>
        </w:rPr>
        <w:t xml:space="preserve"> 41-47. maddelerine göre Yüksek Asker</w:t>
      </w:r>
      <w:r w:rsidR="00983714" w:rsidRPr="00344951">
        <w:rPr>
          <w:color w:val="010000"/>
          <w:sz w:val="24"/>
          <w:szCs w:val="24"/>
        </w:rPr>
        <w:t>î</w:t>
      </w:r>
      <w:r w:rsidRPr="00344951">
        <w:rPr>
          <w:color w:val="010000"/>
          <w:sz w:val="24"/>
          <w:szCs w:val="24"/>
        </w:rPr>
        <w:t xml:space="preserve"> Ş</w:t>
      </w:r>
      <w:r w:rsidR="009701EE" w:rsidRPr="00344951">
        <w:rPr>
          <w:color w:val="010000"/>
          <w:sz w:val="24"/>
          <w:szCs w:val="24"/>
        </w:rPr>
        <w:t>û</w:t>
      </w:r>
      <w:r w:rsidRPr="00344951">
        <w:rPr>
          <w:color w:val="010000"/>
          <w:sz w:val="24"/>
          <w:szCs w:val="24"/>
        </w:rPr>
        <w:t xml:space="preserve">raca yapılan yeterlik sıralamasında kendi sınıfında değil Kara Kuvvetlerinde terfi sırasına gelen </w:t>
      </w:r>
      <w:r w:rsidR="00983714" w:rsidRPr="00344951">
        <w:rPr>
          <w:color w:val="010000"/>
          <w:sz w:val="24"/>
          <w:szCs w:val="24"/>
        </w:rPr>
        <w:t>t</w:t>
      </w:r>
      <w:r w:rsidRPr="00344951">
        <w:rPr>
          <w:color w:val="010000"/>
          <w:sz w:val="24"/>
          <w:szCs w:val="24"/>
        </w:rPr>
        <w:t>uğgenerallerle birlikte ve onlar gibi değerlendirmeye tabi tutulduğundan Kara Kuvvetleri</w:t>
      </w:r>
      <w:r w:rsidR="004B09A1" w:rsidRPr="00344951">
        <w:rPr>
          <w:color w:val="010000"/>
          <w:sz w:val="24"/>
          <w:szCs w:val="24"/>
        </w:rPr>
        <w:t>nin (J.</w:t>
      </w:r>
      <w:r w:rsidR="00983714" w:rsidRPr="00344951">
        <w:rPr>
          <w:color w:val="010000"/>
          <w:sz w:val="24"/>
          <w:szCs w:val="24"/>
        </w:rPr>
        <w:t xml:space="preserve"> </w:t>
      </w:r>
      <w:r w:rsidR="004B09A1" w:rsidRPr="00344951">
        <w:rPr>
          <w:color w:val="010000"/>
          <w:sz w:val="24"/>
          <w:szCs w:val="24"/>
        </w:rPr>
        <w:t>d</w:t>
      </w:r>
      <w:r w:rsidR="00983714" w:rsidRPr="00344951">
        <w:rPr>
          <w:color w:val="010000"/>
          <w:sz w:val="24"/>
          <w:szCs w:val="24"/>
        </w:rPr>
        <w:t>â</w:t>
      </w:r>
      <w:r w:rsidR="004B09A1" w:rsidRPr="00344951">
        <w:rPr>
          <w:color w:val="010000"/>
          <w:sz w:val="24"/>
          <w:szCs w:val="24"/>
        </w:rPr>
        <w:t xml:space="preserve">hil) 1974 yılı </w:t>
      </w:r>
      <w:r w:rsidR="00983714" w:rsidRPr="00344951">
        <w:rPr>
          <w:color w:val="010000"/>
          <w:sz w:val="24"/>
          <w:szCs w:val="24"/>
        </w:rPr>
        <w:t>t</w:t>
      </w:r>
      <w:r w:rsidR="004B09A1" w:rsidRPr="00344951">
        <w:rPr>
          <w:color w:val="010000"/>
          <w:sz w:val="24"/>
          <w:szCs w:val="24"/>
        </w:rPr>
        <w:t xml:space="preserve">ümgeneral kontenjanı olan 14 general arasına girememiştir. Böylece bekleme süresi sonunda terfi ettirilmeyip 926 sayılı </w:t>
      </w:r>
      <w:r w:rsidR="00983714" w:rsidRPr="00344951">
        <w:rPr>
          <w:color w:val="010000"/>
          <w:sz w:val="24"/>
          <w:szCs w:val="24"/>
        </w:rPr>
        <w:t>Y</w:t>
      </w:r>
      <w:r w:rsidR="004B09A1" w:rsidRPr="00344951">
        <w:rPr>
          <w:color w:val="010000"/>
          <w:sz w:val="24"/>
          <w:szCs w:val="24"/>
        </w:rPr>
        <w:t>asa</w:t>
      </w:r>
      <w:r w:rsidR="00983714" w:rsidRPr="00344951">
        <w:rPr>
          <w:color w:val="010000"/>
          <w:sz w:val="24"/>
          <w:szCs w:val="24"/>
        </w:rPr>
        <w:t>’</w:t>
      </w:r>
      <w:r w:rsidR="004B09A1" w:rsidRPr="00344951">
        <w:rPr>
          <w:color w:val="010000"/>
          <w:sz w:val="24"/>
          <w:szCs w:val="24"/>
        </w:rPr>
        <w:t>nın 49/f maddesi uyarınca emekliye sevk edilmiştir.</w:t>
      </w:r>
    </w:p>
    <w:p w14:paraId="280BE831" w14:textId="77777777" w:rsidR="004B09A1" w:rsidRPr="00344951" w:rsidRDefault="009A44CB"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Davacı, bu idari işlemin iptali için Asker</w:t>
      </w:r>
      <w:r w:rsidR="00983714" w:rsidRPr="00344951">
        <w:rPr>
          <w:color w:val="010000"/>
          <w:sz w:val="24"/>
          <w:szCs w:val="24"/>
        </w:rPr>
        <w:t>î</w:t>
      </w:r>
      <w:r w:rsidRPr="00344951">
        <w:rPr>
          <w:color w:val="010000"/>
          <w:sz w:val="24"/>
          <w:szCs w:val="24"/>
        </w:rPr>
        <w:t xml:space="preserve"> Yüksek İdare Mahkemesine dava açmıştır. Davaya bakmakta olan mahkeme de uygulayacağı kanunun yukarıda belirtilen hükümlerini Anayasa</w:t>
      </w:r>
      <w:r w:rsidR="00983714" w:rsidRPr="00344951">
        <w:rPr>
          <w:color w:val="010000"/>
          <w:sz w:val="24"/>
          <w:szCs w:val="24"/>
        </w:rPr>
        <w:t>’</w:t>
      </w:r>
      <w:r w:rsidRPr="00344951">
        <w:rPr>
          <w:color w:val="010000"/>
          <w:sz w:val="24"/>
          <w:szCs w:val="24"/>
        </w:rPr>
        <w:t>ya aykırı görerek itiraz yolu ile Anayasa Mahkemesine başvurmuştur.</w:t>
      </w:r>
    </w:p>
    <w:p w14:paraId="6BD77537" w14:textId="77777777" w:rsidR="003F5E0D" w:rsidRPr="00344951" w:rsidRDefault="003F5E0D" w:rsidP="00344951">
      <w:pPr>
        <w:pStyle w:val="NormalWeb"/>
        <w:numPr>
          <w:ilvl w:val="0"/>
          <w:numId w:val="5"/>
        </w:numPr>
        <w:spacing w:before="0" w:beforeAutospacing="0" w:after="200" w:afterAutospacing="0"/>
        <w:ind w:left="0" w:right="283" w:firstLine="709"/>
        <w:jc w:val="both"/>
        <w:rPr>
          <w:color w:val="010000"/>
        </w:rPr>
      </w:pPr>
      <w:r w:rsidRPr="00344951">
        <w:rPr>
          <w:color w:val="010000"/>
        </w:rPr>
        <w:t>YASA METİNLERİ:</w:t>
      </w:r>
    </w:p>
    <w:p w14:paraId="43B8C1E1" w14:textId="77777777" w:rsidR="003F5E0D" w:rsidRPr="00344951" w:rsidRDefault="003F5E0D" w:rsidP="00344951">
      <w:pPr>
        <w:pStyle w:val="NormalWeb"/>
        <w:numPr>
          <w:ilvl w:val="0"/>
          <w:numId w:val="7"/>
        </w:numPr>
        <w:spacing w:before="0" w:beforeAutospacing="0" w:after="200" w:afterAutospacing="0"/>
        <w:ind w:left="0" w:right="283" w:firstLine="709"/>
        <w:jc w:val="both"/>
        <w:rPr>
          <w:color w:val="010000"/>
        </w:rPr>
      </w:pPr>
      <w:r w:rsidRPr="00344951">
        <w:rPr>
          <w:color w:val="010000"/>
        </w:rPr>
        <w:t>İtiraz konusu yasa kuralları:</w:t>
      </w:r>
    </w:p>
    <w:p w14:paraId="21F2BB2B" w14:textId="77777777" w:rsidR="0056741E" w:rsidRPr="00344951" w:rsidRDefault="003F5E0D" w:rsidP="00344951">
      <w:pPr>
        <w:pStyle w:val="NormalWeb"/>
        <w:spacing w:before="0" w:beforeAutospacing="0" w:after="200" w:afterAutospacing="0"/>
        <w:ind w:right="283" w:firstLine="709"/>
        <w:jc w:val="both"/>
        <w:rPr>
          <w:color w:val="010000"/>
        </w:rPr>
      </w:pPr>
      <w:r w:rsidRPr="00344951">
        <w:rPr>
          <w:color w:val="010000"/>
        </w:rPr>
        <w:t xml:space="preserve">27.7.1967 </w:t>
      </w:r>
      <w:r w:rsidR="0056741E" w:rsidRPr="00344951">
        <w:rPr>
          <w:color w:val="010000"/>
        </w:rPr>
        <w:t xml:space="preserve">günlü, 926 sayılı Türk </w:t>
      </w:r>
      <w:proofErr w:type="spellStart"/>
      <w:r w:rsidR="0056741E" w:rsidRPr="00344951">
        <w:rPr>
          <w:color w:val="010000"/>
        </w:rPr>
        <w:t>Sil</w:t>
      </w:r>
      <w:r w:rsidR="006B3ADF" w:rsidRPr="00344951">
        <w:rPr>
          <w:color w:val="010000"/>
        </w:rPr>
        <w:t>â</w:t>
      </w:r>
      <w:r w:rsidR="0056741E" w:rsidRPr="00344951">
        <w:rPr>
          <w:color w:val="010000"/>
        </w:rPr>
        <w:t>hlı</w:t>
      </w:r>
      <w:proofErr w:type="spellEnd"/>
      <w:r w:rsidR="0056741E" w:rsidRPr="00344951">
        <w:rPr>
          <w:color w:val="010000"/>
        </w:rPr>
        <w:t xml:space="preserve"> Kuvvetleri Personel Kanunu</w:t>
      </w:r>
      <w:r w:rsidR="009701EE" w:rsidRPr="00344951">
        <w:rPr>
          <w:color w:val="010000"/>
        </w:rPr>
        <w:t>’</w:t>
      </w:r>
      <w:r w:rsidR="0056741E" w:rsidRPr="00344951">
        <w:rPr>
          <w:color w:val="010000"/>
        </w:rPr>
        <w:t>nun Mahkemece Anayasa</w:t>
      </w:r>
      <w:r w:rsidR="009701EE" w:rsidRPr="00344951">
        <w:rPr>
          <w:color w:val="010000"/>
        </w:rPr>
        <w:t>’</w:t>
      </w:r>
      <w:r w:rsidR="0056741E" w:rsidRPr="00344951">
        <w:rPr>
          <w:color w:val="010000"/>
        </w:rPr>
        <w:t>ya aykırılığı ileri sürülen maddelerinin itirazla ilgili hükümleri aşağıdadır.</w:t>
      </w:r>
    </w:p>
    <w:p w14:paraId="78031FB5" w14:textId="77777777" w:rsidR="0056741E" w:rsidRPr="00344951" w:rsidRDefault="0056741E" w:rsidP="00344951">
      <w:pPr>
        <w:pStyle w:val="NormalWeb"/>
        <w:spacing w:before="0" w:beforeAutospacing="0" w:after="200" w:afterAutospacing="0"/>
        <w:ind w:right="283" w:firstLine="709"/>
        <w:jc w:val="both"/>
        <w:rPr>
          <w:color w:val="010000"/>
        </w:rPr>
      </w:pPr>
      <w:r w:rsidRPr="00344951">
        <w:rPr>
          <w:color w:val="010000"/>
        </w:rPr>
        <w:t xml:space="preserve">Madde 41- (Değişik:1923 – 3.7.1975) Subay kadroları aşağıdaki esaslara göre </w:t>
      </w:r>
      <w:proofErr w:type="spellStart"/>
      <w:r w:rsidRPr="00344951">
        <w:rPr>
          <w:color w:val="010000"/>
        </w:rPr>
        <w:t>tes</w:t>
      </w:r>
      <w:r w:rsidR="009701EE" w:rsidRPr="00344951">
        <w:rPr>
          <w:color w:val="010000"/>
        </w:rPr>
        <w:t>b</w:t>
      </w:r>
      <w:r w:rsidRPr="00344951">
        <w:rPr>
          <w:color w:val="010000"/>
        </w:rPr>
        <w:t>it</w:t>
      </w:r>
      <w:proofErr w:type="spellEnd"/>
      <w:r w:rsidRPr="00344951">
        <w:rPr>
          <w:color w:val="010000"/>
        </w:rPr>
        <w:t xml:space="preserve"> olunur:</w:t>
      </w:r>
    </w:p>
    <w:p w14:paraId="2AE460B6" w14:textId="77777777" w:rsidR="0056741E" w:rsidRPr="00344951" w:rsidRDefault="0056741E" w:rsidP="00344951">
      <w:pPr>
        <w:pStyle w:val="NormalWeb"/>
        <w:spacing w:before="0" w:beforeAutospacing="0" w:after="200" w:afterAutospacing="0"/>
        <w:ind w:right="283" w:firstLine="709"/>
        <w:jc w:val="both"/>
        <w:rPr>
          <w:color w:val="010000"/>
        </w:rPr>
      </w:pPr>
      <w:r w:rsidRPr="00344951">
        <w:rPr>
          <w:color w:val="010000"/>
        </w:rPr>
        <w:t xml:space="preserve">Kara, Deniz, Hava Kuvvetlerine ve Jandarma Genel Komutanlığına ait kadrolar, her yılın 30 Ağustos tarihine kadar </w:t>
      </w:r>
      <w:r w:rsidR="002522D0" w:rsidRPr="00344951">
        <w:rPr>
          <w:color w:val="010000"/>
        </w:rPr>
        <w:t>rütbe sınıf (varsa branşı</w:t>
      </w:r>
      <w:r w:rsidR="00D54AF4" w:rsidRPr="00344951">
        <w:rPr>
          <w:color w:val="010000"/>
        </w:rPr>
        <w:t>) belirtilerek</w:t>
      </w:r>
      <w:r w:rsidR="001B05E6" w:rsidRPr="00344951">
        <w:rPr>
          <w:color w:val="010000"/>
        </w:rPr>
        <w:t xml:space="preserve"> </w:t>
      </w:r>
      <w:r w:rsidR="00F71D2F" w:rsidRPr="00344951">
        <w:rPr>
          <w:color w:val="010000"/>
        </w:rPr>
        <w:t xml:space="preserve">Genelkurmay Başkanlığınca hizmet ihtiyacına göre </w:t>
      </w:r>
      <w:proofErr w:type="spellStart"/>
      <w:r w:rsidR="00F71D2F" w:rsidRPr="00344951">
        <w:rPr>
          <w:color w:val="010000"/>
        </w:rPr>
        <w:t>tesbit</w:t>
      </w:r>
      <w:proofErr w:type="spellEnd"/>
      <w:r w:rsidR="00F71D2F" w:rsidRPr="00344951">
        <w:rPr>
          <w:color w:val="010000"/>
        </w:rPr>
        <w:t xml:space="preserve"> edilir ve ilgili Kuvvete ve Jandarma Genel Komutanlığına bildirilir.</w:t>
      </w:r>
    </w:p>
    <w:p w14:paraId="165EE6A2" w14:textId="77777777" w:rsidR="00F71D2F" w:rsidRPr="00344951" w:rsidRDefault="00002C5D" w:rsidP="00344951">
      <w:pPr>
        <w:pStyle w:val="NormalWeb"/>
        <w:spacing w:before="0" w:beforeAutospacing="0" w:after="200" w:afterAutospacing="0"/>
        <w:ind w:right="283" w:firstLine="709"/>
        <w:jc w:val="both"/>
        <w:rPr>
          <w:color w:val="010000"/>
        </w:rPr>
      </w:pPr>
      <w:r w:rsidRPr="00344951">
        <w:rPr>
          <w:color w:val="010000"/>
        </w:rPr>
        <w:t xml:space="preserve"> </w:t>
      </w:r>
      <w:r w:rsidR="00F71D2F" w:rsidRPr="00344951">
        <w:rPr>
          <w:color w:val="010000"/>
        </w:rPr>
        <w:t xml:space="preserve">Madde 49- General ve amiral miktarlara aşağıdaki esaslara göre </w:t>
      </w:r>
      <w:proofErr w:type="spellStart"/>
      <w:r w:rsidR="00F71D2F" w:rsidRPr="00344951">
        <w:rPr>
          <w:color w:val="010000"/>
        </w:rPr>
        <w:t>tesbit</w:t>
      </w:r>
      <w:proofErr w:type="spellEnd"/>
      <w:r w:rsidR="00F71D2F" w:rsidRPr="00344951">
        <w:rPr>
          <w:color w:val="010000"/>
        </w:rPr>
        <w:t xml:space="preserve"> olunur:</w:t>
      </w:r>
    </w:p>
    <w:p w14:paraId="51C29763" w14:textId="77777777" w:rsidR="00F71D2F" w:rsidRPr="00344951" w:rsidRDefault="00F71D2F" w:rsidP="00344951">
      <w:pPr>
        <w:pStyle w:val="NormalWeb"/>
        <w:numPr>
          <w:ilvl w:val="0"/>
          <w:numId w:val="9"/>
        </w:numPr>
        <w:spacing w:before="0" w:beforeAutospacing="0" w:after="200" w:afterAutospacing="0"/>
        <w:ind w:left="0" w:right="283" w:firstLine="709"/>
        <w:jc w:val="both"/>
        <w:rPr>
          <w:color w:val="010000"/>
        </w:rPr>
      </w:pPr>
      <w:r w:rsidRPr="00344951">
        <w:rPr>
          <w:color w:val="010000"/>
        </w:rPr>
        <w:t xml:space="preserve">(Değişik: 1424-7.7.1971) </w:t>
      </w:r>
      <w:proofErr w:type="spellStart"/>
      <w:r w:rsidRPr="00344951">
        <w:rPr>
          <w:color w:val="010000"/>
        </w:rPr>
        <w:t>Silâhlı</w:t>
      </w:r>
      <w:proofErr w:type="spellEnd"/>
      <w:r w:rsidRPr="00344951">
        <w:rPr>
          <w:color w:val="010000"/>
        </w:rPr>
        <w:t xml:space="preserve"> Kuvvetlerde (</w:t>
      </w:r>
      <w:proofErr w:type="spellStart"/>
      <w:proofErr w:type="gramStart"/>
      <w:r w:rsidRPr="00344951">
        <w:rPr>
          <w:color w:val="010000"/>
        </w:rPr>
        <w:t>J.Gen.K</w:t>
      </w:r>
      <w:proofErr w:type="gramEnd"/>
      <w:r w:rsidRPr="00344951">
        <w:rPr>
          <w:color w:val="010000"/>
        </w:rPr>
        <w:t>.lığı</w:t>
      </w:r>
      <w:proofErr w:type="spellEnd"/>
      <w:r w:rsidRPr="00344951">
        <w:rPr>
          <w:color w:val="010000"/>
        </w:rPr>
        <w:t xml:space="preserve"> dahil) general ve amiral kadroları, </w:t>
      </w:r>
      <w:proofErr w:type="spellStart"/>
      <w:r w:rsidRPr="00344951">
        <w:rPr>
          <w:color w:val="010000"/>
        </w:rPr>
        <w:t>Silâhlı</w:t>
      </w:r>
      <w:proofErr w:type="spellEnd"/>
      <w:r w:rsidRPr="00344951">
        <w:rPr>
          <w:color w:val="010000"/>
        </w:rPr>
        <w:t xml:space="preserve"> Kuvvetlerin hizmet ihtiyacına göre Genelkurmay Başkanlığınca tespit olunur. Ancak kadro ile tespit edilecek general ve amiral </w:t>
      </w:r>
      <w:proofErr w:type="spellStart"/>
      <w:r w:rsidRPr="00344951">
        <w:rPr>
          <w:color w:val="010000"/>
        </w:rPr>
        <w:t>topalmı</w:t>
      </w:r>
      <w:proofErr w:type="spellEnd"/>
      <w:r w:rsidRPr="00344951">
        <w:rPr>
          <w:color w:val="010000"/>
        </w:rPr>
        <w:t xml:space="preserve"> sınıf mevcudu esas alınmaksızın barışta muvazzaf subay mevcudunun %1 ini geçemez.</w:t>
      </w:r>
    </w:p>
    <w:p w14:paraId="31369632" w14:textId="77777777" w:rsidR="00F71D2F" w:rsidRPr="00344951" w:rsidRDefault="00F71D2F" w:rsidP="00344951">
      <w:pPr>
        <w:pStyle w:val="NormalWeb"/>
        <w:spacing w:before="0" w:beforeAutospacing="0" w:after="200" w:afterAutospacing="0"/>
        <w:ind w:right="283" w:firstLine="709"/>
        <w:jc w:val="both"/>
        <w:rPr>
          <w:color w:val="010000"/>
        </w:rPr>
      </w:pPr>
      <w:r w:rsidRPr="00344951">
        <w:rPr>
          <w:color w:val="010000"/>
        </w:rPr>
        <w:lastRenderedPageBreak/>
        <w:t xml:space="preserve">Yüzde bir oranına göre tespit edilecek general-amiral miktarın tespit tarihinden itibaren her kuvvetin muvazzaf subay mevcudunda </w:t>
      </w:r>
      <w:proofErr w:type="gramStart"/>
      <w:r w:rsidRPr="00344951">
        <w:rPr>
          <w:color w:val="010000"/>
        </w:rPr>
        <w:t>% 6</w:t>
      </w:r>
      <w:proofErr w:type="gramEnd"/>
      <w:r w:rsidRPr="00344951">
        <w:rPr>
          <w:color w:val="010000"/>
        </w:rPr>
        <w:t xml:space="preserve">’dan fazla bir artma veya eksilme olmadıkça değiştirilemez. </w:t>
      </w:r>
      <w:proofErr w:type="gramStart"/>
      <w:r w:rsidRPr="00344951">
        <w:rPr>
          <w:color w:val="010000"/>
        </w:rPr>
        <w:t>% 6</w:t>
      </w:r>
      <w:proofErr w:type="gramEnd"/>
      <w:r w:rsidRPr="00344951">
        <w:rPr>
          <w:color w:val="010000"/>
        </w:rPr>
        <w:t>’dan fazla bir artma ve eksilme olduğu takdirde bu miktar % 6 kabul edilerek gerekli değişiklik yapılır.</w:t>
      </w:r>
    </w:p>
    <w:p w14:paraId="162CBEDA" w14:textId="77777777" w:rsidR="00F71D2F" w:rsidRPr="00344951" w:rsidRDefault="00F71D2F" w:rsidP="00344951">
      <w:pPr>
        <w:pStyle w:val="NormalWeb"/>
        <w:spacing w:before="0" w:beforeAutospacing="0" w:after="200" w:afterAutospacing="0"/>
        <w:ind w:right="283" w:firstLine="709"/>
        <w:jc w:val="both"/>
        <w:rPr>
          <w:color w:val="010000"/>
        </w:rPr>
      </w:pPr>
      <w:r w:rsidRPr="00344951">
        <w:rPr>
          <w:color w:val="010000"/>
        </w:rPr>
        <w:t>Kadrolarda gösterilen sınıf, rütbe ve miktarlar aşılamaz. Herhangi bir sebeple boşalan general-amiral kadroları müteakip 30 Ağustostan önce doldurulamaz.</w:t>
      </w:r>
    </w:p>
    <w:p w14:paraId="4DA27DFF" w14:textId="77777777" w:rsidR="00F71D2F" w:rsidRPr="00344951" w:rsidRDefault="00F71D2F" w:rsidP="00344951">
      <w:pPr>
        <w:pStyle w:val="NormalWeb"/>
        <w:spacing w:before="0" w:beforeAutospacing="0" w:after="200" w:afterAutospacing="0"/>
        <w:ind w:right="283" w:firstLine="709"/>
        <w:jc w:val="both"/>
        <w:rPr>
          <w:color w:val="010000"/>
        </w:rPr>
      </w:pPr>
      <w:r w:rsidRPr="00344951">
        <w:rPr>
          <w:color w:val="010000"/>
        </w:rPr>
        <w:t xml:space="preserve">Kuvvet komutanlıklarınca ve Jandarma Genel Komutanlığınca ancak teşkilât değişikliği ve hizmet </w:t>
      </w:r>
      <w:r w:rsidR="003B60B9" w:rsidRPr="00344951">
        <w:rPr>
          <w:color w:val="010000"/>
        </w:rPr>
        <w:t>zaruretleri dolayısıyla bu karolarda değişiklik teklif olunabilir.</w:t>
      </w:r>
    </w:p>
    <w:p w14:paraId="6DC88071" w14:textId="77777777" w:rsidR="003B60B9" w:rsidRPr="00344951" w:rsidRDefault="003B60B9" w:rsidP="00344951">
      <w:pPr>
        <w:pStyle w:val="NormalWeb"/>
        <w:spacing w:before="0" w:beforeAutospacing="0" w:after="200" w:afterAutospacing="0"/>
        <w:ind w:right="283" w:firstLine="709"/>
        <w:jc w:val="both"/>
        <w:rPr>
          <w:color w:val="010000"/>
        </w:rPr>
      </w:pPr>
      <w:r w:rsidRPr="00344951">
        <w:rPr>
          <w:color w:val="010000"/>
        </w:rPr>
        <w:t>Bu teklifler, Yüksek Askeri Şuranın mütalaası alınmak suretiyle Genelkurmay Başkanlığınca sonuçlandırılır.</w:t>
      </w:r>
    </w:p>
    <w:p w14:paraId="3FF462F7" w14:textId="77777777" w:rsidR="003B60B9" w:rsidRPr="00344951" w:rsidRDefault="00E165A0" w:rsidP="00344951">
      <w:pPr>
        <w:pStyle w:val="NormalWeb"/>
        <w:spacing w:before="0" w:beforeAutospacing="0" w:after="200" w:afterAutospacing="0"/>
        <w:ind w:right="283" w:firstLine="709"/>
        <w:jc w:val="both"/>
        <w:rPr>
          <w:color w:val="010000"/>
        </w:rPr>
      </w:pPr>
      <w:r w:rsidRPr="00344951">
        <w:rPr>
          <w:color w:val="010000"/>
        </w:rPr>
        <w:t xml:space="preserve">(Ek: 1923- 3.7.1975) Ancak; 41 inci madde esaslarına göre o yıl için hizmet ihtiyacı esas alınmak üzere saptanmış general ve amiral kadrolarında hizmet yılı içinde ölüm ve emeklilik nedenleriyle boşalacak veya yeni teşkil sebebiyle açılacak olan kadro görev yerlerinde görevlendirilmek </w:t>
      </w:r>
      <w:proofErr w:type="spellStart"/>
      <w:r w:rsidRPr="00344951">
        <w:rPr>
          <w:color w:val="010000"/>
        </w:rPr>
        <w:t>amaciyle</w:t>
      </w:r>
      <w:proofErr w:type="spellEnd"/>
      <w:r w:rsidRPr="00344951">
        <w:rPr>
          <w:color w:val="010000"/>
        </w:rPr>
        <w:t xml:space="preserve"> tuğgeneral-tuğamiral ile tümgeneral-tümamiral, korgeneral-koramiral türbelerinde olmak ve % 1 oran dışında tutulmak üzere, ihtiyaç halinde Genelkurmay Başkanı tarafından gösterilecek lüzum üzerine, 54 üncü madde esaslarına göre 5 general – amiral fazladan terfi ettirilebilir.</w:t>
      </w:r>
      <w:r w:rsidR="00BF20B5" w:rsidRPr="00344951">
        <w:rPr>
          <w:color w:val="010000"/>
        </w:rPr>
        <w:t xml:space="preserve"> Bunlar boşalacak zorunlu görevlere devredilme k üzere Genelkurmay Teftiş Kurulundaki genel müfettişliklere atanırlar. Şu kadar ki, barışta genel müfettişlik kadrolarına verilen Tuğgeneral-Tuğamiral ile Tümgeneral-Tümamiral ve Korgeneral-Koramiral toplam miktarı hiçbir zaman 5’i geçemez.</w:t>
      </w:r>
    </w:p>
    <w:p w14:paraId="1D857792" w14:textId="77777777" w:rsidR="00BF20B5" w:rsidRPr="00344951" w:rsidRDefault="00BF20B5" w:rsidP="00344951">
      <w:pPr>
        <w:pStyle w:val="NormalWeb"/>
        <w:numPr>
          <w:ilvl w:val="0"/>
          <w:numId w:val="9"/>
        </w:numPr>
        <w:spacing w:before="0" w:beforeAutospacing="0" w:after="200" w:afterAutospacing="0"/>
        <w:ind w:left="0" w:right="283" w:firstLine="709"/>
        <w:jc w:val="both"/>
        <w:rPr>
          <w:color w:val="010000"/>
        </w:rPr>
      </w:pPr>
      <w:r w:rsidRPr="00344951">
        <w:rPr>
          <w:color w:val="010000"/>
        </w:rPr>
        <w:t>(Değişik: 1923- 3.7.1975) (a) bendine göre saptanan general ve amiral mevcutlarının muhtelif rütbelere dağılış oranları üç kuvvet (Jandarma dahil) için aşağıdaki cetvelde gösterilmiştir. Kadrolar bu oranları aşmayacak şekilde saptanır.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701"/>
        <w:gridCol w:w="2326"/>
        <w:gridCol w:w="2330"/>
      </w:tblGrid>
      <w:tr w:rsidR="00BF20B5" w:rsidRPr="00344951" w14:paraId="5BA0273E" w14:textId="77777777" w:rsidTr="00344951">
        <w:trPr>
          <w:jc w:val="center"/>
        </w:trPr>
        <w:tc>
          <w:tcPr>
            <w:tcW w:w="1238" w:type="pct"/>
            <w:vAlign w:val="center"/>
          </w:tcPr>
          <w:p w14:paraId="2448EDB7"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Rütbeler</w:t>
            </w:r>
          </w:p>
        </w:tc>
        <w:tc>
          <w:tcPr>
            <w:tcW w:w="1381" w:type="pct"/>
            <w:vAlign w:val="center"/>
          </w:tcPr>
          <w:p w14:paraId="1CD43882"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K.K.K.(</w:t>
            </w:r>
            <w:proofErr w:type="spellStart"/>
            <w:proofErr w:type="gramStart"/>
            <w:r w:rsidRPr="00344951">
              <w:rPr>
                <w:rFonts w:ascii="Times New Roman" w:eastAsia="Times New Roman" w:hAnsi="Times New Roman" w:cs="Times New Roman"/>
                <w:color w:val="010000"/>
                <w:lang w:bidi="ar-SA"/>
              </w:rPr>
              <w:t>J.dahil</w:t>
            </w:r>
            <w:proofErr w:type="spellEnd"/>
            <w:proofErr w:type="gramEnd"/>
            <w:r w:rsidRPr="00344951">
              <w:rPr>
                <w:rFonts w:ascii="Times New Roman" w:eastAsia="Times New Roman" w:hAnsi="Times New Roman" w:cs="Times New Roman"/>
                <w:color w:val="010000"/>
                <w:lang w:bidi="ar-SA"/>
              </w:rPr>
              <w:t>)</w:t>
            </w:r>
          </w:p>
          <w:p w14:paraId="1488A174"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w:t>
            </w:r>
          </w:p>
        </w:tc>
        <w:tc>
          <w:tcPr>
            <w:tcW w:w="1189" w:type="pct"/>
            <w:vAlign w:val="center"/>
          </w:tcPr>
          <w:p w14:paraId="58A6AAE4"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roofErr w:type="spellStart"/>
            <w:r w:rsidRPr="00344951">
              <w:rPr>
                <w:rFonts w:ascii="Times New Roman" w:eastAsia="Times New Roman" w:hAnsi="Times New Roman" w:cs="Times New Roman"/>
                <w:color w:val="010000"/>
                <w:lang w:bidi="ar-SA"/>
              </w:rPr>
              <w:t>Dz.K.K</w:t>
            </w:r>
            <w:proofErr w:type="spellEnd"/>
            <w:r w:rsidRPr="00344951">
              <w:rPr>
                <w:rFonts w:ascii="Times New Roman" w:eastAsia="Times New Roman" w:hAnsi="Times New Roman" w:cs="Times New Roman"/>
                <w:color w:val="010000"/>
                <w:lang w:bidi="ar-SA"/>
              </w:rPr>
              <w:t>.</w:t>
            </w:r>
          </w:p>
          <w:p w14:paraId="0CF6DF2C"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w:t>
            </w:r>
          </w:p>
        </w:tc>
        <w:tc>
          <w:tcPr>
            <w:tcW w:w="1191" w:type="pct"/>
            <w:vAlign w:val="center"/>
          </w:tcPr>
          <w:p w14:paraId="75DC5580"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roofErr w:type="spellStart"/>
            <w:r w:rsidRPr="00344951">
              <w:rPr>
                <w:rFonts w:ascii="Times New Roman" w:eastAsia="Times New Roman" w:hAnsi="Times New Roman" w:cs="Times New Roman"/>
                <w:color w:val="010000"/>
                <w:lang w:bidi="ar-SA"/>
              </w:rPr>
              <w:t>Hv.K.K</w:t>
            </w:r>
            <w:proofErr w:type="spellEnd"/>
            <w:r w:rsidRPr="00344951">
              <w:rPr>
                <w:rFonts w:ascii="Times New Roman" w:eastAsia="Times New Roman" w:hAnsi="Times New Roman" w:cs="Times New Roman"/>
                <w:color w:val="010000"/>
                <w:lang w:bidi="ar-SA"/>
              </w:rPr>
              <w:t>.</w:t>
            </w:r>
          </w:p>
          <w:p w14:paraId="20C90A62"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w:t>
            </w:r>
          </w:p>
        </w:tc>
      </w:tr>
      <w:tr w:rsidR="00BF20B5" w:rsidRPr="00344951" w14:paraId="31FA85DC" w14:textId="77777777" w:rsidTr="00344951">
        <w:trPr>
          <w:trHeight w:val="397"/>
          <w:jc w:val="center"/>
        </w:trPr>
        <w:tc>
          <w:tcPr>
            <w:tcW w:w="1238" w:type="pct"/>
            <w:vAlign w:val="center"/>
          </w:tcPr>
          <w:p w14:paraId="2A0E66F7"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Orgeneral</w:t>
            </w:r>
          </w:p>
        </w:tc>
        <w:tc>
          <w:tcPr>
            <w:tcW w:w="1381" w:type="pct"/>
            <w:vAlign w:val="center"/>
          </w:tcPr>
          <w:p w14:paraId="0590EBB9"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5,2</w:t>
            </w:r>
          </w:p>
        </w:tc>
        <w:tc>
          <w:tcPr>
            <w:tcW w:w="1189" w:type="pct"/>
            <w:vAlign w:val="center"/>
          </w:tcPr>
          <w:p w14:paraId="23AFD174"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7</w:t>
            </w:r>
          </w:p>
        </w:tc>
        <w:tc>
          <w:tcPr>
            <w:tcW w:w="1191" w:type="pct"/>
            <w:vAlign w:val="center"/>
          </w:tcPr>
          <w:p w14:paraId="2B03204A"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4</w:t>
            </w:r>
          </w:p>
        </w:tc>
      </w:tr>
      <w:tr w:rsidR="00BF20B5" w:rsidRPr="00344951" w14:paraId="796DE6D6" w14:textId="77777777" w:rsidTr="00344951">
        <w:trPr>
          <w:trHeight w:val="397"/>
          <w:jc w:val="center"/>
        </w:trPr>
        <w:tc>
          <w:tcPr>
            <w:tcW w:w="1238" w:type="pct"/>
            <w:vAlign w:val="center"/>
          </w:tcPr>
          <w:p w14:paraId="72EE0DA1"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Oramiral</w:t>
            </w:r>
          </w:p>
        </w:tc>
        <w:tc>
          <w:tcPr>
            <w:tcW w:w="1381" w:type="pct"/>
            <w:vAlign w:val="center"/>
          </w:tcPr>
          <w:p w14:paraId="318DC8FC"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89" w:type="pct"/>
            <w:vAlign w:val="center"/>
          </w:tcPr>
          <w:p w14:paraId="276429D0"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91" w:type="pct"/>
            <w:vAlign w:val="center"/>
          </w:tcPr>
          <w:p w14:paraId="48A4E83A"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r>
      <w:tr w:rsidR="00BF20B5" w:rsidRPr="00344951" w14:paraId="2C8AD7D4" w14:textId="77777777" w:rsidTr="00344951">
        <w:trPr>
          <w:trHeight w:val="397"/>
          <w:jc w:val="center"/>
        </w:trPr>
        <w:tc>
          <w:tcPr>
            <w:tcW w:w="1238" w:type="pct"/>
            <w:vAlign w:val="center"/>
          </w:tcPr>
          <w:p w14:paraId="083DA3EB"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Korgeneral</w:t>
            </w:r>
          </w:p>
        </w:tc>
        <w:tc>
          <w:tcPr>
            <w:tcW w:w="1381" w:type="pct"/>
            <w:vAlign w:val="center"/>
          </w:tcPr>
          <w:p w14:paraId="3FC631BB"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13,3</w:t>
            </w:r>
          </w:p>
        </w:tc>
        <w:tc>
          <w:tcPr>
            <w:tcW w:w="1189" w:type="pct"/>
            <w:vAlign w:val="center"/>
          </w:tcPr>
          <w:p w14:paraId="316EB817"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13</w:t>
            </w:r>
          </w:p>
        </w:tc>
        <w:tc>
          <w:tcPr>
            <w:tcW w:w="1191" w:type="pct"/>
            <w:vAlign w:val="center"/>
          </w:tcPr>
          <w:p w14:paraId="7F990612"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16</w:t>
            </w:r>
          </w:p>
        </w:tc>
      </w:tr>
      <w:tr w:rsidR="00BF20B5" w:rsidRPr="00344951" w14:paraId="6E9752E8" w14:textId="77777777" w:rsidTr="00344951">
        <w:trPr>
          <w:trHeight w:val="397"/>
          <w:jc w:val="center"/>
        </w:trPr>
        <w:tc>
          <w:tcPr>
            <w:tcW w:w="1238" w:type="pct"/>
            <w:vAlign w:val="center"/>
          </w:tcPr>
          <w:p w14:paraId="65869A15"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Koramiral</w:t>
            </w:r>
          </w:p>
        </w:tc>
        <w:tc>
          <w:tcPr>
            <w:tcW w:w="1381" w:type="pct"/>
            <w:vAlign w:val="center"/>
          </w:tcPr>
          <w:p w14:paraId="77D20F10"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89" w:type="pct"/>
            <w:vAlign w:val="center"/>
          </w:tcPr>
          <w:p w14:paraId="5098C72E"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91" w:type="pct"/>
            <w:vAlign w:val="center"/>
          </w:tcPr>
          <w:p w14:paraId="101E1EFC"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r>
      <w:tr w:rsidR="00BF20B5" w:rsidRPr="00344951" w14:paraId="7D408377" w14:textId="77777777" w:rsidTr="00344951">
        <w:trPr>
          <w:trHeight w:val="397"/>
          <w:jc w:val="center"/>
        </w:trPr>
        <w:tc>
          <w:tcPr>
            <w:tcW w:w="1238" w:type="pct"/>
            <w:vAlign w:val="center"/>
          </w:tcPr>
          <w:p w14:paraId="3E547250"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Tümgeneral</w:t>
            </w:r>
          </w:p>
        </w:tc>
        <w:tc>
          <w:tcPr>
            <w:tcW w:w="1381" w:type="pct"/>
            <w:vAlign w:val="center"/>
          </w:tcPr>
          <w:p w14:paraId="48B22D6C"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28,2</w:t>
            </w:r>
          </w:p>
        </w:tc>
        <w:tc>
          <w:tcPr>
            <w:tcW w:w="1189" w:type="pct"/>
            <w:vAlign w:val="center"/>
          </w:tcPr>
          <w:p w14:paraId="76855136"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27</w:t>
            </w:r>
          </w:p>
        </w:tc>
        <w:tc>
          <w:tcPr>
            <w:tcW w:w="1191" w:type="pct"/>
            <w:vAlign w:val="center"/>
          </w:tcPr>
          <w:p w14:paraId="738981AB"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24</w:t>
            </w:r>
          </w:p>
        </w:tc>
      </w:tr>
      <w:tr w:rsidR="00BF20B5" w:rsidRPr="00344951" w14:paraId="2A3184BF" w14:textId="77777777" w:rsidTr="00344951">
        <w:trPr>
          <w:trHeight w:val="397"/>
          <w:jc w:val="center"/>
        </w:trPr>
        <w:tc>
          <w:tcPr>
            <w:tcW w:w="1238" w:type="pct"/>
            <w:vAlign w:val="center"/>
          </w:tcPr>
          <w:p w14:paraId="2F00604C"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Tümamiral</w:t>
            </w:r>
          </w:p>
        </w:tc>
        <w:tc>
          <w:tcPr>
            <w:tcW w:w="1381" w:type="pct"/>
            <w:vAlign w:val="center"/>
          </w:tcPr>
          <w:p w14:paraId="3C7B0506"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89" w:type="pct"/>
            <w:vAlign w:val="center"/>
          </w:tcPr>
          <w:p w14:paraId="567C809C"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91" w:type="pct"/>
            <w:vAlign w:val="center"/>
          </w:tcPr>
          <w:p w14:paraId="015EBAD1"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r>
      <w:tr w:rsidR="00BF20B5" w:rsidRPr="00344951" w14:paraId="7F1E91D5" w14:textId="77777777" w:rsidTr="00344951">
        <w:trPr>
          <w:trHeight w:val="397"/>
          <w:jc w:val="center"/>
        </w:trPr>
        <w:tc>
          <w:tcPr>
            <w:tcW w:w="1238" w:type="pct"/>
            <w:vAlign w:val="center"/>
          </w:tcPr>
          <w:p w14:paraId="48BE5C4B"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Tuğgeneral</w:t>
            </w:r>
          </w:p>
        </w:tc>
        <w:tc>
          <w:tcPr>
            <w:tcW w:w="1381" w:type="pct"/>
            <w:vAlign w:val="center"/>
          </w:tcPr>
          <w:p w14:paraId="49E78479"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53,3</w:t>
            </w:r>
          </w:p>
        </w:tc>
        <w:tc>
          <w:tcPr>
            <w:tcW w:w="1189" w:type="pct"/>
            <w:vAlign w:val="center"/>
          </w:tcPr>
          <w:p w14:paraId="51D1E23C"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53</w:t>
            </w:r>
          </w:p>
        </w:tc>
        <w:tc>
          <w:tcPr>
            <w:tcW w:w="1191" w:type="pct"/>
            <w:vAlign w:val="center"/>
          </w:tcPr>
          <w:p w14:paraId="7BE0EE30"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56</w:t>
            </w:r>
          </w:p>
        </w:tc>
      </w:tr>
      <w:tr w:rsidR="00BF20B5" w:rsidRPr="00344951" w14:paraId="5C5FDA43" w14:textId="77777777" w:rsidTr="00344951">
        <w:trPr>
          <w:trHeight w:val="397"/>
          <w:jc w:val="center"/>
        </w:trPr>
        <w:tc>
          <w:tcPr>
            <w:tcW w:w="1238" w:type="pct"/>
            <w:vAlign w:val="center"/>
          </w:tcPr>
          <w:p w14:paraId="52CD95E2" w14:textId="77777777" w:rsidR="00BF20B5" w:rsidRPr="00344951" w:rsidRDefault="00BF20B5"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Tuğamiral</w:t>
            </w:r>
          </w:p>
        </w:tc>
        <w:tc>
          <w:tcPr>
            <w:tcW w:w="1381" w:type="pct"/>
            <w:vAlign w:val="center"/>
          </w:tcPr>
          <w:p w14:paraId="33FBE288"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89" w:type="pct"/>
            <w:vAlign w:val="center"/>
          </w:tcPr>
          <w:p w14:paraId="612E56AB"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c>
          <w:tcPr>
            <w:tcW w:w="1191" w:type="pct"/>
            <w:vAlign w:val="center"/>
          </w:tcPr>
          <w:p w14:paraId="49BFC11A" w14:textId="77777777" w:rsidR="00BF20B5" w:rsidRPr="00344951" w:rsidRDefault="00BF20B5" w:rsidP="00344951">
            <w:pPr>
              <w:widowControl/>
              <w:spacing w:after="120"/>
              <w:jc w:val="center"/>
              <w:rPr>
                <w:rFonts w:ascii="Times New Roman" w:eastAsia="Times New Roman" w:hAnsi="Times New Roman" w:cs="Times New Roman"/>
                <w:color w:val="010000"/>
                <w:lang w:bidi="ar-SA"/>
              </w:rPr>
            </w:pPr>
          </w:p>
        </w:tc>
      </w:tr>
    </w:tbl>
    <w:p w14:paraId="644511AE" w14:textId="77777777" w:rsidR="00344951" w:rsidRDefault="00344951" w:rsidP="00344951">
      <w:pPr>
        <w:pStyle w:val="NormalWeb"/>
        <w:spacing w:before="0" w:beforeAutospacing="0" w:after="200" w:afterAutospacing="0"/>
        <w:ind w:right="283" w:firstLine="709"/>
        <w:jc w:val="both"/>
        <w:rPr>
          <w:color w:val="010000"/>
        </w:rPr>
      </w:pPr>
    </w:p>
    <w:p w14:paraId="48C43C24" w14:textId="77777777" w:rsidR="00BF20B5" w:rsidRPr="00344951" w:rsidRDefault="008707F6" w:rsidP="00344951">
      <w:pPr>
        <w:pStyle w:val="NormalWeb"/>
        <w:spacing w:before="0" w:beforeAutospacing="0" w:after="200" w:afterAutospacing="0"/>
        <w:ind w:right="283" w:firstLine="709"/>
        <w:jc w:val="both"/>
        <w:rPr>
          <w:color w:val="010000"/>
        </w:rPr>
      </w:pPr>
      <w:r w:rsidRPr="00344951">
        <w:rPr>
          <w:color w:val="010000"/>
        </w:rPr>
        <w:t xml:space="preserve">Madde 54- (Değişik: 1424- 7.7.1971) Yüksek Askeri Şura, kuvvetlerden ve </w:t>
      </w:r>
      <w:proofErr w:type="spellStart"/>
      <w:r w:rsidRPr="00344951">
        <w:rPr>
          <w:color w:val="010000"/>
        </w:rPr>
        <w:t>J.Gn.</w:t>
      </w:r>
      <w:proofErr w:type="gramStart"/>
      <w:r w:rsidRPr="00344951">
        <w:rPr>
          <w:color w:val="010000"/>
        </w:rPr>
        <w:t>K.lığından</w:t>
      </w:r>
      <w:proofErr w:type="spellEnd"/>
      <w:proofErr w:type="gramEnd"/>
      <w:r w:rsidRPr="00344951">
        <w:rPr>
          <w:color w:val="010000"/>
        </w:rPr>
        <w:t xml:space="preserve"> 38 inci madde (b) bendi gereğince gönderilen albaylar ile terfi sırasındaki general ve amirallerin şahsi dosyalarını ve rütbedeki sicil belgelerini (Albayların teğmenlikten itibaren, general ve amirallerin generallik ve amirallik rütbelerindeki sicil belgelerini) inceleyerek Subay Sicil Yönetmeliğinde gösterilen esaslara göre değerlendirme notu veriri. Sicil notu ortalaması ile değerlendirme notu toplamı yeterlik notu olarak tespit edilir ve en üstün yeterlik notu alanlardan </w:t>
      </w:r>
      <w:r w:rsidRPr="00344951">
        <w:rPr>
          <w:color w:val="010000"/>
        </w:rPr>
        <w:lastRenderedPageBreak/>
        <w:t>başlamak üzere bir yeterlik sıralaması yapılır. Yeterlik notu en yüksek olanlardan itibaren kadro ihtiyacı kadar albay, general ve amiral bir üst rütbeye terfi ettirilir.</w:t>
      </w:r>
    </w:p>
    <w:p w14:paraId="2B441B8E" w14:textId="77777777" w:rsidR="008707F6" w:rsidRPr="00344951" w:rsidRDefault="00002C5D" w:rsidP="00344951">
      <w:pPr>
        <w:pStyle w:val="NormalWeb"/>
        <w:spacing w:before="0" w:beforeAutospacing="0" w:after="200" w:afterAutospacing="0"/>
        <w:ind w:right="283" w:firstLine="709"/>
        <w:jc w:val="both"/>
        <w:rPr>
          <w:color w:val="010000"/>
        </w:rPr>
      </w:pPr>
      <w:r w:rsidRPr="00344951">
        <w:rPr>
          <w:color w:val="010000"/>
        </w:rPr>
        <w:t xml:space="preserve"> </w:t>
      </w:r>
      <w:r w:rsidR="008707F6" w:rsidRPr="00344951">
        <w:rPr>
          <w:color w:val="010000"/>
        </w:rPr>
        <w:t xml:space="preserve">(Değişik: 1923- 3.7.1975) Ancak, bir üst rütbeye yükselecek Tümgeneral-Tümamiral ile Korgeneral-Koramiral sayısı, yükselecekleri rütbenin 1 inci yıl kontenjanına eşit veya az ise, bunların üst rütbeye </w:t>
      </w:r>
      <w:proofErr w:type="spellStart"/>
      <w:r w:rsidR="008707F6" w:rsidRPr="00344951">
        <w:rPr>
          <w:color w:val="010000"/>
        </w:rPr>
        <w:t>yükeltilme</w:t>
      </w:r>
      <w:proofErr w:type="spellEnd"/>
      <w:r w:rsidR="008707F6" w:rsidRPr="00344951">
        <w:rPr>
          <w:color w:val="010000"/>
        </w:rPr>
        <w:t xml:space="preserve"> durumları Yüksek </w:t>
      </w:r>
      <w:proofErr w:type="gramStart"/>
      <w:r w:rsidR="008707F6" w:rsidRPr="00344951">
        <w:rPr>
          <w:color w:val="010000"/>
        </w:rPr>
        <w:t>Askeri</w:t>
      </w:r>
      <w:proofErr w:type="gramEnd"/>
      <w:r w:rsidR="008707F6" w:rsidRPr="00344951">
        <w:rPr>
          <w:color w:val="010000"/>
        </w:rPr>
        <w:t xml:space="preserve"> Şura Üyelerinin üçte ikisinin kabulüne bağlıdır.</w:t>
      </w:r>
    </w:p>
    <w:p w14:paraId="6EE1CE54" w14:textId="77777777" w:rsidR="008707F6" w:rsidRPr="00344951" w:rsidRDefault="00002C5D" w:rsidP="00344951">
      <w:pPr>
        <w:pStyle w:val="NormalWeb"/>
        <w:spacing w:before="0" w:beforeAutospacing="0" w:after="200" w:afterAutospacing="0"/>
        <w:ind w:right="283" w:firstLine="709"/>
        <w:jc w:val="both"/>
        <w:rPr>
          <w:color w:val="010000"/>
        </w:rPr>
      </w:pPr>
      <w:r w:rsidRPr="00344951">
        <w:rPr>
          <w:color w:val="010000"/>
        </w:rPr>
        <w:t xml:space="preserve"> </w:t>
      </w:r>
      <w:r w:rsidR="008707F6" w:rsidRPr="00344951">
        <w:rPr>
          <w:color w:val="010000"/>
        </w:rPr>
        <w:t>(Ek: 1923- 3.7.1975) Savaş hali ilânından itibaren bu kanunla öngörülen Yüksek Askeri Şuraya ait görev ve yetkiler genelkurmay Başkanına intikal eder.</w:t>
      </w:r>
    </w:p>
    <w:p w14:paraId="67B5721C" w14:textId="77777777" w:rsidR="008707F6" w:rsidRPr="00344951" w:rsidRDefault="00002C5D" w:rsidP="00344951">
      <w:pPr>
        <w:pStyle w:val="NormalWeb"/>
        <w:spacing w:before="0" w:beforeAutospacing="0" w:after="200" w:afterAutospacing="0"/>
        <w:ind w:right="283" w:firstLine="709"/>
        <w:jc w:val="both"/>
        <w:rPr>
          <w:color w:val="010000"/>
        </w:rPr>
      </w:pPr>
      <w:r w:rsidRPr="00344951">
        <w:rPr>
          <w:color w:val="010000"/>
        </w:rPr>
        <w:t xml:space="preserve"> </w:t>
      </w:r>
      <w:r w:rsidR="005C0B6C" w:rsidRPr="00344951">
        <w:rPr>
          <w:color w:val="010000"/>
        </w:rPr>
        <w:t xml:space="preserve">EK GEÇİCİ MADDE 14- (Ek: 1424- 7.7.1971) Bu kanunun yürürlüğe girdiği tarihte Türk Silahlı Kuvvetlerinde mevcut general ve amiral miktarı, 30.8.1971 tarihinden 30.8.1974 tarihine kadar </w:t>
      </w:r>
      <w:proofErr w:type="gramStart"/>
      <w:r w:rsidR="005C0B6C" w:rsidRPr="00344951">
        <w:rPr>
          <w:color w:val="010000"/>
        </w:rPr>
        <w:t>% 1,2</w:t>
      </w:r>
      <w:proofErr w:type="gramEnd"/>
      <w:r w:rsidR="005C0B6C" w:rsidRPr="00344951">
        <w:rPr>
          <w:color w:val="010000"/>
        </w:rPr>
        <w:t xml:space="preserve"> oranına, sonraki 4 yılda </w:t>
      </w:r>
      <w:r w:rsidR="00C82C48" w:rsidRPr="00344951">
        <w:rPr>
          <w:color w:val="010000"/>
        </w:rPr>
        <w:t>49 uncu maddede belirtilen % 1 oranına aşağıda gösterilen esaslar içirişinde indirilir.</w:t>
      </w:r>
    </w:p>
    <w:p w14:paraId="36E79748" w14:textId="77777777" w:rsidR="00C82C48" w:rsidRPr="00344951" w:rsidRDefault="00C82C48" w:rsidP="00344951">
      <w:pPr>
        <w:pStyle w:val="NormalWeb"/>
        <w:numPr>
          <w:ilvl w:val="0"/>
          <w:numId w:val="10"/>
        </w:numPr>
        <w:spacing w:before="0" w:beforeAutospacing="0" w:after="200" w:afterAutospacing="0"/>
        <w:ind w:left="0" w:right="283" w:firstLine="709"/>
        <w:jc w:val="both"/>
        <w:rPr>
          <w:color w:val="010000"/>
        </w:rPr>
      </w:pPr>
      <w:r w:rsidRPr="00344951">
        <w:rPr>
          <w:color w:val="010000"/>
        </w:rPr>
        <w:t xml:space="preserve">30.8.1971 tarihinden 30.8.1974 tarihine kadar uygulanacak </w:t>
      </w:r>
      <w:proofErr w:type="gramStart"/>
      <w:r w:rsidRPr="00344951">
        <w:rPr>
          <w:color w:val="010000"/>
        </w:rPr>
        <w:t>% 1,2</w:t>
      </w:r>
      <w:proofErr w:type="gramEnd"/>
      <w:r w:rsidRPr="00344951">
        <w:rPr>
          <w:color w:val="010000"/>
        </w:rPr>
        <w:t xml:space="preserve"> oranına göre tespit edilen general ve amiral mevcutlarının muhtelif rütbelere dağılış oranları 3 kuvvet (Jandarma dahil) için aşağıdaki cetvelde gösterilmiştir:</w:t>
      </w:r>
      <w:bookmarkStart w:id="0" w:name="_GoBack"/>
      <w:bookmarkEnd w:id="0"/>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2824"/>
        <w:gridCol w:w="2177"/>
        <w:gridCol w:w="2191"/>
      </w:tblGrid>
      <w:tr w:rsidR="00C82C48" w:rsidRPr="00344951" w14:paraId="2EBE5574" w14:textId="77777777" w:rsidTr="00344951">
        <w:trPr>
          <w:jc w:val="center"/>
        </w:trPr>
        <w:tc>
          <w:tcPr>
            <w:tcW w:w="1323" w:type="pct"/>
            <w:vAlign w:val="center"/>
          </w:tcPr>
          <w:p w14:paraId="6DA36957"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Rütbeler</w:t>
            </w:r>
          </w:p>
        </w:tc>
        <w:tc>
          <w:tcPr>
            <w:tcW w:w="1444" w:type="pct"/>
            <w:vAlign w:val="center"/>
          </w:tcPr>
          <w:p w14:paraId="310D13AF"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K.K.K.(</w:t>
            </w:r>
            <w:proofErr w:type="spellStart"/>
            <w:proofErr w:type="gramStart"/>
            <w:r w:rsidRPr="00344951">
              <w:rPr>
                <w:rFonts w:ascii="Times New Roman" w:eastAsia="Times New Roman" w:hAnsi="Times New Roman" w:cs="Times New Roman"/>
                <w:color w:val="010000"/>
                <w:lang w:bidi="ar-SA"/>
              </w:rPr>
              <w:t>J.dahil</w:t>
            </w:r>
            <w:proofErr w:type="spellEnd"/>
            <w:proofErr w:type="gramEnd"/>
            <w:r w:rsidRPr="00344951">
              <w:rPr>
                <w:rFonts w:ascii="Times New Roman" w:eastAsia="Times New Roman" w:hAnsi="Times New Roman" w:cs="Times New Roman"/>
                <w:color w:val="010000"/>
                <w:lang w:bidi="ar-SA"/>
              </w:rPr>
              <w:t>)</w:t>
            </w:r>
          </w:p>
          <w:p w14:paraId="5DB8FBC3"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w:t>
            </w:r>
          </w:p>
        </w:tc>
        <w:tc>
          <w:tcPr>
            <w:tcW w:w="1113" w:type="pct"/>
            <w:vAlign w:val="center"/>
          </w:tcPr>
          <w:p w14:paraId="1C9F43DB"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proofErr w:type="spellStart"/>
            <w:r w:rsidRPr="00344951">
              <w:rPr>
                <w:rFonts w:ascii="Times New Roman" w:eastAsia="Times New Roman" w:hAnsi="Times New Roman" w:cs="Times New Roman"/>
                <w:color w:val="010000"/>
                <w:lang w:bidi="ar-SA"/>
              </w:rPr>
              <w:t>Dz.K.K</w:t>
            </w:r>
            <w:proofErr w:type="spellEnd"/>
            <w:r w:rsidRPr="00344951">
              <w:rPr>
                <w:rFonts w:ascii="Times New Roman" w:eastAsia="Times New Roman" w:hAnsi="Times New Roman" w:cs="Times New Roman"/>
                <w:color w:val="010000"/>
                <w:lang w:bidi="ar-SA"/>
              </w:rPr>
              <w:t>.</w:t>
            </w:r>
          </w:p>
          <w:p w14:paraId="24FADE22"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w:t>
            </w:r>
          </w:p>
        </w:tc>
        <w:tc>
          <w:tcPr>
            <w:tcW w:w="1120" w:type="pct"/>
            <w:vAlign w:val="center"/>
          </w:tcPr>
          <w:p w14:paraId="47289352"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proofErr w:type="spellStart"/>
            <w:r w:rsidRPr="00344951">
              <w:rPr>
                <w:rFonts w:ascii="Times New Roman" w:eastAsia="Times New Roman" w:hAnsi="Times New Roman" w:cs="Times New Roman"/>
                <w:color w:val="010000"/>
                <w:lang w:bidi="ar-SA"/>
              </w:rPr>
              <w:t>Hv.K.K</w:t>
            </w:r>
            <w:proofErr w:type="spellEnd"/>
            <w:r w:rsidRPr="00344951">
              <w:rPr>
                <w:rFonts w:ascii="Times New Roman" w:eastAsia="Times New Roman" w:hAnsi="Times New Roman" w:cs="Times New Roman"/>
                <w:color w:val="010000"/>
                <w:lang w:bidi="ar-SA"/>
              </w:rPr>
              <w:t>.</w:t>
            </w:r>
          </w:p>
          <w:p w14:paraId="7AA889E0"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w:t>
            </w:r>
          </w:p>
        </w:tc>
      </w:tr>
      <w:tr w:rsidR="00C82C48" w:rsidRPr="00344951" w14:paraId="19C0E06D" w14:textId="77777777" w:rsidTr="00344951">
        <w:trPr>
          <w:trHeight w:val="397"/>
          <w:jc w:val="center"/>
        </w:trPr>
        <w:tc>
          <w:tcPr>
            <w:tcW w:w="1323" w:type="pct"/>
            <w:vAlign w:val="center"/>
          </w:tcPr>
          <w:p w14:paraId="56E11F60" w14:textId="77777777" w:rsidR="00C82C48" w:rsidRPr="00344951" w:rsidRDefault="00C82C48"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Orgeneral-Oramiral</w:t>
            </w:r>
          </w:p>
        </w:tc>
        <w:tc>
          <w:tcPr>
            <w:tcW w:w="1444" w:type="pct"/>
            <w:vAlign w:val="center"/>
          </w:tcPr>
          <w:p w14:paraId="157D96B8"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6</w:t>
            </w:r>
          </w:p>
        </w:tc>
        <w:tc>
          <w:tcPr>
            <w:tcW w:w="1113" w:type="pct"/>
            <w:vAlign w:val="center"/>
          </w:tcPr>
          <w:p w14:paraId="0E0BD974"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7</w:t>
            </w:r>
          </w:p>
        </w:tc>
        <w:tc>
          <w:tcPr>
            <w:tcW w:w="1120" w:type="pct"/>
            <w:vAlign w:val="center"/>
          </w:tcPr>
          <w:p w14:paraId="77A1EAFD"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7</w:t>
            </w:r>
          </w:p>
        </w:tc>
      </w:tr>
      <w:tr w:rsidR="00C82C48" w:rsidRPr="00344951" w14:paraId="2361E9D2" w14:textId="77777777" w:rsidTr="00344951">
        <w:trPr>
          <w:trHeight w:val="397"/>
          <w:jc w:val="center"/>
        </w:trPr>
        <w:tc>
          <w:tcPr>
            <w:tcW w:w="1323" w:type="pct"/>
            <w:vAlign w:val="center"/>
          </w:tcPr>
          <w:p w14:paraId="176E7A76" w14:textId="77777777" w:rsidR="00C82C48" w:rsidRPr="00344951" w:rsidRDefault="00C82C48"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Korgeneral-Koramiral</w:t>
            </w:r>
          </w:p>
        </w:tc>
        <w:tc>
          <w:tcPr>
            <w:tcW w:w="1444" w:type="pct"/>
            <w:vAlign w:val="center"/>
          </w:tcPr>
          <w:p w14:paraId="045CB193"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12,5</w:t>
            </w:r>
          </w:p>
        </w:tc>
        <w:tc>
          <w:tcPr>
            <w:tcW w:w="1113" w:type="pct"/>
            <w:vAlign w:val="center"/>
          </w:tcPr>
          <w:p w14:paraId="73150A6C"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13</w:t>
            </w:r>
          </w:p>
        </w:tc>
        <w:tc>
          <w:tcPr>
            <w:tcW w:w="1120" w:type="pct"/>
            <w:vAlign w:val="center"/>
          </w:tcPr>
          <w:p w14:paraId="093DD004"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13</w:t>
            </w:r>
          </w:p>
        </w:tc>
      </w:tr>
      <w:tr w:rsidR="00C82C48" w:rsidRPr="00344951" w14:paraId="27F68316" w14:textId="77777777" w:rsidTr="00344951">
        <w:trPr>
          <w:trHeight w:val="397"/>
          <w:jc w:val="center"/>
        </w:trPr>
        <w:tc>
          <w:tcPr>
            <w:tcW w:w="1323" w:type="pct"/>
            <w:vAlign w:val="center"/>
          </w:tcPr>
          <w:p w14:paraId="7E53D1E3" w14:textId="77777777" w:rsidR="00C82C48" w:rsidRPr="00344951" w:rsidRDefault="00C82C48"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Tümgeneral- Tümamiral</w:t>
            </w:r>
          </w:p>
        </w:tc>
        <w:tc>
          <w:tcPr>
            <w:tcW w:w="1444" w:type="pct"/>
            <w:vAlign w:val="center"/>
          </w:tcPr>
          <w:p w14:paraId="70A7DEEF"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25</w:t>
            </w:r>
          </w:p>
        </w:tc>
        <w:tc>
          <w:tcPr>
            <w:tcW w:w="1113" w:type="pct"/>
            <w:vAlign w:val="center"/>
          </w:tcPr>
          <w:p w14:paraId="73205F32"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26</w:t>
            </w:r>
          </w:p>
        </w:tc>
        <w:tc>
          <w:tcPr>
            <w:tcW w:w="1120" w:type="pct"/>
            <w:vAlign w:val="center"/>
          </w:tcPr>
          <w:p w14:paraId="3BF1026A"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27</w:t>
            </w:r>
          </w:p>
        </w:tc>
      </w:tr>
      <w:tr w:rsidR="00C82C48" w:rsidRPr="00344951" w14:paraId="78DD0F3B" w14:textId="77777777" w:rsidTr="00344951">
        <w:trPr>
          <w:trHeight w:val="397"/>
          <w:jc w:val="center"/>
        </w:trPr>
        <w:tc>
          <w:tcPr>
            <w:tcW w:w="1323" w:type="pct"/>
            <w:vAlign w:val="center"/>
          </w:tcPr>
          <w:p w14:paraId="370FB005" w14:textId="77777777" w:rsidR="00C82C48" w:rsidRPr="00344951" w:rsidRDefault="00C82C48" w:rsidP="00344951">
            <w:pPr>
              <w:widowControl/>
              <w:spacing w:after="120"/>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Tuğgeneral- Tuğamiral</w:t>
            </w:r>
          </w:p>
        </w:tc>
        <w:tc>
          <w:tcPr>
            <w:tcW w:w="1444" w:type="pct"/>
            <w:vAlign w:val="center"/>
          </w:tcPr>
          <w:p w14:paraId="6FE07F2A"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56,5</w:t>
            </w:r>
          </w:p>
        </w:tc>
        <w:tc>
          <w:tcPr>
            <w:tcW w:w="1113" w:type="pct"/>
            <w:vAlign w:val="center"/>
          </w:tcPr>
          <w:p w14:paraId="127B55D0"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54</w:t>
            </w:r>
          </w:p>
        </w:tc>
        <w:tc>
          <w:tcPr>
            <w:tcW w:w="1120" w:type="pct"/>
            <w:vAlign w:val="center"/>
          </w:tcPr>
          <w:p w14:paraId="2097C13D" w14:textId="77777777" w:rsidR="00C82C48" w:rsidRPr="00344951" w:rsidRDefault="00C82C48" w:rsidP="00344951">
            <w:pPr>
              <w:widowControl/>
              <w:spacing w:after="120"/>
              <w:jc w:val="center"/>
              <w:rPr>
                <w:rFonts w:ascii="Times New Roman" w:eastAsia="Times New Roman" w:hAnsi="Times New Roman" w:cs="Times New Roman"/>
                <w:color w:val="010000"/>
                <w:lang w:bidi="ar-SA"/>
              </w:rPr>
            </w:pPr>
            <w:r w:rsidRPr="00344951">
              <w:rPr>
                <w:rFonts w:ascii="Times New Roman" w:eastAsia="Times New Roman" w:hAnsi="Times New Roman" w:cs="Times New Roman"/>
                <w:color w:val="010000"/>
                <w:lang w:bidi="ar-SA"/>
              </w:rPr>
              <w:t>53</w:t>
            </w:r>
          </w:p>
        </w:tc>
      </w:tr>
    </w:tbl>
    <w:p w14:paraId="5B5AAC93" w14:textId="77777777" w:rsidR="00816E75" w:rsidRDefault="00816E75" w:rsidP="00816E75">
      <w:pPr>
        <w:pStyle w:val="NormalWeb"/>
        <w:spacing w:before="0" w:beforeAutospacing="0" w:after="200" w:afterAutospacing="0"/>
        <w:ind w:left="709" w:right="283"/>
        <w:jc w:val="both"/>
        <w:rPr>
          <w:color w:val="010000"/>
        </w:rPr>
      </w:pPr>
    </w:p>
    <w:p w14:paraId="539E54FA" w14:textId="172AADCF" w:rsidR="00C82C48" w:rsidRPr="00816E75" w:rsidRDefault="00C82C48" w:rsidP="00816E75">
      <w:pPr>
        <w:pStyle w:val="NormalWeb"/>
        <w:numPr>
          <w:ilvl w:val="0"/>
          <w:numId w:val="7"/>
        </w:numPr>
        <w:spacing w:before="0" w:beforeAutospacing="0" w:after="200" w:afterAutospacing="0"/>
        <w:ind w:left="0" w:right="283" w:firstLine="709"/>
        <w:jc w:val="both"/>
        <w:rPr>
          <w:color w:val="010000"/>
        </w:rPr>
      </w:pPr>
      <w:r w:rsidRPr="00816E75">
        <w:rPr>
          <w:color w:val="010000"/>
        </w:rPr>
        <w:t>Dayanılan Anayasa Kuralları:</w:t>
      </w:r>
    </w:p>
    <w:p w14:paraId="7C2ECF1C" w14:textId="77777777" w:rsidR="00C82C48" w:rsidRPr="00344951" w:rsidRDefault="00C82C48" w:rsidP="00344951">
      <w:pPr>
        <w:pStyle w:val="NormalWeb"/>
        <w:spacing w:before="0" w:beforeAutospacing="0" w:after="200" w:afterAutospacing="0"/>
        <w:ind w:right="283" w:firstLine="709"/>
        <w:jc w:val="both"/>
        <w:rPr>
          <w:color w:val="010000"/>
        </w:rPr>
      </w:pPr>
      <w:r w:rsidRPr="00344951">
        <w:rPr>
          <w:color w:val="010000"/>
        </w:rPr>
        <w:t>Madde 12.- Herkes, dil, ırk, cinsiyet, siyasi düşünce, felsefi inanç, din ve mezhep ayırımı gözetilmeksizin, kanun önünde eşittir.</w:t>
      </w:r>
    </w:p>
    <w:p w14:paraId="2ACC72A3" w14:textId="77777777" w:rsidR="00C82C48" w:rsidRPr="00344951" w:rsidRDefault="00C82C48" w:rsidP="00344951">
      <w:pPr>
        <w:pStyle w:val="NormalWeb"/>
        <w:spacing w:before="0" w:beforeAutospacing="0" w:after="200" w:afterAutospacing="0"/>
        <w:ind w:right="283" w:firstLine="709"/>
        <w:jc w:val="both"/>
        <w:rPr>
          <w:color w:val="010000"/>
        </w:rPr>
      </w:pPr>
      <w:r w:rsidRPr="00344951">
        <w:rPr>
          <w:color w:val="010000"/>
        </w:rPr>
        <w:t>Hiçbir kişiye, aileye, zümreye veya sınıfa imtiyaz tanınamaz.</w:t>
      </w:r>
    </w:p>
    <w:p w14:paraId="0056AEA9" w14:textId="77777777" w:rsidR="00C82C48" w:rsidRPr="00344951" w:rsidRDefault="00C82C48" w:rsidP="00344951">
      <w:pPr>
        <w:pStyle w:val="NormalWeb"/>
        <w:spacing w:before="0" w:beforeAutospacing="0" w:after="200" w:afterAutospacing="0"/>
        <w:ind w:right="283" w:firstLine="709"/>
        <w:jc w:val="both"/>
        <w:rPr>
          <w:color w:val="010000"/>
        </w:rPr>
      </w:pPr>
      <w:r w:rsidRPr="00344951">
        <w:rPr>
          <w:color w:val="010000"/>
        </w:rPr>
        <w:t>Madde 58.- Her Türk, kamu hizmetlerine girme hakkına sahiptir.</w:t>
      </w:r>
    </w:p>
    <w:p w14:paraId="18773BE6" w14:textId="77777777" w:rsidR="00C82C48" w:rsidRPr="00344951" w:rsidRDefault="00C82C48" w:rsidP="00344951">
      <w:pPr>
        <w:pStyle w:val="NormalWeb"/>
        <w:spacing w:before="0" w:beforeAutospacing="0" w:after="200" w:afterAutospacing="0"/>
        <w:ind w:right="283" w:firstLine="709"/>
        <w:jc w:val="both"/>
        <w:rPr>
          <w:color w:val="010000"/>
        </w:rPr>
      </w:pPr>
      <w:r w:rsidRPr="00344951">
        <w:rPr>
          <w:color w:val="010000"/>
        </w:rPr>
        <w:t>Hizmete alınmada, ödevin gerektirdiği niteliklerden başka hiçbir ayırım gözetilemez.</w:t>
      </w:r>
    </w:p>
    <w:p w14:paraId="3141AA5E" w14:textId="77777777" w:rsidR="00C82C48" w:rsidRPr="00344951" w:rsidRDefault="00C82C48" w:rsidP="00344951">
      <w:pPr>
        <w:pStyle w:val="NormalWeb"/>
        <w:spacing w:before="0" w:beforeAutospacing="0" w:after="200" w:afterAutospacing="0"/>
        <w:ind w:right="283" w:firstLine="709"/>
        <w:jc w:val="both"/>
        <w:rPr>
          <w:color w:val="010000"/>
        </w:rPr>
      </w:pPr>
      <w:r w:rsidRPr="00344951">
        <w:rPr>
          <w:color w:val="010000"/>
        </w:rPr>
        <w:t xml:space="preserve">Madde 105.- Başbakan, Bankanlar </w:t>
      </w:r>
      <w:proofErr w:type="spellStart"/>
      <w:r w:rsidRPr="00344951">
        <w:rPr>
          <w:color w:val="010000"/>
        </w:rPr>
        <w:t>Kurulununun</w:t>
      </w:r>
      <w:proofErr w:type="spellEnd"/>
      <w:r w:rsidRPr="00344951">
        <w:rPr>
          <w:color w:val="010000"/>
        </w:rPr>
        <w:t xml:space="preserve"> başkanı olarak, Bakanlıklar arasında </w:t>
      </w:r>
      <w:proofErr w:type="gramStart"/>
      <w:r w:rsidRPr="00344951">
        <w:rPr>
          <w:color w:val="010000"/>
        </w:rPr>
        <w:t>işbirliğini</w:t>
      </w:r>
      <w:proofErr w:type="gramEnd"/>
      <w:r w:rsidRPr="00344951">
        <w:rPr>
          <w:color w:val="010000"/>
        </w:rPr>
        <w:t xml:space="preserve"> sağlar ve hükümetin </w:t>
      </w:r>
      <w:r w:rsidR="00CF5C86" w:rsidRPr="00344951">
        <w:rPr>
          <w:color w:val="010000"/>
        </w:rPr>
        <w:t>genel siyasetinin yürütülmesini gözetir. Bakanlar Kurulu, bu siyasetin yürütülmesinden birlikte sorumludur.</w:t>
      </w:r>
    </w:p>
    <w:p w14:paraId="3F31A8C1" w14:textId="77777777" w:rsidR="00CF5C86" w:rsidRPr="00344951" w:rsidRDefault="00CF5C86" w:rsidP="00344951">
      <w:pPr>
        <w:pStyle w:val="NormalWeb"/>
        <w:spacing w:before="0" w:beforeAutospacing="0" w:after="200" w:afterAutospacing="0"/>
        <w:ind w:right="283" w:firstLine="709"/>
        <w:jc w:val="both"/>
        <w:rPr>
          <w:color w:val="010000"/>
        </w:rPr>
      </w:pPr>
      <w:r w:rsidRPr="00344951">
        <w:rPr>
          <w:color w:val="010000"/>
        </w:rPr>
        <w:t>Bakanlar, dokunulmazlık ve yasaklamalar bakımından Türkiye Büyük Millet Meclisi üyeleriyle aynı durumdadır.</w:t>
      </w:r>
    </w:p>
    <w:p w14:paraId="6F23C08A" w14:textId="77777777" w:rsidR="00CF5C86" w:rsidRPr="00344951" w:rsidRDefault="00CF5C86" w:rsidP="00344951">
      <w:pPr>
        <w:pStyle w:val="NormalWeb"/>
        <w:spacing w:before="0" w:beforeAutospacing="0" w:after="200" w:afterAutospacing="0"/>
        <w:ind w:right="283" w:firstLine="709"/>
        <w:jc w:val="both"/>
        <w:rPr>
          <w:color w:val="010000"/>
        </w:rPr>
      </w:pPr>
      <w:r w:rsidRPr="00344951">
        <w:rPr>
          <w:color w:val="010000"/>
        </w:rPr>
        <w:t>IV- İLK İNCELEME:</w:t>
      </w:r>
    </w:p>
    <w:p w14:paraId="499E5276" w14:textId="77777777" w:rsidR="00CF5C86" w:rsidRPr="00344951" w:rsidRDefault="00CF5C86" w:rsidP="00344951">
      <w:pPr>
        <w:pStyle w:val="NormalWeb"/>
        <w:spacing w:before="0" w:beforeAutospacing="0" w:after="200" w:afterAutospacing="0"/>
        <w:ind w:right="283" w:firstLine="709"/>
        <w:jc w:val="both"/>
        <w:rPr>
          <w:color w:val="010000"/>
        </w:rPr>
      </w:pPr>
      <w:r w:rsidRPr="00344951">
        <w:rPr>
          <w:color w:val="010000"/>
        </w:rPr>
        <w:t xml:space="preserve">Anayasa Mahkemesi İçtüzüğünün 15. Maddesi uyarınca </w:t>
      </w:r>
      <w:proofErr w:type="spellStart"/>
      <w:r w:rsidRPr="00344951">
        <w:rPr>
          <w:color w:val="010000"/>
        </w:rPr>
        <w:t>Kâni</w:t>
      </w:r>
      <w:proofErr w:type="spellEnd"/>
      <w:r w:rsidRPr="00344951">
        <w:rPr>
          <w:color w:val="010000"/>
        </w:rPr>
        <w:t xml:space="preserve"> </w:t>
      </w:r>
      <w:proofErr w:type="spellStart"/>
      <w:r w:rsidRPr="00344951">
        <w:rPr>
          <w:color w:val="010000"/>
        </w:rPr>
        <w:t>Vrana</w:t>
      </w:r>
      <w:proofErr w:type="spellEnd"/>
      <w:r w:rsidRPr="00344951">
        <w:rPr>
          <w:color w:val="010000"/>
        </w:rPr>
        <w:t xml:space="preserve">, Şevket </w:t>
      </w:r>
      <w:proofErr w:type="spellStart"/>
      <w:r w:rsidRPr="00344951">
        <w:rPr>
          <w:color w:val="010000"/>
        </w:rPr>
        <w:t>Müftügil</w:t>
      </w:r>
      <w:proofErr w:type="spellEnd"/>
      <w:r w:rsidRPr="00344951">
        <w:rPr>
          <w:color w:val="010000"/>
        </w:rPr>
        <w:t xml:space="preserve">, Ahmet Akar, Ziya Önel, Abdullah Üner, Ahmet Koçak, </w:t>
      </w:r>
      <w:proofErr w:type="spellStart"/>
      <w:r w:rsidRPr="00344951">
        <w:rPr>
          <w:color w:val="010000"/>
        </w:rPr>
        <w:t>Şekip</w:t>
      </w:r>
      <w:proofErr w:type="spellEnd"/>
      <w:r w:rsidRPr="00344951">
        <w:rPr>
          <w:color w:val="010000"/>
        </w:rPr>
        <w:t xml:space="preserve"> Çopuroğlu, Fahrettin Uluç, Muhittin Gürün, Lütfi </w:t>
      </w:r>
      <w:proofErr w:type="spellStart"/>
      <w:r w:rsidRPr="00344951">
        <w:rPr>
          <w:color w:val="010000"/>
        </w:rPr>
        <w:t>Ömerbaş</w:t>
      </w:r>
      <w:proofErr w:type="spellEnd"/>
      <w:r w:rsidRPr="00344951">
        <w:rPr>
          <w:color w:val="010000"/>
        </w:rPr>
        <w:t xml:space="preserve">, Ahmet Erdoğdu, Hasan Gürsel, Âdil Esmer, Nihat </w:t>
      </w:r>
      <w:proofErr w:type="spellStart"/>
      <w:proofErr w:type="gramStart"/>
      <w:r w:rsidRPr="00344951">
        <w:rPr>
          <w:color w:val="010000"/>
        </w:rPr>
        <w:t>O.Akçakayalıoğlu</w:t>
      </w:r>
      <w:proofErr w:type="spellEnd"/>
      <w:proofErr w:type="gramEnd"/>
      <w:r w:rsidRPr="00344951">
        <w:rPr>
          <w:color w:val="010000"/>
        </w:rPr>
        <w:t xml:space="preserve"> ve </w:t>
      </w:r>
      <w:r w:rsidRPr="00344951">
        <w:rPr>
          <w:color w:val="010000"/>
        </w:rPr>
        <w:lastRenderedPageBreak/>
        <w:t xml:space="preserve">Ahmet </w:t>
      </w:r>
      <w:proofErr w:type="spellStart"/>
      <w:r w:rsidRPr="00344951">
        <w:rPr>
          <w:color w:val="010000"/>
        </w:rPr>
        <w:t>H.Boycıoğlu’nun</w:t>
      </w:r>
      <w:proofErr w:type="spellEnd"/>
      <w:r w:rsidRPr="00344951">
        <w:rPr>
          <w:color w:val="010000"/>
        </w:rPr>
        <w:t xml:space="preserve"> katılmalarıyla 24.5.1977 gününde yapılan ilk inceleme toplantısında aşağıda açıklanan konular üzerinde durulmuştur:</w:t>
      </w:r>
    </w:p>
    <w:p w14:paraId="59CE5B19" w14:textId="77777777" w:rsidR="00CF5C86" w:rsidRPr="00344951" w:rsidRDefault="0057155C" w:rsidP="00344951">
      <w:pPr>
        <w:pStyle w:val="NormalWeb"/>
        <w:spacing w:before="0" w:beforeAutospacing="0" w:after="200" w:afterAutospacing="0"/>
        <w:ind w:right="283" w:firstLine="709"/>
        <w:jc w:val="both"/>
        <w:rPr>
          <w:color w:val="010000"/>
        </w:rPr>
      </w:pPr>
      <w:r w:rsidRPr="00344951">
        <w:rPr>
          <w:color w:val="010000"/>
        </w:rPr>
        <w:t>Bir davaya bakmakta olan mahkeme, ancak o davada uygulayacağı kanun hükümlerinin Anayasaya aykırılığını ileri sürerek Anayasa Mahkemesinden iptallerini isteyebilir. İtiraz konusu yasa kuralları önce bu açıdan incelenmelidir.</w:t>
      </w:r>
    </w:p>
    <w:p w14:paraId="5C89ACF1" w14:textId="77777777" w:rsidR="0057155C" w:rsidRPr="00344951" w:rsidRDefault="009E03A2" w:rsidP="00344951">
      <w:pPr>
        <w:pStyle w:val="NormalWeb"/>
        <w:numPr>
          <w:ilvl w:val="0"/>
          <w:numId w:val="11"/>
        </w:numPr>
        <w:spacing w:before="0" w:beforeAutospacing="0" w:after="200" w:afterAutospacing="0"/>
        <w:ind w:left="0" w:right="283" w:firstLine="709"/>
        <w:jc w:val="both"/>
        <w:rPr>
          <w:color w:val="010000"/>
        </w:rPr>
      </w:pPr>
      <w:r w:rsidRPr="00344951">
        <w:rPr>
          <w:color w:val="010000"/>
        </w:rPr>
        <w:t xml:space="preserve">926 sayılı </w:t>
      </w:r>
      <w:r w:rsidR="009701EE" w:rsidRPr="00344951">
        <w:rPr>
          <w:color w:val="010000"/>
        </w:rPr>
        <w:t>Y</w:t>
      </w:r>
      <w:r w:rsidRPr="00344951">
        <w:rPr>
          <w:color w:val="010000"/>
        </w:rPr>
        <w:t>asa, Türk Silahlı Kuvvetleri mensuplarının yetiştirilmelerini, sınıflandırılmalarını, görev ve yükümlülüklerini, yükselme ve ödüllendirilmeleriyle her türlü özlük haklarını düzenlemek amacıyla çıkarılmıştır (</w:t>
      </w:r>
      <w:r w:rsidR="009701EE" w:rsidRPr="00344951">
        <w:rPr>
          <w:color w:val="010000"/>
        </w:rPr>
        <w:t>m</w:t>
      </w:r>
      <w:r w:rsidRPr="00344951">
        <w:rPr>
          <w:color w:val="010000"/>
        </w:rPr>
        <w:t>ad</w:t>
      </w:r>
      <w:r w:rsidR="009701EE" w:rsidRPr="00344951">
        <w:rPr>
          <w:color w:val="010000"/>
        </w:rPr>
        <w:t xml:space="preserve">. </w:t>
      </w:r>
      <w:r w:rsidRPr="00344951">
        <w:rPr>
          <w:color w:val="010000"/>
        </w:rPr>
        <w:t>2). Bu nedenle Yasa</w:t>
      </w:r>
      <w:r w:rsidR="009701EE" w:rsidRPr="00344951">
        <w:rPr>
          <w:color w:val="010000"/>
        </w:rPr>
        <w:t>’</w:t>
      </w:r>
      <w:r w:rsidRPr="00344951">
        <w:rPr>
          <w:color w:val="010000"/>
        </w:rPr>
        <w:t>nın itiraz konusu yapılan hükümleri Türk Silahlı Kuvvetlerine mensup generallerin ve amirallerin tümünü içermektedir. Başka bir deyişle bu hükümler, her kuvvetten general ve amirallerin terfilerine ve terfi edem</w:t>
      </w:r>
      <w:r w:rsidR="009701EE" w:rsidRPr="00344951">
        <w:rPr>
          <w:color w:val="010000"/>
        </w:rPr>
        <w:t>e</w:t>
      </w:r>
      <w:r w:rsidRPr="00344951">
        <w:rPr>
          <w:color w:val="010000"/>
        </w:rPr>
        <w:t xml:space="preserve">yenlerin kadrosuzluk nedeniyle emekliye </w:t>
      </w:r>
      <w:proofErr w:type="spellStart"/>
      <w:r w:rsidRPr="00344951">
        <w:rPr>
          <w:color w:val="010000"/>
        </w:rPr>
        <w:t>sevkedilmelerine</w:t>
      </w:r>
      <w:proofErr w:type="spellEnd"/>
      <w:r w:rsidRPr="00344951">
        <w:rPr>
          <w:color w:val="010000"/>
        </w:rPr>
        <w:t xml:space="preserve"> ilişkin bulunmaktadır.</w:t>
      </w:r>
    </w:p>
    <w:p w14:paraId="28BC71BE" w14:textId="77777777" w:rsidR="007304EF" w:rsidRPr="00344951" w:rsidRDefault="00F76C13" w:rsidP="00344951">
      <w:pPr>
        <w:pStyle w:val="NormalWeb"/>
        <w:spacing w:before="0" w:beforeAutospacing="0" w:after="200" w:afterAutospacing="0"/>
        <w:ind w:right="283" w:firstLine="709"/>
        <w:jc w:val="both"/>
        <w:rPr>
          <w:color w:val="010000"/>
        </w:rPr>
      </w:pPr>
      <w:r w:rsidRPr="00344951">
        <w:rPr>
          <w:color w:val="010000"/>
        </w:rPr>
        <w:t>Yüksek Asker</w:t>
      </w:r>
      <w:r w:rsidR="009701EE" w:rsidRPr="00344951">
        <w:rPr>
          <w:color w:val="010000"/>
        </w:rPr>
        <w:t>î</w:t>
      </w:r>
      <w:r w:rsidRPr="00344951">
        <w:rPr>
          <w:color w:val="010000"/>
        </w:rPr>
        <w:t xml:space="preserve"> Ş</w:t>
      </w:r>
      <w:r w:rsidR="009701EE" w:rsidRPr="00344951">
        <w:rPr>
          <w:color w:val="010000"/>
        </w:rPr>
        <w:t>û</w:t>
      </w:r>
      <w:r w:rsidRPr="00344951">
        <w:rPr>
          <w:color w:val="010000"/>
        </w:rPr>
        <w:t xml:space="preserve">ra tarafından saptanan değerlendirmeye göre yapılan yeterlilik sıralamasında ilk 14 general arasında yer alamadığı için terfi ettirilmeyen ve kadrosuzluktan emekliye ayrılan davacı tuğgeneral ise Jandarma Genel Komutanlığına mensup ve jandarma sınıfından olduğundan 926 sayılı </w:t>
      </w:r>
      <w:r w:rsidR="009701EE" w:rsidRPr="00344951">
        <w:rPr>
          <w:color w:val="010000"/>
        </w:rPr>
        <w:t>Y</w:t>
      </w:r>
      <w:r w:rsidRPr="00344951">
        <w:rPr>
          <w:color w:val="010000"/>
        </w:rPr>
        <w:t>asa</w:t>
      </w:r>
      <w:r w:rsidR="009701EE" w:rsidRPr="00344951">
        <w:rPr>
          <w:color w:val="010000"/>
        </w:rPr>
        <w:t>’</w:t>
      </w:r>
      <w:r w:rsidRPr="00344951">
        <w:rPr>
          <w:color w:val="010000"/>
        </w:rPr>
        <w:t>nın davada uygulama durumunda olan hükümlerinin jandarma sınıfındaki generallerle sınırlı olarak incelenmeleri gerekir.</w:t>
      </w:r>
    </w:p>
    <w:p w14:paraId="606457D8" w14:textId="77777777" w:rsidR="00FC1052" w:rsidRPr="00344951" w:rsidRDefault="00AF36D1" w:rsidP="00344951">
      <w:pPr>
        <w:pStyle w:val="NormalWeb"/>
        <w:numPr>
          <w:ilvl w:val="0"/>
          <w:numId w:val="11"/>
        </w:numPr>
        <w:spacing w:before="0" w:beforeAutospacing="0" w:after="200" w:afterAutospacing="0"/>
        <w:ind w:left="0" w:right="283" w:firstLine="709"/>
        <w:jc w:val="both"/>
        <w:rPr>
          <w:color w:val="010000"/>
        </w:rPr>
      </w:pPr>
      <w:r w:rsidRPr="00344951">
        <w:rPr>
          <w:color w:val="010000"/>
        </w:rPr>
        <w:t>Sözü edilen yasanın itiraz konusu 41. maddesinin ikinci fıkrası hükmü; Kara, Deniz, Hava Kuvvetlerine ve Jandarma Genel Komutanlığına ait subay kadrolarının her yılın 30 Ağustos (dava konusu uyuşmazlığın doğduğu 30.8.1974 tarihinde yürürlükte olan maddede bu tarih 31 Ağustos olarak yer</w:t>
      </w:r>
      <w:r w:rsidR="009701EE" w:rsidRPr="00344951">
        <w:rPr>
          <w:color w:val="010000"/>
        </w:rPr>
        <w:t xml:space="preserve"> </w:t>
      </w:r>
      <w:r w:rsidRPr="00344951">
        <w:rPr>
          <w:color w:val="010000"/>
        </w:rPr>
        <w:t xml:space="preserve">almıştır.) tarihine kadar rütbe, sınıf (varsa branşı) belirtilerek Genelkurmay Başkanlığınca hizmet ihtiyacına göre saptanacağına ilişkindir. Yani Türk Silahlı Kuvvetlerine mensup tüm subay kadrolarının saptanmasında Genelkurmay Başkanlığına yetki veren </w:t>
      </w:r>
      <w:r w:rsidR="00FC1052" w:rsidRPr="00344951">
        <w:rPr>
          <w:color w:val="010000"/>
        </w:rPr>
        <w:t>genel bir hükümdür. Oysa Genelkurmay Başkanlığının general ve amiral kararlarını belli koşullar içinde saptama yetkisi özel bir hüküm olarak 49. maddenin birinci fıkrasının (a) bendinde yer</w:t>
      </w:r>
      <w:r w:rsidR="009701EE" w:rsidRPr="00344951">
        <w:rPr>
          <w:color w:val="010000"/>
        </w:rPr>
        <w:t xml:space="preserve"> </w:t>
      </w:r>
      <w:r w:rsidR="00FC1052" w:rsidRPr="00344951">
        <w:rPr>
          <w:color w:val="010000"/>
        </w:rPr>
        <w:t>almıştır. Davada general kadrolarının saptanmasına ilişkin bulunduğuna göre değişik 41. maddenin ikinci fıkrasının bu davada uygulanması olanağının bulunmadığı açıkça ortadadır. Bu hükme</w:t>
      </w:r>
      <w:r w:rsidR="00002C5D" w:rsidRPr="00344951">
        <w:rPr>
          <w:color w:val="010000"/>
        </w:rPr>
        <w:t xml:space="preserve"> </w:t>
      </w:r>
      <w:r w:rsidR="00FC1052" w:rsidRPr="00344951">
        <w:rPr>
          <w:color w:val="010000"/>
        </w:rPr>
        <w:t>ilişkin itiraz, mahkemenin yetkisizliği nedeniyle reddedilmelidir.</w:t>
      </w:r>
    </w:p>
    <w:p w14:paraId="048AE0CC" w14:textId="77777777" w:rsidR="00164413" w:rsidRPr="00344951" w:rsidRDefault="00164413" w:rsidP="00344951">
      <w:pPr>
        <w:pStyle w:val="NormalWeb"/>
        <w:numPr>
          <w:ilvl w:val="0"/>
          <w:numId w:val="11"/>
        </w:numPr>
        <w:spacing w:before="0" w:beforeAutospacing="0" w:after="200" w:afterAutospacing="0"/>
        <w:ind w:left="0" w:right="283" w:firstLine="709"/>
        <w:jc w:val="both"/>
        <w:rPr>
          <w:color w:val="010000"/>
        </w:rPr>
      </w:pPr>
      <w:r w:rsidRPr="00344951">
        <w:rPr>
          <w:color w:val="010000"/>
        </w:rPr>
        <w:t xml:space="preserve">926 sayılı </w:t>
      </w:r>
      <w:r w:rsidR="009701EE" w:rsidRPr="00344951">
        <w:rPr>
          <w:color w:val="010000"/>
        </w:rPr>
        <w:t>Y</w:t>
      </w:r>
      <w:r w:rsidRPr="00344951">
        <w:rPr>
          <w:color w:val="010000"/>
        </w:rPr>
        <w:t>asa</w:t>
      </w:r>
      <w:r w:rsidR="009701EE" w:rsidRPr="00344951">
        <w:rPr>
          <w:color w:val="010000"/>
        </w:rPr>
        <w:t>’</w:t>
      </w:r>
      <w:r w:rsidRPr="00344951">
        <w:rPr>
          <w:color w:val="010000"/>
        </w:rPr>
        <w:t xml:space="preserve">nın 1424 sayılı </w:t>
      </w:r>
      <w:r w:rsidR="009701EE" w:rsidRPr="00344951">
        <w:rPr>
          <w:color w:val="010000"/>
        </w:rPr>
        <w:t>Y</w:t>
      </w:r>
      <w:r w:rsidRPr="00344951">
        <w:rPr>
          <w:color w:val="010000"/>
        </w:rPr>
        <w:t>asa ile değişik 49. maddesinin birinci fıkrasının (b)</w:t>
      </w:r>
      <w:r w:rsidR="00002C5D" w:rsidRPr="00344951">
        <w:rPr>
          <w:color w:val="010000"/>
        </w:rPr>
        <w:t xml:space="preserve"> </w:t>
      </w:r>
      <w:r w:rsidRPr="00344951">
        <w:rPr>
          <w:color w:val="010000"/>
        </w:rPr>
        <w:t>bendine gelince:</w:t>
      </w:r>
      <w:r w:rsidR="00002C5D" w:rsidRPr="00344951">
        <w:rPr>
          <w:color w:val="010000"/>
        </w:rPr>
        <w:t xml:space="preserve"> </w:t>
      </w:r>
    </w:p>
    <w:p w14:paraId="5EDEB817" w14:textId="77777777" w:rsidR="00164413" w:rsidRPr="00344951" w:rsidRDefault="00164413" w:rsidP="00344951">
      <w:pPr>
        <w:pStyle w:val="NormalWeb"/>
        <w:spacing w:before="0" w:beforeAutospacing="0" w:after="200" w:afterAutospacing="0"/>
        <w:ind w:right="283" w:firstLine="709"/>
        <w:jc w:val="both"/>
        <w:rPr>
          <w:color w:val="010000"/>
        </w:rPr>
      </w:pPr>
      <w:r w:rsidRPr="00344951">
        <w:rPr>
          <w:color w:val="010000"/>
        </w:rPr>
        <w:t xml:space="preserve">Davacı </w:t>
      </w:r>
      <w:r w:rsidR="009701EE" w:rsidRPr="00344951">
        <w:rPr>
          <w:color w:val="010000"/>
        </w:rPr>
        <w:t>J</w:t>
      </w:r>
      <w:r w:rsidRPr="00344951">
        <w:rPr>
          <w:color w:val="010000"/>
        </w:rPr>
        <w:t xml:space="preserve">andarma Tuğgenerali, 30.8.1974 tarihinde bir üst rütbeye yükselme sırasına gelerek değerlendirmeye tabi tutulmuş ve bu tarihte de kadro yokluğu nedeniyle </w:t>
      </w:r>
      <w:proofErr w:type="spellStart"/>
      <w:r w:rsidRPr="00344951">
        <w:rPr>
          <w:color w:val="010000"/>
        </w:rPr>
        <w:t>emekliyesi</w:t>
      </w:r>
      <w:proofErr w:type="spellEnd"/>
      <w:r w:rsidRPr="00344951">
        <w:rPr>
          <w:color w:val="010000"/>
        </w:rPr>
        <w:t xml:space="preserve"> sevk edilmiştir. Hakkında uygulanan idari işlemlerin iptali için 11 Kasım 1974 tarihli dilekçe ile Asker</w:t>
      </w:r>
      <w:r w:rsidR="00441782" w:rsidRPr="00344951">
        <w:rPr>
          <w:color w:val="010000"/>
        </w:rPr>
        <w:t>î</w:t>
      </w:r>
      <w:r w:rsidRPr="00344951">
        <w:rPr>
          <w:color w:val="010000"/>
        </w:rPr>
        <w:t xml:space="preserve"> Yüksek İdare Mahkemesinde dava açmıştır.</w:t>
      </w:r>
    </w:p>
    <w:p w14:paraId="21493D39" w14:textId="77777777" w:rsidR="0007382F" w:rsidRPr="00344951" w:rsidRDefault="00002C5D" w:rsidP="00344951">
      <w:pPr>
        <w:pStyle w:val="NormalWeb"/>
        <w:spacing w:before="0" w:beforeAutospacing="0" w:after="200" w:afterAutospacing="0"/>
        <w:ind w:right="283" w:firstLine="709"/>
        <w:jc w:val="both"/>
        <w:rPr>
          <w:color w:val="010000"/>
        </w:rPr>
      </w:pPr>
      <w:r w:rsidRPr="00344951">
        <w:rPr>
          <w:color w:val="010000"/>
        </w:rPr>
        <w:t xml:space="preserve"> </w:t>
      </w:r>
      <w:r w:rsidR="0007382F" w:rsidRPr="00344951">
        <w:rPr>
          <w:color w:val="010000"/>
        </w:rPr>
        <w:t>Her idari uyuşmazlığı, doğduğu tarihte yürürlükte bulunan yasa hükümlerinin uygulanması suretiyle çözümlenmesi</w:t>
      </w:r>
      <w:r w:rsidR="00441782" w:rsidRPr="00344951">
        <w:rPr>
          <w:color w:val="010000"/>
        </w:rPr>
        <w:t xml:space="preserve"> </w:t>
      </w:r>
      <w:r w:rsidR="0007382F" w:rsidRPr="00344951">
        <w:rPr>
          <w:color w:val="010000"/>
        </w:rPr>
        <w:t xml:space="preserve">hukukun temel kurallarındandır. Bakılmakta olan davanın konusunu oluşturan uyuşmazlık 30.8.1974 tarihinde doğmuştur. Bu tarihte ise 926 sayılı </w:t>
      </w:r>
      <w:r w:rsidR="00441782" w:rsidRPr="00344951">
        <w:rPr>
          <w:color w:val="010000"/>
        </w:rPr>
        <w:t>K</w:t>
      </w:r>
      <w:r w:rsidR="0007382F" w:rsidRPr="00344951">
        <w:rPr>
          <w:color w:val="010000"/>
        </w:rPr>
        <w:t>anun</w:t>
      </w:r>
      <w:r w:rsidR="00441782" w:rsidRPr="00344951">
        <w:rPr>
          <w:color w:val="010000"/>
        </w:rPr>
        <w:t>’</w:t>
      </w:r>
      <w:r w:rsidR="0007382F" w:rsidRPr="00344951">
        <w:rPr>
          <w:color w:val="010000"/>
        </w:rPr>
        <w:t>un 49. maddesinin (b) bendi</w:t>
      </w:r>
      <w:r w:rsidRPr="00344951">
        <w:rPr>
          <w:color w:val="010000"/>
        </w:rPr>
        <w:t xml:space="preserve"> </w:t>
      </w:r>
      <w:r w:rsidR="0007382F" w:rsidRPr="00344951">
        <w:rPr>
          <w:color w:val="010000"/>
        </w:rPr>
        <w:t>değil ek geçici 14. maddenin (a) bendi hükmü yürürlükte bulunmaktadır. Çünkü</w:t>
      </w:r>
      <w:r w:rsidRPr="00344951">
        <w:rPr>
          <w:color w:val="010000"/>
        </w:rPr>
        <w:t xml:space="preserve"> </w:t>
      </w:r>
      <w:r w:rsidR="0007382F" w:rsidRPr="00344951">
        <w:rPr>
          <w:color w:val="010000"/>
        </w:rPr>
        <w:t>49. maddenin (b) bendi ile</w:t>
      </w:r>
      <w:r w:rsidR="00441782" w:rsidRPr="00344951">
        <w:rPr>
          <w:color w:val="010000"/>
        </w:rPr>
        <w:t>,</w:t>
      </w:r>
      <w:r w:rsidRPr="00344951">
        <w:rPr>
          <w:color w:val="010000"/>
        </w:rPr>
        <w:t xml:space="preserve"> </w:t>
      </w:r>
      <w:r w:rsidR="0007382F" w:rsidRPr="00344951">
        <w:rPr>
          <w:color w:val="010000"/>
        </w:rPr>
        <w:t>general ve amiral mevcutlarına ve bunların çeşitli rütbelere dağılışlarına ilişkin oranları saptayan iki kural getirilmiştir: General ve amiral mevcutlarının çeşitli rütbelere dağılış oranlarına, … cetvel bölümünde yer verilmiş; general ve amiral mevcutlarının saptanmasının da aynı maddenin (a)</w:t>
      </w:r>
      <w:r w:rsidRPr="00344951">
        <w:rPr>
          <w:color w:val="010000"/>
        </w:rPr>
        <w:t xml:space="preserve"> </w:t>
      </w:r>
      <w:r w:rsidR="0007382F" w:rsidRPr="00344951">
        <w:rPr>
          <w:color w:val="010000"/>
        </w:rPr>
        <w:t>bendine göre yapılacağı belirtilmiştir.</w:t>
      </w:r>
      <w:r w:rsidRPr="00344951">
        <w:rPr>
          <w:color w:val="010000"/>
        </w:rPr>
        <w:t xml:space="preserve"> </w:t>
      </w:r>
      <w:r w:rsidR="00DB45C3" w:rsidRPr="00344951">
        <w:rPr>
          <w:color w:val="010000"/>
        </w:rPr>
        <w:t xml:space="preserve">(a) bendinde de kadro ile saptanacak general ve amiral toplamının… muvazzaf subay mevcudunun %1 ini </w:t>
      </w:r>
      <w:proofErr w:type="spellStart"/>
      <w:r w:rsidR="003D029C" w:rsidRPr="00344951">
        <w:rPr>
          <w:color w:val="010000"/>
        </w:rPr>
        <w:t>geçemiyeceği</w:t>
      </w:r>
      <w:proofErr w:type="spellEnd"/>
      <w:r w:rsidR="003D029C" w:rsidRPr="00344951">
        <w:rPr>
          <w:color w:val="010000"/>
        </w:rPr>
        <w:t xml:space="preserve"> hükmü yer</w:t>
      </w:r>
      <w:r w:rsidR="00441782" w:rsidRPr="00344951">
        <w:rPr>
          <w:color w:val="010000"/>
        </w:rPr>
        <w:t xml:space="preserve"> </w:t>
      </w:r>
      <w:r w:rsidR="003D029C" w:rsidRPr="00344951">
        <w:rPr>
          <w:color w:val="010000"/>
        </w:rPr>
        <w:t>almıştır.</w:t>
      </w:r>
    </w:p>
    <w:p w14:paraId="11BE78A5" w14:textId="77777777" w:rsidR="003D029C" w:rsidRPr="00344951" w:rsidRDefault="003D029C" w:rsidP="00344951">
      <w:pPr>
        <w:pStyle w:val="NormalWeb"/>
        <w:spacing w:before="0" w:beforeAutospacing="0" w:after="200" w:afterAutospacing="0"/>
        <w:ind w:right="283" w:firstLine="709"/>
        <w:jc w:val="both"/>
        <w:rPr>
          <w:color w:val="010000"/>
        </w:rPr>
      </w:pPr>
      <w:r w:rsidRPr="00344951">
        <w:rPr>
          <w:color w:val="010000"/>
        </w:rPr>
        <w:lastRenderedPageBreak/>
        <w:t xml:space="preserve">Ek geçici 14. </w:t>
      </w:r>
      <w:r w:rsidR="00441782" w:rsidRPr="00344951">
        <w:rPr>
          <w:color w:val="010000"/>
        </w:rPr>
        <w:t>m</w:t>
      </w:r>
      <w:r w:rsidRPr="00344951">
        <w:rPr>
          <w:color w:val="010000"/>
        </w:rPr>
        <w:t xml:space="preserve">addenin birinci fıkrasında ve (a) bendinde ise 30.8.1971 tarihinden 30.8.1974 tarihine kadar %1,2 oranının ve sonraki 4 yılda yani 30.8.1975-30.8.1978 tarihleri arasında 49. </w:t>
      </w:r>
      <w:r w:rsidR="00441782" w:rsidRPr="00344951">
        <w:rPr>
          <w:color w:val="010000"/>
        </w:rPr>
        <w:t>m</w:t>
      </w:r>
      <w:r w:rsidRPr="00344951">
        <w:rPr>
          <w:color w:val="010000"/>
        </w:rPr>
        <w:t>addede belirtilen %1 oranının uygulanacağı öngörülmüştür. Aynı maddenin (c) bendi ile de buna ilişkin açıklayıcı hüküm getirilmiştir.</w:t>
      </w:r>
    </w:p>
    <w:p w14:paraId="5327099D" w14:textId="77777777" w:rsidR="003D029C" w:rsidRPr="00344951" w:rsidRDefault="00A42EAE" w:rsidP="00344951">
      <w:pPr>
        <w:pStyle w:val="NormalWeb"/>
        <w:spacing w:before="0" w:beforeAutospacing="0" w:after="200" w:afterAutospacing="0"/>
        <w:ind w:right="283" w:firstLine="709"/>
        <w:jc w:val="both"/>
        <w:rPr>
          <w:color w:val="010000"/>
        </w:rPr>
      </w:pPr>
      <w:r w:rsidRPr="00344951">
        <w:rPr>
          <w:color w:val="010000"/>
        </w:rPr>
        <w:t>Görülüyor</w:t>
      </w:r>
      <w:r w:rsidR="00441782" w:rsidRPr="00344951">
        <w:rPr>
          <w:color w:val="010000"/>
        </w:rPr>
        <w:t xml:space="preserve"> </w:t>
      </w:r>
      <w:r w:rsidRPr="00344951">
        <w:rPr>
          <w:color w:val="010000"/>
        </w:rPr>
        <w:t>ki 49. maddenin (b) bendi, ancak 30.8.1975-30.8.1978 tarihleri arasında uygulanacak kuralları içerir biçimde düzenlenmiştir. Bu nedenle de 30.8.1971-30.8.1974 tarihleri arasında uygulanma olanağı yoktur.</w:t>
      </w:r>
    </w:p>
    <w:p w14:paraId="1BA8A44E" w14:textId="77777777" w:rsidR="00A42EAE" w:rsidRPr="00344951" w:rsidRDefault="00A42EAE" w:rsidP="00344951">
      <w:pPr>
        <w:pStyle w:val="NormalWeb"/>
        <w:spacing w:before="0" w:beforeAutospacing="0" w:after="200" w:afterAutospacing="0"/>
        <w:ind w:right="283" w:firstLine="709"/>
        <w:jc w:val="both"/>
        <w:rPr>
          <w:color w:val="010000"/>
        </w:rPr>
      </w:pPr>
      <w:r w:rsidRPr="00344951">
        <w:rPr>
          <w:color w:val="010000"/>
        </w:rPr>
        <w:t>Bu hükme yönelik itiraz da hükmün bakılmakta olan davada uygulanma olanağı bulunmadığından mahkemenin yetkisizliği nedeniyle reddedilmelidir.</w:t>
      </w:r>
    </w:p>
    <w:p w14:paraId="2FB3F6C4" w14:textId="77777777" w:rsidR="00A42EAE" w:rsidRPr="00344951" w:rsidRDefault="00B05DC4" w:rsidP="00344951">
      <w:pPr>
        <w:pStyle w:val="NormalWeb"/>
        <w:spacing w:before="0" w:beforeAutospacing="0" w:after="200" w:afterAutospacing="0"/>
        <w:ind w:right="283" w:firstLine="709"/>
        <w:jc w:val="both"/>
        <w:rPr>
          <w:color w:val="010000"/>
        </w:rPr>
      </w:pPr>
      <w:r w:rsidRPr="00344951">
        <w:rPr>
          <w:color w:val="010000"/>
        </w:rPr>
        <w:t>Böylece yapılan ilk inceleme sonucunda davanın Anayasa</w:t>
      </w:r>
      <w:r w:rsidR="00441782" w:rsidRPr="00344951">
        <w:rPr>
          <w:color w:val="010000"/>
        </w:rPr>
        <w:t>’</w:t>
      </w:r>
      <w:r w:rsidRPr="00344951">
        <w:rPr>
          <w:color w:val="010000"/>
        </w:rPr>
        <w:t xml:space="preserve">nın ve 22.4.1962 günlü, 44 sayılı </w:t>
      </w:r>
      <w:r w:rsidR="00441782" w:rsidRPr="00344951">
        <w:rPr>
          <w:color w:val="010000"/>
        </w:rPr>
        <w:t>K</w:t>
      </w:r>
      <w:r w:rsidRPr="00344951">
        <w:rPr>
          <w:color w:val="010000"/>
        </w:rPr>
        <w:t>anun</w:t>
      </w:r>
      <w:r w:rsidR="00441782" w:rsidRPr="00344951">
        <w:rPr>
          <w:color w:val="010000"/>
        </w:rPr>
        <w:t>’</w:t>
      </w:r>
      <w:r w:rsidRPr="00344951">
        <w:rPr>
          <w:color w:val="010000"/>
        </w:rPr>
        <w:t xml:space="preserve">un ilgili maddelerinde öngörülen kurallara uyulmak suretiyle açıldığı ve dosyanın eksiği bulunmadığı saptandığından işin esasının 27.7.1967 günlü, 926 sayılı Türk </w:t>
      </w:r>
      <w:proofErr w:type="spellStart"/>
      <w:r w:rsidRPr="00344951">
        <w:rPr>
          <w:color w:val="010000"/>
        </w:rPr>
        <w:t>Sil</w:t>
      </w:r>
      <w:r w:rsidR="006B3ADF" w:rsidRPr="00344951">
        <w:rPr>
          <w:color w:val="010000"/>
        </w:rPr>
        <w:t>â</w:t>
      </w:r>
      <w:r w:rsidRPr="00344951">
        <w:rPr>
          <w:color w:val="010000"/>
        </w:rPr>
        <w:t>hlı</w:t>
      </w:r>
      <w:proofErr w:type="spellEnd"/>
      <w:r w:rsidRPr="00344951">
        <w:rPr>
          <w:color w:val="010000"/>
        </w:rPr>
        <w:t xml:space="preserve"> Kuvvetleri Personel Kanunu</w:t>
      </w:r>
      <w:r w:rsidR="00441782" w:rsidRPr="00344951">
        <w:rPr>
          <w:color w:val="010000"/>
        </w:rPr>
        <w:t>’</w:t>
      </w:r>
      <w:r w:rsidRPr="00344951">
        <w:rPr>
          <w:color w:val="010000"/>
        </w:rPr>
        <w:t xml:space="preserve">nun davada uygulanma durumunda olan 49. </w:t>
      </w:r>
      <w:r w:rsidR="006B3ADF" w:rsidRPr="00344951">
        <w:rPr>
          <w:color w:val="010000"/>
        </w:rPr>
        <w:t>m</w:t>
      </w:r>
      <w:r w:rsidRPr="00344951">
        <w:rPr>
          <w:color w:val="010000"/>
        </w:rPr>
        <w:t xml:space="preserve">addesinin 1424 sayılı yasa ile değişik (a) bendi ile aynı </w:t>
      </w:r>
      <w:r w:rsidR="00441782" w:rsidRPr="00344951">
        <w:rPr>
          <w:color w:val="010000"/>
        </w:rPr>
        <w:t>Y</w:t>
      </w:r>
      <w:r w:rsidRPr="00344951">
        <w:rPr>
          <w:color w:val="010000"/>
        </w:rPr>
        <w:t>asa</w:t>
      </w:r>
      <w:r w:rsidR="00441782" w:rsidRPr="00344951">
        <w:rPr>
          <w:color w:val="010000"/>
        </w:rPr>
        <w:t>’</w:t>
      </w:r>
      <w:r w:rsidRPr="00344951">
        <w:rPr>
          <w:color w:val="010000"/>
        </w:rPr>
        <w:t xml:space="preserve">yla değişik 54. </w:t>
      </w:r>
      <w:r w:rsidR="00441782" w:rsidRPr="00344951">
        <w:rPr>
          <w:color w:val="010000"/>
        </w:rPr>
        <w:t>m</w:t>
      </w:r>
      <w:r w:rsidRPr="00344951">
        <w:rPr>
          <w:color w:val="010000"/>
        </w:rPr>
        <w:t xml:space="preserve">addesinin ve 926 sayılı </w:t>
      </w:r>
      <w:r w:rsidR="00441782" w:rsidRPr="00344951">
        <w:rPr>
          <w:color w:val="010000"/>
        </w:rPr>
        <w:t>K</w:t>
      </w:r>
      <w:r w:rsidRPr="00344951">
        <w:rPr>
          <w:color w:val="010000"/>
        </w:rPr>
        <w:t>anun</w:t>
      </w:r>
      <w:r w:rsidR="00441782" w:rsidRPr="00344951">
        <w:rPr>
          <w:color w:val="010000"/>
        </w:rPr>
        <w:t>’</w:t>
      </w:r>
      <w:r w:rsidRPr="00344951">
        <w:rPr>
          <w:color w:val="010000"/>
        </w:rPr>
        <w:t xml:space="preserve">a sözü geçen yasa ile eklenen </w:t>
      </w:r>
      <w:r w:rsidR="00441782" w:rsidRPr="00344951">
        <w:rPr>
          <w:color w:val="010000"/>
        </w:rPr>
        <w:t>e</w:t>
      </w:r>
      <w:r w:rsidRPr="00344951">
        <w:rPr>
          <w:color w:val="010000"/>
        </w:rPr>
        <w:t>k geçici 14. maddenin a işaretli bendinin</w:t>
      </w:r>
      <w:r w:rsidR="00441782" w:rsidRPr="00344951">
        <w:rPr>
          <w:color w:val="010000"/>
        </w:rPr>
        <w:t xml:space="preserve"> </w:t>
      </w:r>
      <w:r w:rsidRPr="00344951">
        <w:rPr>
          <w:color w:val="010000"/>
        </w:rPr>
        <w:t xml:space="preserve">Jandarma sınıfından olan generallerle sınırlı olarak incelenmelerine </w:t>
      </w:r>
      <w:proofErr w:type="spellStart"/>
      <w:r w:rsidRPr="00344951">
        <w:rPr>
          <w:color w:val="010000"/>
        </w:rPr>
        <w:t>Kâni</w:t>
      </w:r>
      <w:proofErr w:type="spellEnd"/>
      <w:r w:rsidRPr="00344951">
        <w:rPr>
          <w:color w:val="010000"/>
        </w:rPr>
        <w:t xml:space="preserve"> </w:t>
      </w:r>
      <w:proofErr w:type="spellStart"/>
      <w:r w:rsidRPr="00344951">
        <w:rPr>
          <w:color w:val="010000"/>
        </w:rPr>
        <w:t>Vrana</w:t>
      </w:r>
      <w:proofErr w:type="spellEnd"/>
      <w:r w:rsidRPr="00344951">
        <w:rPr>
          <w:color w:val="010000"/>
        </w:rPr>
        <w:t xml:space="preserve">, Şevket </w:t>
      </w:r>
      <w:proofErr w:type="spellStart"/>
      <w:r w:rsidRPr="00344951">
        <w:rPr>
          <w:color w:val="010000"/>
        </w:rPr>
        <w:t>Müftügil</w:t>
      </w:r>
      <w:proofErr w:type="spellEnd"/>
      <w:r w:rsidRPr="00344951">
        <w:rPr>
          <w:color w:val="010000"/>
        </w:rPr>
        <w:t>,</w:t>
      </w:r>
      <w:r w:rsidR="007A3F15" w:rsidRPr="00344951">
        <w:rPr>
          <w:color w:val="010000"/>
        </w:rPr>
        <w:t xml:space="preserve"> </w:t>
      </w:r>
      <w:r w:rsidR="009E16A5" w:rsidRPr="00344951">
        <w:rPr>
          <w:color w:val="010000"/>
        </w:rPr>
        <w:t>Ahmet</w:t>
      </w:r>
      <w:r w:rsidR="008F4639" w:rsidRPr="00344951">
        <w:rPr>
          <w:color w:val="010000"/>
        </w:rPr>
        <w:t xml:space="preserve"> Akar, Abdullah Üner, Lutfi </w:t>
      </w:r>
      <w:proofErr w:type="spellStart"/>
      <w:r w:rsidR="008F4639" w:rsidRPr="00344951">
        <w:rPr>
          <w:color w:val="010000"/>
        </w:rPr>
        <w:t>Ömerbaş</w:t>
      </w:r>
      <w:proofErr w:type="spellEnd"/>
      <w:r w:rsidR="008F4639" w:rsidRPr="00344951">
        <w:rPr>
          <w:color w:val="010000"/>
        </w:rPr>
        <w:t>, Ahmet Erdoğdu ve Âdil Esmer’in 54. Maddenin uygulanacak hüküm olmadığı yolundaki görüşleriyle</w:t>
      </w:r>
      <w:r w:rsidR="00441782" w:rsidRPr="00344951">
        <w:rPr>
          <w:color w:val="010000"/>
        </w:rPr>
        <w:t>,</w:t>
      </w:r>
      <w:r w:rsidR="008F4639" w:rsidRPr="00344951">
        <w:rPr>
          <w:color w:val="010000"/>
        </w:rPr>
        <w:t xml:space="preserve"> Nihat </w:t>
      </w:r>
      <w:proofErr w:type="spellStart"/>
      <w:r w:rsidR="008F4639" w:rsidRPr="00344951">
        <w:rPr>
          <w:color w:val="010000"/>
        </w:rPr>
        <w:t>O.Akçakayalıoğlu’nun</w:t>
      </w:r>
      <w:proofErr w:type="spellEnd"/>
      <w:r w:rsidR="008F4639" w:rsidRPr="00344951">
        <w:rPr>
          <w:color w:val="010000"/>
        </w:rPr>
        <w:t xml:space="preserve"> bir sınırlamaya gerek olmadığı ve ayrıca (</w:t>
      </w:r>
      <w:r w:rsidR="00441782" w:rsidRPr="00344951">
        <w:rPr>
          <w:color w:val="010000"/>
        </w:rPr>
        <w:t>e</w:t>
      </w:r>
      <w:r w:rsidR="008F4639" w:rsidRPr="00344951">
        <w:rPr>
          <w:color w:val="010000"/>
        </w:rPr>
        <w:t xml:space="preserve">sasın incelenmesinin aynı </w:t>
      </w:r>
      <w:r w:rsidR="00441782" w:rsidRPr="00344951">
        <w:rPr>
          <w:color w:val="010000"/>
        </w:rPr>
        <w:t>Y</w:t>
      </w:r>
      <w:r w:rsidR="008F4639" w:rsidRPr="00344951">
        <w:rPr>
          <w:color w:val="010000"/>
        </w:rPr>
        <w:t>asa</w:t>
      </w:r>
      <w:r w:rsidR="00441782" w:rsidRPr="00344951">
        <w:rPr>
          <w:color w:val="010000"/>
        </w:rPr>
        <w:t>’</w:t>
      </w:r>
      <w:r w:rsidR="008F4639" w:rsidRPr="00344951">
        <w:rPr>
          <w:color w:val="010000"/>
        </w:rPr>
        <w:t xml:space="preserve">nın 41. </w:t>
      </w:r>
      <w:r w:rsidR="00441782" w:rsidRPr="00344951">
        <w:rPr>
          <w:color w:val="010000"/>
        </w:rPr>
        <w:t>m</w:t>
      </w:r>
      <w:r w:rsidR="008F4639" w:rsidRPr="00344951">
        <w:rPr>
          <w:color w:val="010000"/>
        </w:rPr>
        <w:t xml:space="preserve">addesinin ikinci fıkrası ve 49. </w:t>
      </w:r>
      <w:r w:rsidR="00441782" w:rsidRPr="00344951">
        <w:rPr>
          <w:color w:val="010000"/>
        </w:rPr>
        <w:t>m</w:t>
      </w:r>
      <w:r w:rsidR="008F4639" w:rsidRPr="00344951">
        <w:rPr>
          <w:color w:val="010000"/>
        </w:rPr>
        <w:t>addesinin b bendi açısından da yapılması gerektiği) yolundaki görüşü ile ve oyçokluğuyla 24.3.1977 gününde karar vermiştir.</w:t>
      </w:r>
    </w:p>
    <w:p w14:paraId="260E7A0C" w14:textId="77777777" w:rsidR="008F4639" w:rsidRPr="00344951" w:rsidRDefault="008F4639" w:rsidP="00344951">
      <w:pPr>
        <w:pStyle w:val="NormalWeb"/>
        <w:spacing w:before="0" w:beforeAutospacing="0" w:after="200" w:afterAutospacing="0"/>
        <w:ind w:right="283" w:firstLine="709"/>
        <w:jc w:val="both"/>
        <w:rPr>
          <w:color w:val="010000"/>
        </w:rPr>
      </w:pPr>
      <w:r w:rsidRPr="00344951">
        <w:rPr>
          <w:color w:val="010000"/>
        </w:rPr>
        <w:t>V- ESASIN İNCELENMESİ:</w:t>
      </w:r>
    </w:p>
    <w:p w14:paraId="146CE4B8" w14:textId="77777777" w:rsidR="008F4639" w:rsidRPr="00344951" w:rsidRDefault="008F4639" w:rsidP="00344951">
      <w:pPr>
        <w:pStyle w:val="NormalWeb"/>
        <w:numPr>
          <w:ilvl w:val="0"/>
          <w:numId w:val="12"/>
        </w:numPr>
        <w:spacing w:before="0" w:beforeAutospacing="0" w:after="200" w:afterAutospacing="0"/>
        <w:ind w:left="0" w:right="283" w:firstLine="709"/>
        <w:jc w:val="both"/>
        <w:rPr>
          <w:color w:val="010000"/>
        </w:rPr>
      </w:pPr>
      <w:r w:rsidRPr="00344951">
        <w:rPr>
          <w:color w:val="010000"/>
        </w:rPr>
        <w:t>Sözlü açıklama:</w:t>
      </w:r>
    </w:p>
    <w:p w14:paraId="308F2FD3" w14:textId="77777777" w:rsidR="008F4639" w:rsidRPr="00344951" w:rsidRDefault="008F4639" w:rsidP="00344951">
      <w:pPr>
        <w:pStyle w:val="NormalWeb"/>
        <w:spacing w:before="0" w:beforeAutospacing="0" w:after="200" w:afterAutospacing="0"/>
        <w:ind w:right="283" w:firstLine="709"/>
        <w:jc w:val="both"/>
        <w:rPr>
          <w:color w:val="010000"/>
        </w:rPr>
      </w:pPr>
      <w:r w:rsidRPr="00344951">
        <w:rPr>
          <w:color w:val="010000"/>
        </w:rPr>
        <w:t xml:space="preserve">Davanın esasının incelemek üzere Şevket </w:t>
      </w:r>
      <w:proofErr w:type="spellStart"/>
      <w:r w:rsidRPr="00344951">
        <w:rPr>
          <w:color w:val="010000"/>
        </w:rPr>
        <w:t>Müftügil</w:t>
      </w:r>
      <w:proofErr w:type="spellEnd"/>
      <w:r w:rsidRPr="00344951">
        <w:rPr>
          <w:color w:val="010000"/>
        </w:rPr>
        <w:t xml:space="preserve">, Halit </w:t>
      </w:r>
      <w:proofErr w:type="spellStart"/>
      <w:r w:rsidRPr="00344951">
        <w:rPr>
          <w:color w:val="010000"/>
        </w:rPr>
        <w:t>Zarbun</w:t>
      </w:r>
      <w:proofErr w:type="spellEnd"/>
      <w:r w:rsidRPr="00344951">
        <w:rPr>
          <w:color w:val="010000"/>
        </w:rPr>
        <w:t xml:space="preserve">, Ziya Önel, Abdullah Üner, Ahmet Koçak, </w:t>
      </w:r>
      <w:proofErr w:type="spellStart"/>
      <w:r w:rsidRPr="00344951">
        <w:rPr>
          <w:color w:val="010000"/>
        </w:rPr>
        <w:t>Şekip</w:t>
      </w:r>
      <w:proofErr w:type="spellEnd"/>
      <w:r w:rsidRPr="00344951">
        <w:rPr>
          <w:color w:val="010000"/>
        </w:rPr>
        <w:t xml:space="preserve"> Çopuroğlu, Fahrettin Uluç, Muhittin Gürün, Lutfi </w:t>
      </w:r>
      <w:proofErr w:type="spellStart"/>
      <w:r w:rsidRPr="00344951">
        <w:rPr>
          <w:color w:val="010000"/>
        </w:rPr>
        <w:t>Ömerbaş</w:t>
      </w:r>
      <w:proofErr w:type="spellEnd"/>
      <w:r w:rsidRPr="00344951">
        <w:rPr>
          <w:color w:val="010000"/>
        </w:rPr>
        <w:t xml:space="preserve">, Ahmet Erdoğdu, Hasan Gürsel, Ahmet Salih </w:t>
      </w:r>
      <w:proofErr w:type="spellStart"/>
      <w:r w:rsidRPr="00344951">
        <w:rPr>
          <w:color w:val="010000"/>
        </w:rPr>
        <w:t>Çebi</w:t>
      </w:r>
      <w:proofErr w:type="spellEnd"/>
      <w:r w:rsidRPr="00344951">
        <w:rPr>
          <w:color w:val="010000"/>
        </w:rPr>
        <w:t xml:space="preserve">, Âdil Esmer, Nihat </w:t>
      </w:r>
      <w:proofErr w:type="spellStart"/>
      <w:proofErr w:type="gramStart"/>
      <w:r w:rsidRPr="00344951">
        <w:rPr>
          <w:color w:val="010000"/>
        </w:rPr>
        <w:t>O.Akçakayalıoğlu</w:t>
      </w:r>
      <w:proofErr w:type="spellEnd"/>
      <w:proofErr w:type="gramEnd"/>
      <w:r w:rsidRPr="00344951">
        <w:rPr>
          <w:color w:val="010000"/>
        </w:rPr>
        <w:t xml:space="preserve"> ve Ahmet </w:t>
      </w:r>
      <w:proofErr w:type="spellStart"/>
      <w:r w:rsidRPr="00344951">
        <w:rPr>
          <w:color w:val="010000"/>
        </w:rPr>
        <w:t>H.Boyacıoğlu’nun</w:t>
      </w:r>
      <w:proofErr w:type="spellEnd"/>
      <w:r w:rsidRPr="00344951">
        <w:rPr>
          <w:color w:val="010000"/>
        </w:rPr>
        <w:t xml:space="preserve"> katılmalarıyl</w:t>
      </w:r>
      <w:r w:rsidR="00441782" w:rsidRPr="00344951">
        <w:rPr>
          <w:color w:val="010000"/>
        </w:rPr>
        <w:t>a</w:t>
      </w:r>
      <w:r w:rsidRPr="00344951">
        <w:rPr>
          <w:color w:val="010000"/>
        </w:rPr>
        <w:t xml:space="preserve"> toplanan Anayasa Mahkemesi, önce sözlü açıklama konusu üzerinde durmuştur. Yapılan görüşmeler sonunda:</w:t>
      </w:r>
    </w:p>
    <w:p w14:paraId="002A8859" w14:textId="77777777" w:rsidR="008F4639" w:rsidRPr="00344951" w:rsidRDefault="00E271D5" w:rsidP="00344951">
      <w:pPr>
        <w:pStyle w:val="NormalWeb"/>
        <w:spacing w:before="0" w:beforeAutospacing="0" w:after="200" w:afterAutospacing="0"/>
        <w:ind w:right="283" w:firstLine="709"/>
        <w:jc w:val="both"/>
        <w:rPr>
          <w:color w:val="010000"/>
        </w:rPr>
      </w:pPr>
      <w:r w:rsidRPr="00344951">
        <w:rPr>
          <w:color w:val="010000"/>
        </w:rPr>
        <w:t>Her ne kadar Asker</w:t>
      </w:r>
      <w:r w:rsidR="00441782" w:rsidRPr="00344951">
        <w:rPr>
          <w:color w:val="010000"/>
        </w:rPr>
        <w:t>î</w:t>
      </w:r>
      <w:r w:rsidRPr="00344951">
        <w:rPr>
          <w:color w:val="010000"/>
        </w:rPr>
        <w:t xml:space="preserve"> Yüksek İ</w:t>
      </w:r>
      <w:r w:rsidR="006B3ADF" w:rsidRPr="00344951">
        <w:rPr>
          <w:color w:val="010000"/>
        </w:rPr>
        <w:t>d</w:t>
      </w:r>
      <w:r w:rsidRPr="00344951">
        <w:rPr>
          <w:color w:val="010000"/>
        </w:rPr>
        <w:t>are Mahkemesi</w:t>
      </w:r>
      <w:r w:rsidR="004208FE" w:rsidRPr="00344951">
        <w:rPr>
          <w:color w:val="010000"/>
        </w:rPr>
        <w:t xml:space="preserve"> </w:t>
      </w:r>
      <w:r w:rsidR="00441782" w:rsidRPr="00344951">
        <w:rPr>
          <w:color w:val="010000"/>
        </w:rPr>
        <w:t xml:space="preserve">Daireler Kurulunun </w:t>
      </w:r>
      <w:r w:rsidR="004208FE" w:rsidRPr="00344951">
        <w:rPr>
          <w:color w:val="010000"/>
        </w:rPr>
        <w:t>gerekçeli kararında ve davalıların savunmalarında itiraz konularıyla ilgili görüşler açıklanmış ise de konunun daha</w:t>
      </w:r>
      <w:r w:rsidR="00441782" w:rsidRPr="00344951">
        <w:rPr>
          <w:color w:val="010000"/>
        </w:rPr>
        <w:t xml:space="preserve"> </w:t>
      </w:r>
      <w:r w:rsidR="004208FE" w:rsidRPr="00344951">
        <w:rPr>
          <w:color w:val="010000"/>
        </w:rPr>
        <w:t>da açıklık kazanması bakımından gözlü açıklama yapılmasının yararlı olacağı kanısına varılmıştır.</w:t>
      </w:r>
    </w:p>
    <w:p w14:paraId="7ABD77E0" w14:textId="77777777" w:rsidR="004208FE" w:rsidRPr="00344951" w:rsidRDefault="003402A6" w:rsidP="00344951">
      <w:pPr>
        <w:pStyle w:val="NormalWeb"/>
        <w:spacing w:before="0" w:beforeAutospacing="0" w:after="200" w:afterAutospacing="0"/>
        <w:ind w:right="283" w:firstLine="709"/>
        <w:jc w:val="both"/>
        <w:rPr>
          <w:color w:val="010000"/>
        </w:rPr>
      </w:pPr>
      <w:r w:rsidRPr="00344951">
        <w:rPr>
          <w:color w:val="010000"/>
        </w:rPr>
        <w:t xml:space="preserve">Bu nedenle 22.4.1962 günlü, 44 sayılı </w:t>
      </w:r>
      <w:r w:rsidR="00441782" w:rsidRPr="00344951">
        <w:rPr>
          <w:color w:val="010000"/>
        </w:rPr>
        <w:t>K</w:t>
      </w:r>
      <w:r w:rsidRPr="00344951">
        <w:rPr>
          <w:color w:val="010000"/>
        </w:rPr>
        <w:t>anun</w:t>
      </w:r>
      <w:r w:rsidR="00441782" w:rsidRPr="00344951">
        <w:rPr>
          <w:color w:val="010000"/>
        </w:rPr>
        <w:t>’</w:t>
      </w:r>
      <w:r w:rsidRPr="00344951">
        <w:rPr>
          <w:color w:val="010000"/>
        </w:rPr>
        <w:t xml:space="preserve">un 29. </w:t>
      </w:r>
      <w:r w:rsidR="00441782" w:rsidRPr="00344951">
        <w:rPr>
          <w:color w:val="010000"/>
        </w:rPr>
        <w:t>m</w:t>
      </w:r>
      <w:r w:rsidRPr="00344951">
        <w:rPr>
          <w:color w:val="010000"/>
        </w:rPr>
        <w:t>addesi uyarınca ilgililerin sözlü açıklamalarının dinlenmesine ve dava ile ilgili görülen İçişleri Bakanlığına, Mill</w:t>
      </w:r>
      <w:r w:rsidR="00441782" w:rsidRPr="00344951">
        <w:rPr>
          <w:color w:val="010000"/>
        </w:rPr>
        <w:t>î</w:t>
      </w:r>
      <w:r w:rsidRPr="00344951">
        <w:rPr>
          <w:color w:val="010000"/>
        </w:rPr>
        <w:t xml:space="preserve"> Savunma Bakanlığına ve Genelkurmay Başkanlığına adı geçen </w:t>
      </w:r>
      <w:r w:rsidR="00441782" w:rsidRPr="00344951">
        <w:rPr>
          <w:color w:val="010000"/>
        </w:rPr>
        <w:t>K</w:t>
      </w:r>
      <w:r w:rsidRPr="00344951">
        <w:rPr>
          <w:color w:val="010000"/>
        </w:rPr>
        <w:t>anun</w:t>
      </w:r>
      <w:r w:rsidR="00441782" w:rsidRPr="00344951">
        <w:rPr>
          <w:color w:val="010000"/>
        </w:rPr>
        <w:t>’</w:t>
      </w:r>
      <w:r w:rsidRPr="00344951">
        <w:rPr>
          <w:color w:val="010000"/>
        </w:rPr>
        <w:t xml:space="preserve">un 30. </w:t>
      </w:r>
      <w:r w:rsidR="00441782" w:rsidRPr="00344951">
        <w:rPr>
          <w:color w:val="010000"/>
        </w:rPr>
        <w:t>m</w:t>
      </w:r>
      <w:r w:rsidRPr="00344951">
        <w:rPr>
          <w:color w:val="010000"/>
        </w:rPr>
        <w:t>addesi gereğince de çağrı k</w:t>
      </w:r>
      <w:r w:rsidR="00441782" w:rsidRPr="00344951">
        <w:rPr>
          <w:color w:val="010000"/>
        </w:rPr>
        <w:t>â</w:t>
      </w:r>
      <w:r w:rsidRPr="00344951">
        <w:rPr>
          <w:color w:val="010000"/>
        </w:rPr>
        <w:t xml:space="preserve">ğıdı çıkarılmasına Lütfi </w:t>
      </w:r>
      <w:proofErr w:type="spellStart"/>
      <w:r w:rsidRPr="00344951">
        <w:rPr>
          <w:color w:val="010000"/>
        </w:rPr>
        <w:t>Ömerbaş</w:t>
      </w:r>
      <w:proofErr w:type="spellEnd"/>
      <w:r w:rsidRPr="00344951">
        <w:rPr>
          <w:color w:val="010000"/>
        </w:rPr>
        <w:t xml:space="preserve">, ve Ahmet </w:t>
      </w:r>
      <w:proofErr w:type="spellStart"/>
      <w:proofErr w:type="gramStart"/>
      <w:r w:rsidRPr="00344951">
        <w:rPr>
          <w:color w:val="010000"/>
        </w:rPr>
        <w:t>H.Boyacıoğlu’nun</w:t>
      </w:r>
      <w:proofErr w:type="spellEnd"/>
      <w:proofErr w:type="gramEnd"/>
      <w:r w:rsidRPr="00344951">
        <w:rPr>
          <w:color w:val="010000"/>
        </w:rPr>
        <w:t xml:space="preserve"> (</w:t>
      </w:r>
      <w:r w:rsidR="00441782" w:rsidRPr="00344951">
        <w:rPr>
          <w:color w:val="010000"/>
        </w:rPr>
        <w:t>d</w:t>
      </w:r>
      <w:r w:rsidRPr="00344951">
        <w:rPr>
          <w:color w:val="010000"/>
        </w:rPr>
        <w:t>o</w:t>
      </w:r>
      <w:r w:rsidR="00441782" w:rsidRPr="00344951">
        <w:rPr>
          <w:color w:val="010000"/>
        </w:rPr>
        <w:t>s</w:t>
      </w:r>
      <w:r w:rsidRPr="00344951">
        <w:rPr>
          <w:color w:val="010000"/>
        </w:rPr>
        <w:t>yada yeterli açıklama vardır</w:t>
      </w:r>
      <w:r w:rsidR="00441782" w:rsidRPr="00344951">
        <w:rPr>
          <w:color w:val="010000"/>
        </w:rPr>
        <w:t>,</w:t>
      </w:r>
      <w:r w:rsidRPr="00344951">
        <w:rPr>
          <w:color w:val="010000"/>
        </w:rPr>
        <w:t xml:space="preserve"> Bu nedenle sözlü açıklamaya gerek bulunmadığı) yolundaki </w:t>
      </w:r>
      <w:proofErr w:type="spellStart"/>
      <w:r w:rsidRPr="00344951">
        <w:rPr>
          <w:color w:val="010000"/>
        </w:rPr>
        <w:t>karşıoylar</w:t>
      </w:r>
      <w:r w:rsidR="00441782" w:rsidRPr="00344951">
        <w:rPr>
          <w:color w:val="010000"/>
        </w:rPr>
        <w:t>ı</w:t>
      </w:r>
      <w:r w:rsidRPr="00344951">
        <w:rPr>
          <w:color w:val="010000"/>
        </w:rPr>
        <w:t>yl</w:t>
      </w:r>
      <w:r w:rsidR="00441782" w:rsidRPr="00344951">
        <w:rPr>
          <w:color w:val="010000"/>
        </w:rPr>
        <w:t>a</w:t>
      </w:r>
      <w:proofErr w:type="spellEnd"/>
      <w:r w:rsidRPr="00344951">
        <w:rPr>
          <w:color w:val="010000"/>
        </w:rPr>
        <w:t xml:space="preserve"> ve oyçokluğuyl</w:t>
      </w:r>
      <w:r w:rsidR="00441782" w:rsidRPr="00344951">
        <w:rPr>
          <w:color w:val="010000"/>
        </w:rPr>
        <w:t>a</w:t>
      </w:r>
      <w:r w:rsidRPr="00344951">
        <w:rPr>
          <w:color w:val="010000"/>
        </w:rPr>
        <w:t xml:space="preserve"> 11.10.1977 gününde karar verilmiştir.</w:t>
      </w:r>
    </w:p>
    <w:p w14:paraId="51ACB965" w14:textId="77777777" w:rsidR="000D0716" w:rsidRPr="00344951" w:rsidRDefault="000D0716" w:rsidP="00344951">
      <w:pPr>
        <w:pStyle w:val="NormalWeb"/>
        <w:spacing w:before="0" w:beforeAutospacing="0" w:after="200" w:afterAutospacing="0"/>
        <w:ind w:right="283" w:firstLine="709"/>
        <w:jc w:val="both"/>
        <w:rPr>
          <w:color w:val="010000"/>
        </w:rPr>
      </w:pPr>
      <w:r w:rsidRPr="00344951">
        <w:rPr>
          <w:color w:val="010000"/>
        </w:rPr>
        <w:t>Bu karar gereğince ilgililere usulünce çağrı kâğıdı gönderilmiş ve 15.11.1977 gününde İçişleri ve Mill</w:t>
      </w:r>
      <w:r w:rsidR="00441782" w:rsidRPr="00344951">
        <w:rPr>
          <w:color w:val="010000"/>
        </w:rPr>
        <w:t>î</w:t>
      </w:r>
      <w:r w:rsidRPr="00344951">
        <w:rPr>
          <w:color w:val="010000"/>
        </w:rPr>
        <w:t xml:space="preserve"> Savunma Bakanlıkları ile Genelkurmay Başkanlığının temsilcileri tarafından yapılan sözlü açıklamalar dinlenmiştir.</w:t>
      </w:r>
    </w:p>
    <w:p w14:paraId="6A514B01" w14:textId="77777777" w:rsidR="000D0716" w:rsidRPr="00344951" w:rsidRDefault="000D0716" w:rsidP="00344951">
      <w:pPr>
        <w:pStyle w:val="NormalWeb"/>
        <w:numPr>
          <w:ilvl w:val="0"/>
          <w:numId w:val="12"/>
        </w:numPr>
        <w:spacing w:before="0" w:beforeAutospacing="0" w:after="200" w:afterAutospacing="0"/>
        <w:ind w:left="0" w:right="283" w:firstLine="709"/>
        <w:jc w:val="both"/>
        <w:rPr>
          <w:color w:val="010000"/>
        </w:rPr>
      </w:pPr>
      <w:r w:rsidRPr="00344951">
        <w:rPr>
          <w:color w:val="010000"/>
        </w:rPr>
        <w:t>İnceleme:</w:t>
      </w:r>
    </w:p>
    <w:p w14:paraId="4BB7541B" w14:textId="77777777" w:rsidR="003402A6" w:rsidRPr="00344951" w:rsidRDefault="000D0716" w:rsidP="00344951">
      <w:pPr>
        <w:pStyle w:val="NormalWeb"/>
        <w:spacing w:before="0" w:beforeAutospacing="0" w:after="200" w:afterAutospacing="0"/>
        <w:ind w:right="283" w:firstLine="709"/>
        <w:jc w:val="both"/>
        <w:rPr>
          <w:color w:val="010000"/>
        </w:rPr>
      </w:pPr>
      <w:r w:rsidRPr="00344951">
        <w:rPr>
          <w:color w:val="010000"/>
        </w:rPr>
        <w:t>İtirazın esasına ilişkin rapor, Asker</w:t>
      </w:r>
      <w:r w:rsidR="00441782" w:rsidRPr="00344951">
        <w:rPr>
          <w:color w:val="010000"/>
        </w:rPr>
        <w:t>î</w:t>
      </w:r>
      <w:r w:rsidRPr="00344951">
        <w:rPr>
          <w:color w:val="010000"/>
        </w:rPr>
        <w:t xml:space="preserve"> Yüksek İdare Mahkemesi Daireleri Kurulunun 12 Kasım 1976 günlü, 1974/159 esas sayılı gerekçeli kararı, sözlü açıklama tutanakları ile öteki </w:t>
      </w:r>
      <w:r w:rsidRPr="00344951">
        <w:rPr>
          <w:color w:val="010000"/>
        </w:rPr>
        <w:lastRenderedPageBreak/>
        <w:t>kâğıtlar, iptali istenen kanun hükümleri, ilgili yasa ve Anayasa kuralları ve bunlarla ilgili gerekçeler ve yasa</w:t>
      </w:r>
      <w:r w:rsidR="00284A69" w:rsidRPr="00344951">
        <w:rPr>
          <w:color w:val="010000"/>
        </w:rPr>
        <w:t>da belgeleri okunduktan sonra gereği görüşülüp düşünüldü:</w:t>
      </w:r>
    </w:p>
    <w:p w14:paraId="53227B7B" w14:textId="77777777" w:rsidR="00284A69" w:rsidRPr="00344951" w:rsidRDefault="00284A69" w:rsidP="00344951">
      <w:pPr>
        <w:pStyle w:val="NormalWeb"/>
        <w:numPr>
          <w:ilvl w:val="0"/>
          <w:numId w:val="13"/>
        </w:numPr>
        <w:spacing w:before="0" w:beforeAutospacing="0" w:after="200" w:afterAutospacing="0"/>
        <w:ind w:left="0" w:right="283" w:firstLine="709"/>
        <w:jc w:val="both"/>
        <w:rPr>
          <w:color w:val="010000"/>
        </w:rPr>
      </w:pPr>
      <w:r w:rsidRPr="00344951">
        <w:rPr>
          <w:color w:val="010000"/>
        </w:rPr>
        <w:t xml:space="preserve">926 </w:t>
      </w:r>
      <w:r w:rsidR="00441782" w:rsidRPr="00344951">
        <w:rPr>
          <w:color w:val="010000"/>
        </w:rPr>
        <w:t>S</w:t>
      </w:r>
      <w:r w:rsidRPr="00344951">
        <w:rPr>
          <w:color w:val="010000"/>
        </w:rPr>
        <w:t xml:space="preserve">ayılı Türk </w:t>
      </w:r>
      <w:proofErr w:type="spellStart"/>
      <w:r w:rsidRPr="00344951">
        <w:rPr>
          <w:color w:val="010000"/>
        </w:rPr>
        <w:t>Sil</w:t>
      </w:r>
      <w:r w:rsidR="006B3ADF" w:rsidRPr="00344951">
        <w:rPr>
          <w:color w:val="010000"/>
        </w:rPr>
        <w:t>â</w:t>
      </w:r>
      <w:r w:rsidRPr="00344951">
        <w:rPr>
          <w:color w:val="010000"/>
        </w:rPr>
        <w:t>hlı</w:t>
      </w:r>
      <w:proofErr w:type="spellEnd"/>
      <w:r w:rsidRPr="00344951">
        <w:rPr>
          <w:color w:val="010000"/>
        </w:rPr>
        <w:t xml:space="preserve"> Kuvvetleri Personel Yasası</w:t>
      </w:r>
      <w:r w:rsidR="00441782" w:rsidRPr="00344951">
        <w:rPr>
          <w:color w:val="010000"/>
        </w:rPr>
        <w:t>’</w:t>
      </w:r>
      <w:r w:rsidRPr="00344951">
        <w:rPr>
          <w:color w:val="010000"/>
        </w:rPr>
        <w:t xml:space="preserve">nın 1424 </w:t>
      </w:r>
      <w:r w:rsidR="00441782" w:rsidRPr="00344951">
        <w:rPr>
          <w:color w:val="010000"/>
        </w:rPr>
        <w:t>S</w:t>
      </w:r>
      <w:r w:rsidRPr="00344951">
        <w:rPr>
          <w:color w:val="010000"/>
        </w:rPr>
        <w:t xml:space="preserve">ayılı </w:t>
      </w:r>
      <w:r w:rsidR="00441782" w:rsidRPr="00344951">
        <w:rPr>
          <w:color w:val="010000"/>
        </w:rPr>
        <w:t>Y</w:t>
      </w:r>
      <w:r w:rsidRPr="00344951">
        <w:rPr>
          <w:color w:val="010000"/>
        </w:rPr>
        <w:t xml:space="preserve">asa ile </w:t>
      </w:r>
      <w:r w:rsidR="00441782" w:rsidRPr="00344951">
        <w:rPr>
          <w:color w:val="010000"/>
        </w:rPr>
        <w:t>D</w:t>
      </w:r>
      <w:r w:rsidRPr="00344951">
        <w:rPr>
          <w:color w:val="010000"/>
        </w:rPr>
        <w:t xml:space="preserve">eğişik 49. </w:t>
      </w:r>
      <w:r w:rsidR="00441782" w:rsidRPr="00344951">
        <w:rPr>
          <w:color w:val="010000"/>
        </w:rPr>
        <w:t xml:space="preserve">Maddesinin Birinci Fıkrasının </w:t>
      </w:r>
      <w:r w:rsidRPr="00344951">
        <w:rPr>
          <w:color w:val="010000"/>
        </w:rPr>
        <w:t xml:space="preserve">(a) </w:t>
      </w:r>
      <w:r w:rsidR="00441782" w:rsidRPr="00344951">
        <w:rPr>
          <w:color w:val="010000"/>
        </w:rPr>
        <w:t>B</w:t>
      </w:r>
      <w:r w:rsidRPr="00344951">
        <w:rPr>
          <w:color w:val="010000"/>
        </w:rPr>
        <w:t xml:space="preserve">endi </w:t>
      </w:r>
      <w:r w:rsidR="00441782" w:rsidRPr="00344951">
        <w:rPr>
          <w:color w:val="010000"/>
        </w:rPr>
        <w:t>Hükmünün Anayasa’ya Aykırılığı Sorunu</w:t>
      </w:r>
      <w:r w:rsidRPr="00344951">
        <w:rPr>
          <w:color w:val="010000"/>
        </w:rPr>
        <w:t>:</w:t>
      </w:r>
    </w:p>
    <w:p w14:paraId="6CE7F832" w14:textId="77777777" w:rsidR="00284A69" w:rsidRPr="00344951" w:rsidRDefault="00284A69" w:rsidP="00344951">
      <w:pPr>
        <w:pStyle w:val="NormalWeb"/>
        <w:spacing w:before="0" w:beforeAutospacing="0" w:after="200" w:afterAutospacing="0"/>
        <w:ind w:right="283" w:firstLine="709"/>
        <w:jc w:val="both"/>
        <w:rPr>
          <w:color w:val="010000"/>
        </w:rPr>
      </w:pPr>
      <w:r w:rsidRPr="00344951">
        <w:rPr>
          <w:color w:val="010000"/>
        </w:rPr>
        <w:t>Anayasa</w:t>
      </w:r>
      <w:r w:rsidR="00441782" w:rsidRPr="00344951">
        <w:rPr>
          <w:color w:val="010000"/>
        </w:rPr>
        <w:t>’</w:t>
      </w:r>
      <w:r w:rsidRPr="00344951">
        <w:rPr>
          <w:color w:val="010000"/>
        </w:rPr>
        <w:t xml:space="preserve">ya aykırılığı ileri sürülen bu hüküm ile Genelkurmay Başkanlığına Silahlı </w:t>
      </w:r>
      <w:r w:rsidR="00441782" w:rsidRPr="00344951">
        <w:rPr>
          <w:color w:val="010000"/>
        </w:rPr>
        <w:t>K</w:t>
      </w:r>
      <w:r w:rsidRPr="00344951">
        <w:rPr>
          <w:color w:val="010000"/>
        </w:rPr>
        <w:t>uvvetlerde (J.</w:t>
      </w:r>
      <w:r w:rsidR="00441782" w:rsidRPr="00344951">
        <w:rPr>
          <w:color w:val="010000"/>
        </w:rPr>
        <w:t xml:space="preserve"> </w:t>
      </w:r>
      <w:r w:rsidRPr="00344951">
        <w:rPr>
          <w:color w:val="010000"/>
        </w:rPr>
        <w:t>Gn.</w:t>
      </w:r>
      <w:r w:rsidR="00441782" w:rsidRPr="00344951">
        <w:rPr>
          <w:color w:val="010000"/>
        </w:rPr>
        <w:t xml:space="preserve"> </w:t>
      </w:r>
      <w:proofErr w:type="spellStart"/>
      <w:proofErr w:type="gramStart"/>
      <w:r w:rsidRPr="00344951">
        <w:rPr>
          <w:color w:val="010000"/>
        </w:rPr>
        <w:t>K.lığı</w:t>
      </w:r>
      <w:proofErr w:type="spellEnd"/>
      <w:proofErr w:type="gramEnd"/>
      <w:r w:rsidRPr="00344951">
        <w:rPr>
          <w:color w:val="010000"/>
        </w:rPr>
        <w:t xml:space="preserve"> d</w:t>
      </w:r>
      <w:r w:rsidR="00441782" w:rsidRPr="00344951">
        <w:rPr>
          <w:color w:val="010000"/>
        </w:rPr>
        <w:t>â</w:t>
      </w:r>
      <w:r w:rsidRPr="00344951">
        <w:rPr>
          <w:color w:val="010000"/>
        </w:rPr>
        <w:t>hil) general ve amiral kadrolarını Silahlı Kuvvetlerin hizmet ihtiyacına göre ve belirli bir oranda saptama yetkisi verilmektedir. (a) Bendinin öteki fıkralarında da her kuvvetin muvazzaf subay mevcudunda artma, eksilme, değişiklik ve boşalma olması h</w:t>
      </w:r>
      <w:r w:rsidR="00441782" w:rsidRPr="00344951">
        <w:rPr>
          <w:color w:val="010000"/>
        </w:rPr>
        <w:t>â</w:t>
      </w:r>
      <w:r w:rsidRPr="00344951">
        <w:rPr>
          <w:color w:val="010000"/>
        </w:rPr>
        <w:t>llerinde, saptanan bu kadrolar hakkında yapılacak işlemler açıklanmakta ve yine Genelkurmay Başkanlığının bu konudaki yetkileri belirtilmektedir.</w:t>
      </w:r>
    </w:p>
    <w:p w14:paraId="1A298031" w14:textId="77777777" w:rsidR="00284A69" w:rsidRPr="00344951" w:rsidRDefault="00066CAC" w:rsidP="00344951">
      <w:pPr>
        <w:pStyle w:val="NormalWeb"/>
        <w:spacing w:before="0" w:beforeAutospacing="0" w:after="200" w:afterAutospacing="0"/>
        <w:ind w:right="283" w:firstLine="709"/>
        <w:jc w:val="both"/>
        <w:rPr>
          <w:color w:val="010000"/>
        </w:rPr>
      </w:pPr>
      <w:r w:rsidRPr="00344951">
        <w:rPr>
          <w:color w:val="010000"/>
        </w:rPr>
        <w:t>Asker</w:t>
      </w:r>
      <w:r w:rsidR="00441782" w:rsidRPr="00344951">
        <w:rPr>
          <w:color w:val="010000"/>
        </w:rPr>
        <w:t>î</w:t>
      </w:r>
      <w:r w:rsidRPr="00344951">
        <w:rPr>
          <w:color w:val="010000"/>
        </w:rPr>
        <w:t xml:space="preserve"> Yüksek İdare Mahkemesi Daireler Kurulu, bu bent hükmünün Anayasa</w:t>
      </w:r>
      <w:r w:rsidR="00441782" w:rsidRPr="00344951">
        <w:rPr>
          <w:color w:val="010000"/>
        </w:rPr>
        <w:t>’</w:t>
      </w:r>
      <w:r w:rsidRPr="00344951">
        <w:rPr>
          <w:color w:val="010000"/>
        </w:rPr>
        <w:t xml:space="preserve">nın 12. maddesine ve 105. maddesinin ikinci fıkrasına aykırı olduğunu ileri sürerek iptali istemektedir. (a) </w:t>
      </w:r>
      <w:r w:rsidR="00441782" w:rsidRPr="00344951">
        <w:rPr>
          <w:color w:val="010000"/>
        </w:rPr>
        <w:t>b</w:t>
      </w:r>
      <w:r w:rsidRPr="00344951">
        <w:rPr>
          <w:color w:val="010000"/>
        </w:rPr>
        <w:t xml:space="preserve">endinin iptali istemi, aynı </w:t>
      </w:r>
      <w:r w:rsidR="00441782" w:rsidRPr="00344951">
        <w:rPr>
          <w:color w:val="010000"/>
        </w:rPr>
        <w:t>M</w:t>
      </w:r>
      <w:r w:rsidRPr="00344951">
        <w:rPr>
          <w:color w:val="010000"/>
        </w:rPr>
        <w:t xml:space="preserve">ahkemenin 12 Kasım 1976 günlü, 1974/154 </w:t>
      </w:r>
      <w:r w:rsidR="00441782" w:rsidRPr="00344951">
        <w:rPr>
          <w:color w:val="010000"/>
        </w:rPr>
        <w:t>E</w:t>
      </w:r>
      <w:r w:rsidRPr="00344951">
        <w:rPr>
          <w:color w:val="010000"/>
        </w:rPr>
        <w:t>sas sayılı başvurma kararında da iler sürülmüş ve yapılan görüşmeler sonunda itiraz konusu hükmün Anayasa</w:t>
      </w:r>
      <w:r w:rsidR="00441782" w:rsidRPr="00344951">
        <w:rPr>
          <w:color w:val="010000"/>
        </w:rPr>
        <w:t>’</w:t>
      </w:r>
      <w:r w:rsidRPr="00344951">
        <w:rPr>
          <w:color w:val="010000"/>
        </w:rPr>
        <w:t>ya aykırı olmadığına, bu hükme yönelen itirazın reddine karar verilmiştir.</w:t>
      </w:r>
    </w:p>
    <w:p w14:paraId="45278C2D" w14:textId="77777777" w:rsidR="00066CAC" w:rsidRPr="00344951" w:rsidRDefault="00634D23" w:rsidP="00344951">
      <w:pPr>
        <w:pStyle w:val="NormalWeb"/>
        <w:spacing w:before="0" w:beforeAutospacing="0" w:after="200" w:afterAutospacing="0"/>
        <w:ind w:right="283" w:firstLine="709"/>
        <w:jc w:val="both"/>
        <w:rPr>
          <w:color w:val="010000"/>
        </w:rPr>
      </w:pPr>
      <w:r w:rsidRPr="00344951">
        <w:rPr>
          <w:color w:val="010000"/>
        </w:rPr>
        <w:t>Konuya ilişkin gerekçenin 13.12.1977 günlü, Esas</w:t>
      </w:r>
      <w:r w:rsidR="00441782" w:rsidRPr="00344951">
        <w:rPr>
          <w:color w:val="010000"/>
        </w:rPr>
        <w:t xml:space="preserve"> </w:t>
      </w:r>
      <w:r w:rsidRPr="00344951">
        <w:rPr>
          <w:color w:val="010000"/>
        </w:rPr>
        <w:t>1977/11, Karar</w:t>
      </w:r>
      <w:r w:rsidR="00441782" w:rsidRPr="00344951">
        <w:rPr>
          <w:color w:val="010000"/>
        </w:rPr>
        <w:t xml:space="preserve"> </w:t>
      </w:r>
      <w:r w:rsidRPr="00344951">
        <w:rPr>
          <w:color w:val="010000"/>
        </w:rPr>
        <w:t>1977/133 sayılı Anayasa Mahkemesi kararında ayrıntılarıyl</w:t>
      </w:r>
      <w:r w:rsidR="00441782" w:rsidRPr="00344951">
        <w:rPr>
          <w:color w:val="010000"/>
        </w:rPr>
        <w:t>a</w:t>
      </w:r>
      <w:r w:rsidRPr="00344951">
        <w:rPr>
          <w:color w:val="010000"/>
        </w:rPr>
        <w:t xml:space="preserve"> açıklanmış bulunması nedeniyle </w:t>
      </w:r>
      <w:r w:rsidR="003102B1" w:rsidRPr="00344951">
        <w:rPr>
          <w:color w:val="010000"/>
        </w:rPr>
        <w:t>burada yinelenmesine gerek görülmemiştir.</w:t>
      </w:r>
    </w:p>
    <w:p w14:paraId="193972EA" w14:textId="77777777" w:rsidR="003102B1" w:rsidRPr="00344951" w:rsidRDefault="003102B1" w:rsidP="00344951">
      <w:pPr>
        <w:pStyle w:val="NormalWeb"/>
        <w:spacing w:before="0" w:beforeAutospacing="0" w:after="200" w:afterAutospacing="0"/>
        <w:ind w:right="283" w:firstLine="709"/>
        <w:jc w:val="both"/>
        <w:rPr>
          <w:color w:val="010000"/>
        </w:rPr>
      </w:pPr>
      <w:r w:rsidRPr="00344951">
        <w:rPr>
          <w:color w:val="010000"/>
        </w:rPr>
        <w:t xml:space="preserve">Madenin birinci fıkrasının (a) </w:t>
      </w:r>
      <w:r w:rsidR="00441782" w:rsidRPr="00344951">
        <w:rPr>
          <w:color w:val="010000"/>
        </w:rPr>
        <w:t>b</w:t>
      </w:r>
      <w:r w:rsidRPr="00344951">
        <w:rPr>
          <w:color w:val="010000"/>
        </w:rPr>
        <w:t>endine yönelen iptal istemi, Anayasa Mahkemesinin sözü edilen kararındaki aynı gerekçelerle reddedilmelidir.</w:t>
      </w:r>
    </w:p>
    <w:p w14:paraId="4BFA494F" w14:textId="77777777" w:rsidR="003102B1" w:rsidRPr="00344951" w:rsidRDefault="003102B1" w:rsidP="00344951">
      <w:pPr>
        <w:pStyle w:val="NormalWeb"/>
        <w:numPr>
          <w:ilvl w:val="0"/>
          <w:numId w:val="13"/>
        </w:numPr>
        <w:spacing w:before="0" w:beforeAutospacing="0" w:after="200" w:afterAutospacing="0"/>
        <w:ind w:left="0" w:right="283" w:firstLine="709"/>
        <w:jc w:val="both"/>
        <w:rPr>
          <w:color w:val="010000"/>
        </w:rPr>
      </w:pPr>
      <w:r w:rsidRPr="00344951">
        <w:rPr>
          <w:color w:val="010000"/>
        </w:rPr>
        <w:t xml:space="preserve">926 </w:t>
      </w:r>
      <w:r w:rsidR="00441782" w:rsidRPr="00344951">
        <w:rPr>
          <w:color w:val="010000"/>
        </w:rPr>
        <w:t>S</w:t>
      </w:r>
      <w:r w:rsidRPr="00344951">
        <w:rPr>
          <w:color w:val="010000"/>
        </w:rPr>
        <w:t>ayılı Yasa</w:t>
      </w:r>
      <w:r w:rsidR="00441782" w:rsidRPr="00344951">
        <w:rPr>
          <w:color w:val="010000"/>
        </w:rPr>
        <w:t>’</w:t>
      </w:r>
      <w:r w:rsidRPr="00344951">
        <w:rPr>
          <w:color w:val="010000"/>
        </w:rPr>
        <w:t xml:space="preserve">nın </w:t>
      </w:r>
      <w:r w:rsidR="00441782" w:rsidRPr="00344951">
        <w:rPr>
          <w:color w:val="010000"/>
        </w:rPr>
        <w:t>Y</w:t>
      </w:r>
      <w:r w:rsidRPr="00344951">
        <w:rPr>
          <w:color w:val="010000"/>
        </w:rPr>
        <w:t xml:space="preserve">ine 1424 </w:t>
      </w:r>
      <w:r w:rsidR="00441782" w:rsidRPr="00344951">
        <w:rPr>
          <w:color w:val="010000"/>
        </w:rPr>
        <w:t>S</w:t>
      </w:r>
      <w:r w:rsidRPr="00344951">
        <w:rPr>
          <w:color w:val="010000"/>
        </w:rPr>
        <w:t xml:space="preserve">ayılı </w:t>
      </w:r>
      <w:r w:rsidR="00441782" w:rsidRPr="00344951">
        <w:rPr>
          <w:color w:val="010000"/>
        </w:rPr>
        <w:t>Y</w:t>
      </w:r>
      <w:r w:rsidRPr="00344951">
        <w:rPr>
          <w:color w:val="010000"/>
        </w:rPr>
        <w:t xml:space="preserve">asa ile </w:t>
      </w:r>
      <w:r w:rsidR="00441782" w:rsidRPr="00344951">
        <w:rPr>
          <w:color w:val="010000"/>
        </w:rPr>
        <w:t>D</w:t>
      </w:r>
      <w:r w:rsidRPr="00344951">
        <w:rPr>
          <w:color w:val="010000"/>
        </w:rPr>
        <w:t xml:space="preserve">eğişik 54. </w:t>
      </w:r>
      <w:r w:rsidR="00441782" w:rsidRPr="00344951">
        <w:rPr>
          <w:color w:val="010000"/>
        </w:rPr>
        <w:t>M</w:t>
      </w:r>
      <w:r w:rsidRPr="00344951">
        <w:rPr>
          <w:color w:val="010000"/>
        </w:rPr>
        <w:t>addesinin Anayasa</w:t>
      </w:r>
      <w:r w:rsidR="00441782" w:rsidRPr="00344951">
        <w:rPr>
          <w:color w:val="010000"/>
        </w:rPr>
        <w:t>’ya</w:t>
      </w:r>
      <w:r w:rsidRPr="00344951">
        <w:rPr>
          <w:color w:val="010000"/>
        </w:rPr>
        <w:t xml:space="preserve"> </w:t>
      </w:r>
      <w:r w:rsidR="00441782" w:rsidRPr="00344951">
        <w:rPr>
          <w:color w:val="010000"/>
        </w:rPr>
        <w:t>Aykırılığı Sorunu</w:t>
      </w:r>
      <w:r w:rsidRPr="00344951">
        <w:rPr>
          <w:color w:val="010000"/>
        </w:rPr>
        <w:t>:</w:t>
      </w:r>
    </w:p>
    <w:p w14:paraId="5BDB2E6B" w14:textId="77777777" w:rsidR="003102B1" w:rsidRPr="00344951" w:rsidRDefault="00B23E70" w:rsidP="00344951">
      <w:pPr>
        <w:pStyle w:val="NormalWeb"/>
        <w:spacing w:before="0" w:beforeAutospacing="0" w:after="200" w:afterAutospacing="0"/>
        <w:ind w:right="283" w:firstLine="709"/>
        <w:jc w:val="both"/>
        <w:rPr>
          <w:color w:val="010000"/>
        </w:rPr>
      </w:pPr>
      <w:r w:rsidRPr="00344951">
        <w:rPr>
          <w:color w:val="010000"/>
        </w:rPr>
        <w:t xml:space="preserve">Bu </w:t>
      </w:r>
      <w:r w:rsidR="00DB1D88" w:rsidRPr="00344951">
        <w:rPr>
          <w:color w:val="010000"/>
        </w:rPr>
        <w:t>maddenin kapsadığı kurallar şunlardır:</w:t>
      </w:r>
    </w:p>
    <w:p w14:paraId="0290AD18" w14:textId="77777777" w:rsidR="00DB1D88" w:rsidRPr="00344951" w:rsidRDefault="00DB1D88" w:rsidP="00344951">
      <w:pPr>
        <w:pStyle w:val="NormalWeb"/>
        <w:spacing w:before="0" w:beforeAutospacing="0" w:after="200" w:afterAutospacing="0"/>
        <w:ind w:right="283" w:firstLine="709"/>
        <w:jc w:val="both"/>
        <w:rPr>
          <w:color w:val="010000"/>
        </w:rPr>
      </w:pPr>
      <w:r w:rsidRPr="00344951">
        <w:rPr>
          <w:color w:val="010000"/>
        </w:rPr>
        <w:t>Yüksek Asker</w:t>
      </w:r>
      <w:r w:rsidR="00441782" w:rsidRPr="00344951">
        <w:rPr>
          <w:color w:val="010000"/>
        </w:rPr>
        <w:t>î</w:t>
      </w:r>
      <w:r w:rsidRPr="00344951">
        <w:rPr>
          <w:color w:val="010000"/>
        </w:rPr>
        <w:t xml:space="preserve"> Ş</w:t>
      </w:r>
      <w:r w:rsidR="00441782" w:rsidRPr="00344951">
        <w:rPr>
          <w:color w:val="010000"/>
        </w:rPr>
        <w:t>û</w:t>
      </w:r>
      <w:r w:rsidRPr="00344951">
        <w:rPr>
          <w:color w:val="010000"/>
        </w:rPr>
        <w:t>ra, Kuvvet Komutanlıklarından ve Jandarma Genel Komutanlığından gönderilen yükselme sırasındaki General ve amirallerin şahsi dosyalarını ve rütbelerine ilişkin sicil belgelerini incel</w:t>
      </w:r>
      <w:r w:rsidR="00441782" w:rsidRPr="00344951">
        <w:rPr>
          <w:color w:val="010000"/>
        </w:rPr>
        <w:t>e</w:t>
      </w:r>
      <w:r w:rsidRPr="00344951">
        <w:rPr>
          <w:color w:val="010000"/>
        </w:rPr>
        <w:t xml:space="preserve">yecek; Subay </w:t>
      </w:r>
      <w:r w:rsidR="00441782" w:rsidRPr="00344951">
        <w:rPr>
          <w:color w:val="010000"/>
        </w:rPr>
        <w:t xml:space="preserve">Sicil Yönetmeliği’nde </w:t>
      </w:r>
      <w:r w:rsidRPr="00344951">
        <w:rPr>
          <w:color w:val="010000"/>
        </w:rPr>
        <w:t>gösterilen esaslara göre değerlendirme notu verecek ve bundan sonra da sicil notu ortalaması ile değerlendirme notu, yeterlik notu olarak saptanacak</w:t>
      </w:r>
      <w:r w:rsidR="00441782" w:rsidRPr="00344951">
        <w:rPr>
          <w:color w:val="010000"/>
        </w:rPr>
        <w:t>,</w:t>
      </w:r>
      <w:r w:rsidRPr="00344951">
        <w:rPr>
          <w:color w:val="010000"/>
        </w:rPr>
        <w:t xml:space="preserve"> en üstün yeterlik notu alanlardan başlanmak üzere bir yeterlik sıralaması yapılacak</w:t>
      </w:r>
      <w:r w:rsidR="00441782" w:rsidRPr="00344951">
        <w:rPr>
          <w:color w:val="010000"/>
        </w:rPr>
        <w:t>,</w:t>
      </w:r>
      <w:r w:rsidRPr="00344951">
        <w:rPr>
          <w:color w:val="010000"/>
        </w:rPr>
        <w:t xml:space="preserve"> yeterlik notu en yüksek olanlardan itibaren kadro ihtiyacı kadar general ve amiral bir üst rütbeye yükseltilecektir.</w:t>
      </w:r>
    </w:p>
    <w:p w14:paraId="034D2C9E" w14:textId="77777777" w:rsidR="00DB1D88" w:rsidRPr="00344951" w:rsidRDefault="00411457" w:rsidP="00344951">
      <w:pPr>
        <w:pStyle w:val="NormalWeb"/>
        <w:spacing w:before="0" w:beforeAutospacing="0" w:after="200" w:afterAutospacing="0"/>
        <w:ind w:right="283" w:firstLine="709"/>
        <w:jc w:val="both"/>
        <w:rPr>
          <w:color w:val="010000"/>
        </w:rPr>
      </w:pPr>
      <w:r w:rsidRPr="00344951">
        <w:rPr>
          <w:color w:val="010000"/>
        </w:rPr>
        <w:t xml:space="preserve">İtiraz yoluna başvuran mahkeme, bu madde ile getirilen </w:t>
      </w:r>
      <w:r w:rsidR="00CF580C" w:rsidRPr="00344951">
        <w:rPr>
          <w:color w:val="010000"/>
        </w:rPr>
        <w:t>hükmün Anayasa</w:t>
      </w:r>
      <w:r w:rsidR="00441782" w:rsidRPr="00344951">
        <w:rPr>
          <w:color w:val="010000"/>
        </w:rPr>
        <w:t>’</w:t>
      </w:r>
      <w:r w:rsidR="00CF580C" w:rsidRPr="00344951">
        <w:rPr>
          <w:color w:val="010000"/>
        </w:rPr>
        <w:t>nın 12. maddesindeki ve 58. maddesinin ikinci fıkrasındaki kurallara aykırılığını iddia etmektedir.</w:t>
      </w:r>
    </w:p>
    <w:p w14:paraId="42B55409" w14:textId="77777777" w:rsidR="00CF580C" w:rsidRPr="00344951" w:rsidRDefault="00CF580C" w:rsidP="00344951">
      <w:pPr>
        <w:pStyle w:val="NormalWeb"/>
        <w:spacing w:before="0" w:beforeAutospacing="0" w:after="200" w:afterAutospacing="0"/>
        <w:ind w:right="283" w:firstLine="709"/>
        <w:jc w:val="both"/>
        <w:rPr>
          <w:color w:val="010000"/>
        </w:rPr>
      </w:pPr>
      <w:r w:rsidRPr="00344951">
        <w:rPr>
          <w:color w:val="010000"/>
        </w:rPr>
        <w:t>Söz</w:t>
      </w:r>
      <w:r w:rsidR="00441782" w:rsidRPr="00344951">
        <w:rPr>
          <w:color w:val="010000"/>
        </w:rPr>
        <w:t xml:space="preserve"> </w:t>
      </w:r>
      <w:r w:rsidRPr="00344951">
        <w:rPr>
          <w:color w:val="010000"/>
        </w:rPr>
        <w:t>konusu madde hükmünün iptali, aynı mahkemenin yukarıda belirtilen kararında da istenmiş ve yapılan görüşmeler sonunda hüküm, Anayasa</w:t>
      </w:r>
      <w:r w:rsidR="00441782" w:rsidRPr="00344951">
        <w:rPr>
          <w:color w:val="010000"/>
        </w:rPr>
        <w:t>’</w:t>
      </w:r>
      <w:r w:rsidRPr="00344951">
        <w:rPr>
          <w:color w:val="010000"/>
        </w:rPr>
        <w:t>ya aykırı görülmediğinden itirazın reddine karar verilmiştir.</w:t>
      </w:r>
    </w:p>
    <w:p w14:paraId="4165B54E" w14:textId="77777777" w:rsidR="001C0442" w:rsidRPr="00344951" w:rsidRDefault="001C0442" w:rsidP="00344951">
      <w:pPr>
        <w:pStyle w:val="NormalWeb"/>
        <w:spacing w:before="0" w:beforeAutospacing="0" w:after="200" w:afterAutospacing="0"/>
        <w:ind w:right="283" w:firstLine="709"/>
        <w:jc w:val="both"/>
        <w:rPr>
          <w:color w:val="010000"/>
        </w:rPr>
      </w:pPr>
      <w:r w:rsidRPr="00344951">
        <w:rPr>
          <w:color w:val="010000"/>
        </w:rPr>
        <w:t>Ayrıntılı gerekçeler, yukarıda (A) bölümünde değinilen Anayasa Mahkemesi kararında açıklanmış olduğundan bu maddeye yönelik itirazın da aynı gerekçelerle reddine karar verilmelidir.</w:t>
      </w:r>
    </w:p>
    <w:p w14:paraId="75E953F0" w14:textId="77777777" w:rsidR="001C0442" w:rsidRPr="00344951" w:rsidRDefault="001C0442" w:rsidP="00344951">
      <w:pPr>
        <w:pStyle w:val="NormalWeb"/>
        <w:numPr>
          <w:ilvl w:val="0"/>
          <w:numId w:val="13"/>
        </w:numPr>
        <w:spacing w:before="0" w:beforeAutospacing="0" w:after="200" w:afterAutospacing="0"/>
        <w:ind w:left="0" w:right="283" w:firstLine="709"/>
        <w:jc w:val="both"/>
        <w:rPr>
          <w:color w:val="010000"/>
        </w:rPr>
      </w:pPr>
      <w:r w:rsidRPr="00344951">
        <w:rPr>
          <w:color w:val="010000"/>
        </w:rPr>
        <w:t xml:space="preserve">926 Sayılı </w:t>
      </w:r>
      <w:r w:rsidR="00441782" w:rsidRPr="00344951">
        <w:rPr>
          <w:color w:val="010000"/>
        </w:rPr>
        <w:t>Y</w:t>
      </w:r>
      <w:r w:rsidRPr="00344951">
        <w:rPr>
          <w:color w:val="010000"/>
        </w:rPr>
        <w:t>asa</w:t>
      </w:r>
      <w:r w:rsidR="00441782" w:rsidRPr="00344951">
        <w:rPr>
          <w:color w:val="010000"/>
        </w:rPr>
        <w:t>’</w:t>
      </w:r>
      <w:r w:rsidRPr="00344951">
        <w:rPr>
          <w:color w:val="010000"/>
        </w:rPr>
        <w:t xml:space="preserve">nın </w:t>
      </w:r>
      <w:r w:rsidR="00441782" w:rsidRPr="00344951">
        <w:rPr>
          <w:color w:val="010000"/>
        </w:rPr>
        <w:t>Y</w:t>
      </w:r>
      <w:r w:rsidRPr="00344951">
        <w:rPr>
          <w:color w:val="010000"/>
        </w:rPr>
        <w:t xml:space="preserve">ine 1424 </w:t>
      </w:r>
      <w:r w:rsidR="00441782" w:rsidRPr="00344951">
        <w:rPr>
          <w:color w:val="010000"/>
        </w:rPr>
        <w:t>S</w:t>
      </w:r>
      <w:r w:rsidRPr="00344951">
        <w:rPr>
          <w:color w:val="010000"/>
        </w:rPr>
        <w:t xml:space="preserve">ayılı </w:t>
      </w:r>
      <w:r w:rsidR="00441782" w:rsidRPr="00344951">
        <w:rPr>
          <w:color w:val="010000"/>
        </w:rPr>
        <w:t>Y</w:t>
      </w:r>
      <w:r w:rsidRPr="00344951">
        <w:rPr>
          <w:color w:val="010000"/>
        </w:rPr>
        <w:t xml:space="preserve">asa ile </w:t>
      </w:r>
      <w:r w:rsidR="00441782" w:rsidRPr="00344951">
        <w:rPr>
          <w:color w:val="010000"/>
        </w:rPr>
        <w:t>D</w:t>
      </w:r>
      <w:r w:rsidRPr="00344951">
        <w:rPr>
          <w:color w:val="010000"/>
        </w:rPr>
        <w:t xml:space="preserve">eğişik Ek Geçici 14. Maddesinin (a) </w:t>
      </w:r>
      <w:r w:rsidR="00441782" w:rsidRPr="00344951">
        <w:rPr>
          <w:color w:val="010000"/>
        </w:rPr>
        <w:t>B</w:t>
      </w:r>
      <w:r w:rsidRPr="00344951">
        <w:rPr>
          <w:color w:val="010000"/>
        </w:rPr>
        <w:t xml:space="preserve">endinin </w:t>
      </w:r>
      <w:r w:rsidR="00441782" w:rsidRPr="00344951">
        <w:rPr>
          <w:color w:val="010000"/>
        </w:rPr>
        <w:t>M</w:t>
      </w:r>
      <w:r w:rsidRPr="00344951">
        <w:rPr>
          <w:color w:val="010000"/>
        </w:rPr>
        <w:t xml:space="preserve">etin </w:t>
      </w:r>
      <w:r w:rsidR="00441782" w:rsidRPr="00344951">
        <w:rPr>
          <w:color w:val="010000"/>
        </w:rPr>
        <w:t>B</w:t>
      </w:r>
      <w:r w:rsidRPr="00344951">
        <w:rPr>
          <w:color w:val="010000"/>
        </w:rPr>
        <w:t>ölümünün Anayasa</w:t>
      </w:r>
      <w:r w:rsidR="00441782" w:rsidRPr="00344951">
        <w:rPr>
          <w:color w:val="010000"/>
        </w:rPr>
        <w:t>’</w:t>
      </w:r>
      <w:r w:rsidRPr="00344951">
        <w:rPr>
          <w:color w:val="010000"/>
        </w:rPr>
        <w:t xml:space="preserve">ya </w:t>
      </w:r>
      <w:r w:rsidR="00441782" w:rsidRPr="00344951">
        <w:rPr>
          <w:color w:val="010000"/>
        </w:rPr>
        <w:t>A</w:t>
      </w:r>
      <w:r w:rsidRPr="00344951">
        <w:rPr>
          <w:color w:val="010000"/>
        </w:rPr>
        <w:t xml:space="preserve">ykırılığı </w:t>
      </w:r>
      <w:r w:rsidR="00441782" w:rsidRPr="00344951">
        <w:rPr>
          <w:color w:val="010000"/>
        </w:rPr>
        <w:t>S</w:t>
      </w:r>
      <w:r w:rsidRPr="00344951">
        <w:rPr>
          <w:color w:val="010000"/>
        </w:rPr>
        <w:t>orunu:</w:t>
      </w:r>
    </w:p>
    <w:p w14:paraId="13461FE4" w14:textId="77777777" w:rsidR="00246444" w:rsidRPr="00344951" w:rsidRDefault="001C0442" w:rsidP="00344951">
      <w:pPr>
        <w:pStyle w:val="NormalWeb"/>
        <w:spacing w:before="0" w:beforeAutospacing="0" w:after="200" w:afterAutospacing="0"/>
        <w:ind w:right="283" w:firstLine="709"/>
        <w:jc w:val="both"/>
        <w:rPr>
          <w:color w:val="010000"/>
        </w:rPr>
      </w:pPr>
      <w:r w:rsidRPr="00344951">
        <w:rPr>
          <w:color w:val="010000"/>
        </w:rPr>
        <w:lastRenderedPageBreak/>
        <w:t xml:space="preserve">İtirazda bulunan </w:t>
      </w:r>
      <w:r w:rsidR="00441782" w:rsidRPr="00344951">
        <w:rPr>
          <w:color w:val="010000"/>
        </w:rPr>
        <w:t>M</w:t>
      </w:r>
      <w:r w:rsidRPr="00344951">
        <w:rPr>
          <w:color w:val="010000"/>
        </w:rPr>
        <w:t xml:space="preserve">ahkeme, ek geçici 14. </w:t>
      </w:r>
      <w:r w:rsidR="00246444" w:rsidRPr="00344951">
        <w:rPr>
          <w:color w:val="010000"/>
        </w:rPr>
        <w:t>m</w:t>
      </w:r>
      <w:r w:rsidRPr="00344951">
        <w:rPr>
          <w:color w:val="010000"/>
        </w:rPr>
        <w:t>addenin (a) bendinin Anayasa</w:t>
      </w:r>
      <w:r w:rsidR="00441782" w:rsidRPr="00344951">
        <w:rPr>
          <w:color w:val="010000"/>
        </w:rPr>
        <w:t>’</w:t>
      </w:r>
      <w:r w:rsidRPr="00344951">
        <w:rPr>
          <w:color w:val="010000"/>
        </w:rPr>
        <w:t xml:space="preserve">nın 12. </w:t>
      </w:r>
      <w:r w:rsidR="00246444" w:rsidRPr="00344951">
        <w:rPr>
          <w:color w:val="010000"/>
        </w:rPr>
        <w:t>m</w:t>
      </w:r>
      <w:r w:rsidRPr="00344951">
        <w:rPr>
          <w:color w:val="010000"/>
        </w:rPr>
        <w:t xml:space="preserve">addesindeki ve </w:t>
      </w:r>
      <w:r w:rsidR="00246444" w:rsidRPr="00344951">
        <w:rPr>
          <w:color w:val="010000"/>
        </w:rPr>
        <w:t xml:space="preserve">105. maddesinin ikinci fıkrasındaki kurallara aykırılığını öne sürerek iptalini istemektedir. (a) </w:t>
      </w:r>
      <w:r w:rsidR="00441782" w:rsidRPr="00344951">
        <w:rPr>
          <w:color w:val="010000"/>
        </w:rPr>
        <w:t>b</w:t>
      </w:r>
      <w:r w:rsidR="00246444" w:rsidRPr="00344951">
        <w:rPr>
          <w:color w:val="010000"/>
        </w:rPr>
        <w:t>endi, metin ile cetvel bölümlerinden oluştuğundan burada metin bölümünün Anayasa</w:t>
      </w:r>
      <w:r w:rsidR="00441782" w:rsidRPr="00344951">
        <w:rPr>
          <w:color w:val="010000"/>
        </w:rPr>
        <w:t>’</w:t>
      </w:r>
      <w:r w:rsidR="00246444" w:rsidRPr="00344951">
        <w:rPr>
          <w:color w:val="010000"/>
        </w:rPr>
        <w:t>ya aykırılığı savı üzerinde durulmuştur.</w:t>
      </w:r>
    </w:p>
    <w:p w14:paraId="0442317E" w14:textId="77777777" w:rsidR="00246444" w:rsidRPr="00344951" w:rsidRDefault="00246444" w:rsidP="00344951">
      <w:pPr>
        <w:pStyle w:val="NormalWeb"/>
        <w:spacing w:before="0" w:beforeAutospacing="0" w:after="200" w:afterAutospacing="0"/>
        <w:ind w:right="283" w:firstLine="709"/>
        <w:jc w:val="both"/>
        <w:rPr>
          <w:color w:val="010000"/>
        </w:rPr>
      </w:pPr>
      <w:r w:rsidRPr="00344951">
        <w:rPr>
          <w:color w:val="010000"/>
        </w:rPr>
        <w:t>İtiraz konusu bent hükmünün Anayasa</w:t>
      </w:r>
      <w:r w:rsidR="00441782" w:rsidRPr="00344951">
        <w:rPr>
          <w:color w:val="010000"/>
        </w:rPr>
        <w:t>’</w:t>
      </w:r>
      <w:r w:rsidRPr="00344951">
        <w:rPr>
          <w:color w:val="010000"/>
        </w:rPr>
        <w:t xml:space="preserve">ya aykırılığı, aynı </w:t>
      </w:r>
      <w:r w:rsidR="00441782" w:rsidRPr="00344951">
        <w:rPr>
          <w:color w:val="010000"/>
        </w:rPr>
        <w:t>M</w:t>
      </w:r>
      <w:r w:rsidRPr="00344951">
        <w:rPr>
          <w:color w:val="010000"/>
        </w:rPr>
        <w:t>ahkemenin yukarıda değinilen kararında da iler</w:t>
      </w:r>
      <w:r w:rsidR="00441782" w:rsidRPr="00344951">
        <w:rPr>
          <w:color w:val="010000"/>
        </w:rPr>
        <w:t>i</w:t>
      </w:r>
      <w:r w:rsidRPr="00344951">
        <w:rPr>
          <w:color w:val="010000"/>
        </w:rPr>
        <w:t xml:space="preserve"> sürülmüş, yapılan görüşmeler sonunda metin bölümünün Anayasa</w:t>
      </w:r>
      <w:r w:rsidR="006B3ADF" w:rsidRPr="00344951">
        <w:rPr>
          <w:color w:val="010000"/>
        </w:rPr>
        <w:t>’</w:t>
      </w:r>
      <w:r w:rsidRPr="00344951">
        <w:rPr>
          <w:color w:val="010000"/>
        </w:rPr>
        <w:t>ya aykırı olmadığına ve itirazın reddine karar verilmiştir. Bu konudaki gerekçeler (A) bölümünde sözü edilen Anayasa Mahkemesi kararında ayrıntılı biçimde açıklanmış olduğundan burada yinelenmemiştir.</w:t>
      </w:r>
    </w:p>
    <w:p w14:paraId="7A716312" w14:textId="77777777" w:rsidR="00246444" w:rsidRPr="00344951" w:rsidRDefault="00246444" w:rsidP="00344951">
      <w:pPr>
        <w:pStyle w:val="NormalWeb"/>
        <w:spacing w:before="0" w:beforeAutospacing="0" w:after="200" w:afterAutospacing="0"/>
        <w:ind w:right="283" w:firstLine="709"/>
        <w:jc w:val="both"/>
        <w:rPr>
          <w:color w:val="010000"/>
        </w:rPr>
      </w:pPr>
      <w:r w:rsidRPr="00344951">
        <w:rPr>
          <w:color w:val="010000"/>
        </w:rPr>
        <w:t>Bu bölüme yönelen itirazın da aynı nedenlerle reddine karar verilmesi gerekir.</w:t>
      </w:r>
    </w:p>
    <w:p w14:paraId="6AF2A17F" w14:textId="77777777" w:rsidR="00246444" w:rsidRPr="00344951" w:rsidRDefault="00246444" w:rsidP="00344951">
      <w:pPr>
        <w:pStyle w:val="NormalWeb"/>
        <w:numPr>
          <w:ilvl w:val="0"/>
          <w:numId w:val="13"/>
        </w:numPr>
        <w:spacing w:before="0" w:beforeAutospacing="0" w:after="200" w:afterAutospacing="0"/>
        <w:ind w:left="0" w:right="283" w:firstLine="709"/>
        <w:jc w:val="both"/>
        <w:rPr>
          <w:color w:val="010000"/>
        </w:rPr>
      </w:pPr>
      <w:r w:rsidRPr="00344951">
        <w:rPr>
          <w:color w:val="010000"/>
        </w:rPr>
        <w:t xml:space="preserve">Ek geçici 14. </w:t>
      </w:r>
      <w:r w:rsidR="006B3ADF" w:rsidRPr="00344951">
        <w:rPr>
          <w:color w:val="010000"/>
        </w:rPr>
        <w:t>m</w:t>
      </w:r>
      <w:r w:rsidRPr="00344951">
        <w:rPr>
          <w:color w:val="010000"/>
        </w:rPr>
        <w:t xml:space="preserve">addenin (a) bendinin </w:t>
      </w:r>
      <w:r w:rsidR="006B3ADF" w:rsidRPr="00344951">
        <w:rPr>
          <w:color w:val="010000"/>
        </w:rPr>
        <w:t>C</w:t>
      </w:r>
      <w:r w:rsidRPr="00344951">
        <w:rPr>
          <w:color w:val="010000"/>
        </w:rPr>
        <w:t>etvel bölümünde yer alan (J.</w:t>
      </w:r>
      <w:r w:rsidR="006B3ADF" w:rsidRPr="00344951">
        <w:rPr>
          <w:color w:val="010000"/>
        </w:rPr>
        <w:t xml:space="preserve"> </w:t>
      </w:r>
      <w:r w:rsidRPr="00344951">
        <w:rPr>
          <w:color w:val="010000"/>
        </w:rPr>
        <w:t>d</w:t>
      </w:r>
      <w:r w:rsidR="006B3ADF" w:rsidRPr="00344951">
        <w:rPr>
          <w:color w:val="010000"/>
        </w:rPr>
        <w:t>â</w:t>
      </w:r>
      <w:r w:rsidRPr="00344951">
        <w:rPr>
          <w:color w:val="010000"/>
        </w:rPr>
        <w:t>hil) biçimindeki hükmün Anayasa</w:t>
      </w:r>
      <w:r w:rsidR="006B3ADF" w:rsidRPr="00344951">
        <w:rPr>
          <w:color w:val="010000"/>
        </w:rPr>
        <w:t>’</w:t>
      </w:r>
      <w:r w:rsidRPr="00344951">
        <w:rPr>
          <w:color w:val="010000"/>
        </w:rPr>
        <w:t>ya aykırılığı sorununa gelince</w:t>
      </w:r>
      <w:r w:rsidR="006B3ADF" w:rsidRPr="00344951">
        <w:rPr>
          <w:color w:val="010000"/>
        </w:rPr>
        <w:t>,</w:t>
      </w:r>
    </w:p>
    <w:p w14:paraId="792A7DFE" w14:textId="77777777" w:rsidR="001C0442" w:rsidRPr="00344951" w:rsidRDefault="00246444" w:rsidP="00344951">
      <w:pPr>
        <w:pStyle w:val="NormalWeb"/>
        <w:spacing w:before="0" w:beforeAutospacing="0" w:after="200" w:afterAutospacing="0"/>
        <w:ind w:right="283" w:firstLine="709"/>
        <w:jc w:val="both"/>
        <w:rPr>
          <w:color w:val="010000"/>
        </w:rPr>
      </w:pPr>
      <w:r w:rsidRPr="00344951">
        <w:rPr>
          <w:color w:val="010000"/>
        </w:rPr>
        <w:t>Asker</w:t>
      </w:r>
      <w:r w:rsidR="006B3ADF" w:rsidRPr="00344951">
        <w:rPr>
          <w:color w:val="010000"/>
        </w:rPr>
        <w:t>î</w:t>
      </w:r>
      <w:r w:rsidRPr="00344951">
        <w:rPr>
          <w:color w:val="010000"/>
        </w:rPr>
        <w:t xml:space="preserve"> Yüksek İdare Mahkemesi Daireler Kurulunun 12 Kasım 1976 günlü, 1974/154 </w:t>
      </w:r>
      <w:r w:rsidR="006B3ADF" w:rsidRPr="00344951">
        <w:rPr>
          <w:color w:val="010000"/>
        </w:rPr>
        <w:t>E</w:t>
      </w:r>
      <w:r w:rsidRPr="00344951">
        <w:rPr>
          <w:color w:val="010000"/>
        </w:rPr>
        <w:t>sas sayılı kararında da söz</w:t>
      </w:r>
      <w:r w:rsidR="006B3ADF" w:rsidRPr="00344951">
        <w:rPr>
          <w:color w:val="010000"/>
        </w:rPr>
        <w:t xml:space="preserve"> </w:t>
      </w:r>
      <w:r w:rsidRPr="00344951">
        <w:rPr>
          <w:color w:val="010000"/>
        </w:rPr>
        <w:t>konusu hükmün Anayasa</w:t>
      </w:r>
      <w:r w:rsidR="006B3ADF" w:rsidRPr="00344951">
        <w:rPr>
          <w:color w:val="010000"/>
        </w:rPr>
        <w:t>’</w:t>
      </w:r>
      <w:r w:rsidRPr="00344951">
        <w:rPr>
          <w:color w:val="010000"/>
        </w:rPr>
        <w:t>ya aykırıl</w:t>
      </w:r>
      <w:r w:rsidR="006B3ADF" w:rsidRPr="00344951">
        <w:rPr>
          <w:color w:val="010000"/>
        </w:rPr>
        <w:t>ı</w:t>
      </w:r>
      <w:r w:rsidRPr="00344951">
        <w:rPr>
          <w:color w:val="010000"/>
        </w:rPr>
        <w:t>ğı nedeniyle iptali istenmiş, yapılan görüşmeler sonunda (a) bendinin cetvel bölümünde yer</w:t>
      </w:r>
      <w:r w:rsidR="006B3ADF" w:rsidRPr="00344951">
        <w:rPr>
          <w:color w:val="010000"/>
        </w:rPr>
        <w:t xml:space="preserve"> </w:t>
      </w:r>
      <w:r w:rsidRPr="00344951">
        <w:rPr>
          <w:color w:val="010000"/>
        </w:rPr>
        <w:t>alan (</w:t>
      </w:r>
      <w:proofErr w:type="spellStart"/>
      <w:proofErr w:type="gramStart"/>
      <w:r w:rsidRPr="00344951">
        <w:rPr>
          <w:color w:val="010000"/>
        </w:rPr>
        <w:t>J.dahil</w:t>
      </w:r>
      <w:proofErr w:type="spellEnd"/>
      <w:proofErr w:type="gramEnd"/>
      <w:r w:rsidRPr="00344951">
        <w:rPr>
          <w:color w:val="010000"/>
        </w:rPr>
        <w:t>) biçimindeki bu hüküm, Anayasa</w:t>
      </w:r>
      <w:r w:rsidR="006B3ADF" w:rsidRPr="00344951">
        <w:rPr>
          <w:color w:val="010000"/>
        </w:rPr>
        <w:t>’</w:t>
      </w:r>
      <w:r w:rsidRPr="00344951">
        <w:rPr>
          <w:color w:val="010000"/>
        </w:rPr>
        <w:t xml:space="preserve">ya aykırı görülerek 13.12.1977 günlü, </w:t>
      </w:r>
      <w:r w:rsidR="006B3ADF" w:rsidRPr="00344951">
        <w:rPr>
          <w:color w:val="010000"/>
        </w:rPr>
        <w:t>E</w:t>
      </w:r>
      <w:r w:rsidRPr="00344951">
        <w:rPr>
          <w:color w:val="010000"/>
        </w:rPr>
        <w:t>sas 1977/11, Karar</w:t>
      </w:r>
      <w:r w:rsidR="006B3ADF" w:rsidRPr="00344951">
        <w:rPr>
          <w:color w:val="010000"/>
        </w:rPr>
        <w:t xml:space="preserve"> </w:t>
      </w:r>
      <w:r w:rsidRPr="00344951">
        <w:rPr>
          <w:color w:val="010000"/>
        </w:rPr>
        <w:t>1977/133 sayılı Anayasa Mahkemesi karar</w:t>
      </w:r>
      <w:r w:rsidR="006B3ADF" w:rsidRPr="00344951">
        <w:rPr>
          <w:color w:val="010000"/>
        </w:rPr>
        <w:t>ı</w:t>
      </w:r>
      <w:r w:rsidRPr="00344951">
        <w:rPr>
          <w:color w:val="010000"/>
        </w:rPr>
        <w:t>yl</w:t>
      </w:r>
      <w:r w:rsidR="006B3ADF" w:rsidRPr="00344951">
        <w:rPr>
          <w:color w:val="010000"/>
        </w:rPr>
        <w:t>a</w:t>
      </w:r>
      <w:r w:rsidR="00002C5D" w:rsidRPr="00344951">
        <w:rPr>
          <w:color w:val="010000"/>
        </w:rPr>
        <w:t xml:space="preserve"> </w:t>
      </w:r>
      <w:r w:rsidRPr="00344951">
        <w:rPr>
          <w:color w:val="010000"/>
        </w:rPr>
        <w:t>iptal edilmiş olduğundan bu konuda yeniden bir karar verilmesine yer yoktur.</w:t>
      </w:r>
      <w:r w:rsidR="001C0442" w:rsidRPr="00344951">
        <w:rPr>
          <w:color w:val="010000"/>
        </w:rPr>
        <w:t xml:space="preserve"> </w:t>
      </w:r>
    </w:p>
    <w:p w14:paraId="6E307906" w14:textId="77777777" w:rsidR="00246444" w:rsidRPr="00344951" w:rsidRDefault="008272AD" w:rsidP="00344951">
      <w:pPr>
        <w:pStyle w:val="NormalWeb"/>
        <w:spacing w:before="0" w:beforeAutospacing="0" w:after="200" w:afterAutospacing="0"/>
        <w:ind w:right="283" w:firstLine="709"/>
        <w:jc w:val="both"/>
        <w:rPr>
          <w:color w:val="010000"/>
        </w:rPr>
      </w:pPr>
      <w:r w:rsidRPr="00344951">
        <w:rPr>
          <w:color w:val="010000"/>
        </w:rPr>
        <w:t>VI- SONUÇ:</w:t>
      </w:r>
    </w:p>
    <w:p w14:paraId="549FCFD8" w14:textId="77777777" w:rsidR="00670DEF" w:rsidRPr="00344951" w:rsidRDefault="008272AD" w:rsidP="00344951">
      <w:pPr>
        <w:pStyle w:val="NormalWeb"/>
        <w:numPr>
          <w:ilvl w:val="0"/>
          <w:numId w:val="14"/>
        </w:numPr>
        <w:spacing w:before="0" w:beforeAutospacing="0" w:after="200" w:afterAutospacing="0"/>
        <w:ind w:left="0" w:right="283" w:firstLine="709"/>
        <w:jc w:val="both"/>
        <w:rPr>
          <w:color w:val="010000"/>
        </w:rPr>
      </w:pPr>
      <w:r w:rsidRPr="00344951">
        <w:rPr>
          <w:color w:val="010000"/>
        </w:rPr>
        <w:t xml:space="preserve">27.7.1967 günlü, 926 sayılı Türk </w:t>
      </w:r>
      <w:proofErr w:type="spellStart"/>
      <w:r w:rsidRPr="00344951">
        <w:rPr>
          <w:color w:val="010000"/>
        </w:rPr>
        <w:t>Silâhlı</w:t>
      </w:r>
      <w:proofErr w:type="spellEnd"/>
      <w:r w:rsidRPr="00344951">
        <w:rPr>
          <w:color w:val="010000"/>
        </w:rPr>
        <w:t xml:space="preserve"> Kuvvetleri Personel Kanunu</w:t>
      </w:r>
      <w:r w:rsidR="006B3ADF" w:rsidRPr="00344951">
        <w:rPr>
          <w:color w:val="010000"/>
        </w:rPr>
        <w:t>’</w:t>
      </w:r>
      <w:r w:rsidRPr="00344951">
        <w:rPr>
          <w:color w:val="010000"/>
        </w:rPr>
        <w:t xml:space="preserve">nun </w:t>
      </w:r>
      <w:r w:rsidR="00670DEF" w:rsidRPr="00344951">
        <w:rPr>
          <w:color w:val="010000"/>
        </w:rPr>
        <w:t>7.7.1971 günlü, 1424 sayılı Yasa ile değişik 49. maddesinin birinci fıkrasının (a) bendi ile aynı yasa ile değişik 54. maddesinin Anayasa</w:t>
      </w:r>
      <w:r w:rsidR="006B3ADF" w:rsidRPr="00344951">
        <w:rPr>
          <w:color w:val="010000"/>
        </w:rPr>
        <w:t>’</w:t>
      </w:r>
      <w:r w:rsidR="00670DEF" w:rsidRPr="00344951">
        <w:rPr>
          <w:color w:val="010000"/>
        </w:rPr>
        <w:t>ya aykırı olmadığına, bu hükümlere yönelen itirazın reddine,</w:t>
      </w:r>
    </w:p>
    <w:p w14:paraId="11F56445" w14:textId="77777777" w:rsidR="008272AD" w:rsidRPr="00344951" w:rsidRDefault="00670DEF" w:rsidP="00344951">
      <w:pPr>
        <w:pStyle w:val="NormalWeb"/>
        <w:numPr>
          <w:ilvl w:val="0"/>
          <w:numId w:val="14"/>
        </w:numPr>
        <w:spacing w:before="0" w:beforeAutospacing="0" w:after="200" w:afterAutospacing="0"/>
        <w:ind w:left="0" w:right="283" w:firstLine="709"/>
        <w:jc w:val="both"/>
        <w:rPr>
          <w:color w:val="010000"/>
        </w:rPr>
      </w:pPr>
      <w:r w:rsidRPr="00344951">
        <w:rPr>
          <w:color w:val="010000"/>
        </w:rPr>
        <w:t xml:space="preserve"> Aynı Kanun</w:t>
      </w:r>
      <w:r w:rsidR="006B3ADF" w:rsidRPr="00344951">
        <w:rPr>
          <w:color w:val="010000"/>
        </w:rPr>
        <w:t>’</w:t>
      </w:r>
      <w:r w:rsidRPr="00344951">
        <w:rPr>
          <w:color w:val="010000"/>
        </w:rPr>
        <w:t xml:space="preserve">a yine 1424 sayılı Yasa ile eklenen </w:t>
      </w:r>
      <w:r w:rsidR="006B3ADF" w:rsidRPr="00344951">
        <w:rPr>
          <w:color w:val="010000"/>
        </w:rPr>
        <w:t>e</w:t>
      </w:r>
      <w:r w:rsidRPr="00344951">
        <w:rPr>
          <w:color w:val="010000"/>
        </w:rPr>
        <w:t xml:space="preserve">k </w:t>
      </w:r>
      <w:r w:rsidR="006B3ADF" w:rsidRPr="00344951">
        <w:rPr>
          <w:color w:val="010000"/>
        </w:rPr>
        <w:t>g</w:t>
      </w:r>
      <w:r w:rsidRPr="00344951">
        <w:rPr>
          <w:color w:val="010000"/>
        </w:rPr>
        <w:t>eçici 14. maddenin (a) bendinin metin bölümünün Anayasa</w:t>
      </w:r>
      <w:r w:rsidR="006B3ADF" w:rsidRPr="00344951">
        <w:rPr>
          <w:color w:val="010000"/>
        </w:rPr>
        <w:t>’</w:t>
      </w:r>
      <w:r w:rsidRPr="00344951">
        <w:rPr>
          <w:color w:val="010000"/>
        </w:rPr>
        <w:t>ya aykırı olmadığına, bu bölüme yönelen itirazın reddine,</w:t>
      </w:r>
    </w:p>
    <w:p w14:paraId="0E145388" w14:textId="77777777" w:rsidR="00670DEF" w:rsidRPr="00344951" w:rsidRDefault="00670DEF" w:rsidP="00344951">
      <w:pPr>
        <w:pStyle w:val="NormalWeb"/>
        <w:numPr>
          <w:ilvl w:val="0"/>
          <w:numId w:val="14"/>
        </w:numPr>
        <w:spacing w:before="0" w:beforeAutospacing="0" w:after="200" w:afterAutospacing="0"/>
        <w:ind w:left="0" w:right="283" w:firstLine="709"/>
        <w:jc w:val="both"/>
        <w:rPr>
          <w:color w:val="010000"/>
        </w:rPr>
      </w:pPr>
      <w:r w:rsidRPr="00344951">
        <w:rPr>
          <w:color w:val="010000"/>
        </w:rPr>
        <w:t xml:space="preserve">Ek </w:t>
      </w:r>
      <w:r w:rsidR="006B3ADF" w:rsidRPr="00344951">
        <w:rPr>
          <w:color w:val="010000"/>
        </w:rPr>
        <w:t>g</w:t>
      </w:r>
      <w:r w:rsidRPr="00344951">
        <w:rPr>
          <w:color w:val="010000"/>
        </w:rPr>
        <w:t>eçici 14. maddenin (a) bendindeki cetvelde yer alan “j.</w:t>
      </w:r>
      <w:r w:rsidR="006B3ADF" w:rsidRPr="00344951">
        <w:rPr>
          <w:color w:val="010000"/>
        </w:rPr>
        <w:t xml:space="preserve"> </w:t>
      </w:r>
      <w:r w:rsidRPr="00344951">
        <w:rPr>
          <w:color w:val="010000"/>
        </w:rPr>
        <w:t>d</w:t>
      </w:r>
      <w:r w:rsidR="006B3ADF" w:rsidRPr="00344951">
        <w:rPr>
          <w:color w:val="010000"/>
        </w:rPr>
        <w:t>â</w:t>
      </w:r>
      <w:r w:rsidRPr="00344951">
        <w:rPr>
          <w:color w:val="010000"/>
        </w:rPr>
        <w:t>hil” deyimine ilişkin hükmün Anayasa Mahkemesince 13.12.1977 günlü Esas 1977/11, Karar 1977/133 sayılı kararla iptaline karar verilmiş olması nedeniyle bu konuda yeniden bir karar verilmesine yer olmadığına,</w:t>
      </w:r>
    </w:p>
    <w:p w14:paraId="3CD53F2E" w14:textId="77777777" w:rsidR="00670DEF" w:rsidRPr="00344951" w:rsidRDefault="00670DEF" w:rsidP="00344951">
      <w:pPr>
        <w:pStyle w:val="NormalWeb"/>
        <w:spacing w:before="0" w:beforeAutospacing="0" w:after="200" w:afterAutospacing="0"/>
        <w:ind w:right="283" w:firstLine="709"/>
        <w:jc w:val="both"/>
        <w:rPr>
          <w:color w:val="010000"/>
        </w:rPr>
      </w:pPr>
      <w:r w:rsidRPr="00344951">
        <w:rPr>
          <w:color w:val="010000"/>
        </w:rPr>
        <w:t>13.12.1977 gününde oybirliğiyle karar verildi.</w:t>
      </w:r>
    </w:p>
    <w:p w14:paraId="5BE59915" w14:textId="77777777" w:rsidR="00344951" w:rsidRDefault="00344951"/>
    <w:tbl>
      <w:tblPr>
        <w:tblW w:w="5000" w:type="pct"/>
        <w:jc w:val="center"/>
        <w:shd w:val="clear" w:color="auto" w:fill="FFFFFF"/>
        <w:tblCellMar>
          <w:left w:w="0" w:type="dxa"/>
          <w:right w:w="0" w:type="dxa"/>
        </w:tblCellMar>
        <w:tblLook w:val="04A0" w:firstRow="1" w:lastRow="0" w:firstColumn="1" w:lastColumn="0" w:noHBand="0" w:noVBand="1"/>
      </w:tblPr>
      <w:tblGrid>
        <w:gridCol w:w="3262"/>
        <w:gridCol w:w="3261"/>
        <w:gridCol w:w="3257"/>
      </w:tblGrid>
      <w:tr w:rsidR="004B4EF1" w:rsidRPr="00344951" w14:paraId="7A359CA9" w14:textId="77777777" w:rsidTr="00344951">
        <w:trPr>
          <w:trHeight w:val="1600"/>
          <w:jc w:val="center"/>
        </w:trPr>
        <w:tc>
          <w:tcPr>
            <w:tcW w:w="1668" w:type="pct"/>
            <w:shd w:val="clear" w:color="auto" w:fill="FFFFFF"/>
            <w:tcMar>
              <w:top w:w="0" w:type="dxa"/>
              <w:left w:w="70" w:type="dxa"/>
              <w:bottom w:w="0" w:type="dxa"/>
              <w:right w:w="70" w:type="dxa"/>
            </w:tcMar>
            <w:vAlign w:val="center"/>
            <w:hideMark/>
          </w:tcPr>
          <w:p w14:paraId="122E9E83"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Başkan</w:t>
            </w:r>
          </w:p>
          <w:p w14:paraId="2183BFF0"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 xml:space="preserve"> </w:t>
            </w:r>
            <w:proofErr w:type="spellStart"/>
            <w:r w:rsidRPr="00344951">
              <w:rPr>
                <w:rFonts w:ascii="Times New Roman" w:eastAsia="Times New Roman" w:hAnsi="Times New Roman" w:cs="Times New Roman"/>
                <w:color w:val="010000"/>
                <w:szCs w:val="26"/>
              </w:rPr>
              <w:t>Kâni</w:t>
            </w:r>
            <w:proofErr w:type="spellEnd"/>
            <w:r w:rsidRPr="00344951">
              <w:rPr>
                <w:rFonts w:ascii="Times New Roman" w:eastAsia="Times New Roman" w:hAnsi="Times New Roman" w:cs="Times New Roman"/>
                <w:color w:val="010000"/>
                <w:szCs w:val="26"/>
              </w:rPr>
              <w:t xml:space="preserve"> VRANA</w:t>
            </w:r>
          </w:p>
        </w:tc>
        <w:tc>
          <w:tcPr>
            <w:tcW w:w="1667" w:type="pct"/>
            <w:shd w:val="clear" w:color="auto" w:fill="FFFFFF"/>
            <w:tcMar>
              <w:top w:w="0" w:type="dxa"/>
              <w:left w:w="70" w:type="dxa"/>
              <w:bottom w:w="0" w:type="dxa"/>
              <w:right w:w="70" w:type="dxa"/>
            </w:tcMar>
            <w:vAlign w:val="center"/>
            <w:hideMark/>
          </w:tcPr>
          <w:p w14:paraId="56672471"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Başkanvekili</w:t>
            </w:r>
          </w:p>
          <w:p w14:paraId="4DEDDD1D"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Şevket MÜFTÜGİL</w:t>
            </w:r>
          </w:p>
        </w:tc>
        <w:tc>
          <w:tcPr>
            <w:tcW w:w="1665" w:type="pct"/>
            <w:shd w:val="clear" w:color="auto" w:fill="FFFFFF"/>
            <w:tcMar>
              <w:top w:w="0" w:type="dxa"/>
              <w:left w:w="70" w:type="dxa"/>
              <w:bottom w:w="0" w:type="dxa"/>
              <w:right w:w="70" w:type="dxa"/>
            </w:tcMar>
            <w:vAlign w:val="center"/>
            <w:hideMark/>
          </w:tcPr>
          <w:p w14:paraId="3948881D"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2E9A8D90"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Abdullah ÜNER</w:t>
            </w:r>
          </w:p>
        </w:tc>
      </w:tr>
      <w:tr w:rsidR="004B4EF1" w:rsidRPr="00344951" w14:paraId="28D38C56" w14:textId="77777777" w:rsidTr="00344951">
        <w:trPr>
          <w:trHeight w:val="1600"/>
          <w:jc w:val="center"/>
        </w:trPr>
        <w:tc>
          <w:tcPr>
            <w:tcW w:w="1668" w:type="pct"/>
            <w:shd w:val="clear" w:color="auto" w:fill="FFFFFF"/>
            <w:tcMar>
              <w:top w:w="0" w:type="dxa"/>
              <w:left w:w="70" w:type="dxa"/>
              <w:bottom w:w="0" w:type="dxa"/>
              <w:right w:w="70" w:type="dxa"/>
            </w:tcMar>
            <w:vAlign w:val="center"/>
            <w:hideMark/>
          </w:tcPr>
          <w:p w14:paraId="75C7E6F1"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10F3ACF5"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Ahmet KOÇAK</w:t>
            </w:r>
          </w:p>
        </w:tc>
        <w:tc>
          <w:tcPr>
            <w:tcW w:w="1667" w:type="pct"/>
            <w:shd w:val="clear" w:color="auto" w:fill="FFFFFF"/>
            <w:tcMar>
              <w:top w:w="0" w:type="dxa"/>
              <w:left w:w="70" w:type="dxa"/>
              <w:bottom w:w="0" w:type="dxa"/>
              <w:right w:w="70" w:type="dxa"/>
            </w:tcMar>
            <w:vAlign w:val="center"/>
            <w:hideMark/>
          </w:tcPr>
          <w:p w14:paraId="6F3EDACA"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595C6287"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proofErr w:type="spellStart"/>
            <w:r w:rsidRPr="00344951">
              <w:rPr>
                <w:rFonts w:ascii="Times New Roman" w:eastAsia="Times New Roman" w:hAnsi="Times New Roman" w:cs="Times New Roman"/>
                <w:color w:val="010000"/>
                <w:szCs w:val="26"/>
              </w:rPr>
              <w:t>Şekip</w:t>
            </w:r>
            <w:proofErr w:type="spellEnd"/>
            <w:r w:rsidRPr="00344951">
              <w:rPr>
                <w:rFonts w:ascii="Times New Roman" w:eastAsia="Times New Roman" w:hAnsi="Times New Roman" w:cs="Times New Roman"/>
                <w:color w:val="010000"/>
                <w:szCs w:val="26"/>
              </w:rPr>
              <w:t xml:space="preserve"> ÇOPUROĞLU</w:t>
            </w:r>
          </w:p>
        </w:tc>
        <w:tc>
          <w:tcPr>
            <w:tcW w:w="1665" w:type="pct"/>
            <w:shd w:val="clear" w:color="auto" w:fill="FFFFFF"/>
            <w:tcMar>
              <w:top w:w="0" w:type="dxa"/>
              <w:left w:w="70" w:type="dxa"/>
              <w:bottom w:w="0" w:type="dxa"/>
              <w:right w:w="70" w:type="dxa"/>
            </w:tcMar>
            <w:vAlign w:val="center"/>
            <w:hideMark/>
          </w:tcPr>
          <w:p w14:paraId="483CCBA7"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5F5DB41C"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Fahrettin ULUÇ</w:t>
            </w:r>
          </w:p>
        </w:tc>
      </w:tr>
      <w:tr w:rsidR="004B4EF1" w:rsidRPr="00344951" w14:paraId="4B173FFD" w14:textId="77777777" w:rsidTr="00344951">
        <w:trPr>
          <w:trHeight w:val="1600"/>
          <w:jc w:val="center"/>
        </w:trPr>
        <w:tc>
          <w:tcPr>
            <w:tcW w:w="1668" w:type="pct"/>
            <w:shd w:val="clear" w:color="auto" w:fill="FFFFFF"/>
            <w:tcMar>
              <w:top w:w="0" w:type="dxa"/>
              <w:left w:w="70" w:type="dxa"/>
              <w:bottom w:w="0" w:type="dxa"/>
              <w:right w:w="70" w:type="dxa"/>
            </w:tcMar>
            <w:vAlign w:val="center"/>
            <w:hideMark/>
          </w:tcPr>
          <w:p w14:paraId="56BB83E0"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lastRenderedPageBreak/>
              <w:t>Üye</w:t>
            </w:r>
          </w:p>
          <w:p w14:paraId="72BF10E6"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Muhittin GÜRÜN</w:t>
            </w:r>
          </w:p>
        </w:tc>
        <w:tc>
          <w:tcPr>
            <w:tcW w:w="1667" w:type="pct"/>
            <w:shd w:val="clear" w:color="auto" w:fill="FFFFFF"/>
            <w:tcMar>
              <w:top w:w="0" w:type="dxa"/>
              <w:left w:w="70" w:type="dxa"/>
              <w:bottom w:w="0" w:type="dxa"/>
              <w:right w:w="70" w:type="dxa"/>
            </w:tcMar>
            <w:vAlign w:val="center"/>
            <w:hideMark/>
          </w:tcPr>
          <w:p w14:paraId="26F8304E"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1A61F7C8"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proofErr w:type="spellStart"/>
            <w:r w:rsidRPr="00344951">
              <w:rPr>
                <w:rFonts w:ascii="Times New Roman" w:eastAsia="Times New Roman" w:hAnsi="Times New Roman" w:cs="Times New Roman"/>
                <w:color w:val="010000"/>
                <w:szCs w:val="26"/>
              </w:rPr>
              <w:t>Lûtfi</w:t>
            </w:r>
            <w:proofErr w:type="spellEnd"/>
            <w:r w:rsidRPr="00344951">
              <w:rPr>
                <w:rFonts w:ascii="Times New Roman" w:eastAsia="Times New Roman" w:hAnsi="Times New Roman" w:cs="Times New Roman"/>
                <w:color w:val="010000"/>
                <w:szCs w:val="26"/>
              </w:rPr>
              <w:t xml:space="preserve"> ÖMERBAŞ</w:t>
            </w:r>
          </w:p>
        </w:tc>
        <w:tc>
          <w:tcPr>
            <w:tcW w:w="1665" w:type="pct"/>
            <w:shd w:val="clear" w:color="auto" w:fill="FFFFFF"/>
            <w:tcMar>
              <w:top w:w="0" w:type="dxa"/>
              <w:left w:w="70" w:type="dxa"/>
              <w:bottom w:w="0" w:type="dxa"/>
              <w:right w:w="70" w:type="dxa"/>
            </w:tcMar>
            <w:vAlign w:val="center"/>
            <w:hideMark/>
          </w:tcPr>
          <w:p w14:paraId="3B6B6629"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223AF6B5"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Ahmet ERDOĞDU</w:t>
            </w:r>
          </w:p>
        </w:tc>
      </w:tr>
      <w:tr w:rsidR="004B4EF1" w:rsidRPr="00344951" w14:paraId="7E987E18" w14:textId="77777777" w:rsidTr="00344951">
        <w:trPr>
          <w:trHeight w:val="1600"/>
          <w:jc w:val="center"/>
        </w:trPr>
        <w:tc>
          <w:tcPr>
            <w:tcW w:w="1668" w:type="pct"/>
            <w:shd w:val="clear" w:color="auto" w:fill="FFFFFF"/>
            <w:tcMar>
              <w:top w:w="0" w:type="dxa"/>
              <w:left w:w="70" w:type="dxa"/>
              <w:bottom w:w="0" w:type="dxa"/>
              <w:right w:w="70" w:type="dxa"/>
            </w:tcMar>
            <w:vAlign w:val="center"/>
            <w:hideMark/>
          </w:tcPr>
          <w:p w14:paraId="55FEBCA1"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28973FA9"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Hasan GÜRSEL</w:t>
            </w:r>
          </w:p>
        </w:tc>
        <w:tc>
          <w:tcPr>
            <w:tcW w:w="1667" w:type="pct"/>
            <w:shd w:val="clear" w:color="auto" w:fill="FFFFFF"/>
            <w:tcMar>
              <w:top w:w="0" w:type="dxa"/>
              <w:left w:w="70" w:type="dxa"/>
              <w:bottom w:w="0" w:type="dxa"/>
              <w:right w:w="70" w:type="dxa"/>
            </w:tcMar>
            <w:vAlign w:val="center"/>
            <w:hideMark/>
          </w:tcPr>
          <w:p w14:paraId="4D7201B2"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29B7F88F" w14:textId="77777777" w:rsidR="004B4EF1" w:rsidRPr="00344951" w:rsidRDefault="004B4EF1"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Ahmet Salih ÇEBİ</w:t>
            </w:r>
          </w:p>
        </w:tc>
        <w:tc>
          <w:tcPr>
            <w:tcW w:w="1665" w:type="pct"/>
            <w:shd w:val="clear" w:color="auto" w:fill="FFFFFF"/>
            <w:vAlign w:val="center"/>
          </w:tcPr>
          <w:p w14:paraId="11C75933"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27B5A570" w14:textId="77777777" w:rsidR="004B4EF1"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Adil ESMER</w:t>
            </w:r>
          </w:p>
        </w:tc>
      </w:tr>
      <w:tr w:rsidR="00181E19" w:rsidRPr="00344951" w14:paraId="339FBA26" w14:textId="77777777" w:rsidTr="00344951">
        <w:trPr>
          <w:trHeight w:val="1600"/>
          <w:jc w:val="center"/>
        </w:trPr>
        <w:tc>
          <w:tcPr>
            <w:tcW w:w="1668" w:type="pct"/>
            <w:shd w:val="clear" w:color="auto" w:fill="FFFFFF"/>
            <w:tcMar>
              <w:top w:w="0" w:type="dxa"/>
              <w:left w:w="70" w:type="dxa"/>
              <w:bottom w:w="0" w:type="dxa"/>
              <w:right w:w="70" w:type="dxa"/>
            </w:tcMar>
            <w:vAlign w:val="center"/>
            <w:hideMark/>
          </w:tcPr>
          <w:p w14:paraId="3B2A58B4"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6299C023"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Nihat O. AKÇAKAYALIOĞLU</w:t>
            </w:r>
          </w:p>
        </w:tc>
        <w:tc>
          <w:tcPr>
            <w:tcW w:w="1667" w:type="pct"/>
            <w:shd w:val="clear" w:color="auto" w:fill="FFFFFF"/>
            <w:tcMar>
              <w:top w:w="0" w:type="dxa"/>
              <w:left w:w="70" w:type="dxa"/>
              <w:bottom w:w="0" w:type="dxa"/>
              <w:right w:w="70" w:type="dxa"/>
            </w:tcMar>
            <w:vAlign w:val="center"/>
            <w:hideMark/>
          </w:tcPr>
          <w:p w14:paraId="3F6CFB3F"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52EF7561"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Ahmet H. BOYACIOĞLU</w:t>
            </w:r>
          </w:p>
          <w:p w14:paraId="4776EDBE"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p>
        </w:tc>
        <w:tc>
          <w:tcPr>
            <w:tcW w:w="1665" w:type="pct"/>
            <w:shd w:val="clear" w:color="auto" w:fill="FFFFFF"/>
            <w:vAlign w:val="center"/>
          </w:tcPr>
          <w:p w14:paraId="388B7441"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Üye</w:t>
            </w:r>
          </w:p>
          <w:p w14:paraId="58F7C079" w14:textId="77777777" w:rsidR="00181E19" w:rsidRPr="00344951" w:rsidRDefault="00181E19"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Necdet DARICIOĞLU</w:t>
            </w:r>
          </w:p>
        </w:tc>
      </w:tr>
    </w:tbl>
    <w:p w14:paraId="11B515A1" w14:textId="77777777" w:rsidR="00344951" w:rsidRDefault="00344951" w:rsidP="00344951">
      <w:pPr>
        <w:pStyle w:val="Gvdemetni0"/>
        <w:widowControl/>
        <w:shd w:val="clear" w:color="auto" w:fill="auto"/>
        <w:spacing w:after="200"/>
        <w:ind w:right="283"/>
        <w:jc w:val="both"/>
        <w:rPr>
          <w:color w:val="010000"/>
          <w:sz w:val="24"/>
          <w:szCs w:val="24"/>
        </w:rPr>
      </w:pPr>
    </w:p>
    <w:p w14:paraId="6B0B8273" w14:textId="77777777" w:rsidR="00344951" w:rsidRDefault="00344951" w:rsidP="00344951">
      <w:pPr>
        <w:pStyle w:val="Gvdemetni0"/>
        <w:widowControl/>
        <w:shd w:val="clear" w:color="auto" w:fill="auto"/>
        <w:spacing w:after="200"/>
        <w:ind w:right="283"/>
        <w:jc w:val="both"/>
        <w:rPr>
          <w:color w:val="010000"/>
          <w:sz w:val="24"/>
          <w:szCs w:val="24"/>
        </w:rPr>
      </w:pPr>
    </w:p>
    <w:p w14:paraId="33986220" w14:textId="77777777" w:rsidR="00344951" w:rsidRDefault="00344951" w:rsidP="00344951">
      <w:pPr>
        <w:pStyle w:val="Gvdemetni0"/>
        <w:widowControl/>
        <w:shd w:val="clear" w:color="auto" w:fill="auto"/>
        <w:spacing w:after="200"/>
        <w:ind w:right="283"/>
        <w:jc w:val="both"/>
        <w:rPr>
          <w:color w:val="010000"/>
          <w:sz w:val="24"/>
          <w:szCs w:val="24"/>
        </w:rPr>
      </w:pPr>
    </w:p>
    <w:p w14:paraId="77F93246" w14:textId="77777777" w:rsidR="00181D98" w:rsidRPr="00344951" w:rsidRDefault="00C82C48" w:rsidP="00344951">
      <w:pPr>
        <w:pStyle w:val="Gvdemetni0"/>
        <w:widowControl/>
        <w:shd w:val="clear" w:color="auto" w:fill="auto"/>
        <w:spacing w:after="200"/>
        <w:ind w:right="283"/>
        <w:jc w:val="center"/>
        <w:rPr>
          <w:color w:val="010000"/>
          <w:sz w:val="24"/>
          <w:szCs w:val="24"/>
        </w:rPr>
      </w:pPr>
      <w:r w:rsidRPr="00344951">
        <w:rPr>
          <w:color w:val="010000"/>
          <w:sz w:val="24"/>
          <w:szCs w:val="24"/>
        </w:rPr>
        <w:t>KARŞIOY</w:t>
      </w:r>
      <w:r w:rsidR="006453E4" w:rsidRPr="00344951">
        <w:rPr>
          <w:color w:val="010000"/>
          <w:sz w:val="24"/>
          <w:szCs w:val="24"/>
        </w:rPr>
        <w:t xml:space="preserve"> YAZISI</w:t>
      </w:r>
    </w:p>
    <w:p w14:paraId="2E0AA0AA" w14:textId="77777777" w:rsidR="00181D98" w:rsidRPr="00344951" w:rsidRDefault="006453E4"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 xml:space="preserve">Bir mahkemenin Anayasa Mahkemesine itiraz yoluyla </w:t>
      </w:r>
      <w:proofErr w:type="gramStart"/>
      <w:r w:rsidRPr="00344951">
        <w:rPr>
          <w:color w:val="010000"/>
          <w:sz w:val="24"/>
          <w:szCs w:val="24"/>
        </w:rPr>
        <w:t>başvura</w:t>
      </w:r>
      <w:r w:rsidRPr="00344951">
        <w:rPr>
          <w:color w:val="010000"/>
          <w:sz w:val="24"/>
          <w:szCs w:val="24"/>
        </w:rPr>
        <w:softHyphen/>
        <w:t>bilmesi ,</w:t>
      </w:r>
      <w:proofErr w:type="gramEnd"/>
      <w:r w:rsidRPr="00344951">
        <w:rPr>
          <w:color w:val="010000"/>
          <w:sz w:val="24"/>
          <w:szCs w:val="24"/>
        </w:rPr>
        <w:t xml:space="preserve"> Anayasa’n</w:t>
      </w:r>
      <w:r w:rsidR="00181E19" w:rsidRPr="00344951">
        <w:rPr>
          <w:color w:val="010000"/>
          <w:sz w:val="24"/>
          <w:szCs w:val="24"/>
        </w:rPr>
        <w:t>ın</w:t>
      </w:r>
      <w:r w:rsidRPr="00344951">
        <w:rPr>
          <w:color w:val="010000"/>
          <w:sz w:val="24"/>
          <w:szCs w:val="24"/>
        </w:rPr>
        <w:t xml:space="preserve"> değişik 151</w:t>
      </w:r>
      <w:r w:rsidR="00181E19" w:rsidRPr="00344951">
        <w:rPr>
          <w:color w:val="010000"/>
          <w:sz w:val="24"/>
          <w:szCs w:val="24"/>
        </w:rPr>
        <w:t>.</w:t>
      </w:r>
      <w:r w:rsidRPr="00344951">
        <w:rPr>
          <w:color w:val="010000"/>
          <w:sz w:val="24"/>
          <w:szCs w:val="24"/>
        </w:rPr>
        <w:t xml:space="preserve"> ve 22.4.1962 günlü, 44 Sayılı Ka</w:t>
      </w:r>
      <w:r w:rsidRPr="00344951">
        <w:rPr>
          <w:color w:val="010000"/>
          <w:sz w:val="24"/>
          <w:szCs w:val="24"/>
        </w:rPr>
        <w:softHyphen/>
        <w:t>nun</w:t>
      </w:r>
      <w:r w:rsidR="006B3ADF" w:rsidRPr="00344951">
        <w:rPr>
          <w:color w:val="010000"/>
          <w:sz w:val="24"/>
          <w:szCs w:val="24"/>
        </w:rPr>
        <w:t>’</w:t>
      </w:r>
      <w:r w:rsidRPr="00344951">
        <w:rPr>
          <w:color w:val="010000"/>
          <w:sz w:val="24"/>
          <w:szCs w:val="24"/>
        </w:rPr>
        <w:t xml:space="preserve">un 27. maddeleri uyarınca, elinde görülmekte olan bir davanın bulunması ve iptalini istediği </w:t>
      </w:r>
      <w:r w:rsidR="006B3ADF" w:rsidRPr="00344951">
        <w:rPr>
          <w:color w:val="010000"/>
          <w:sz w:val="24"/>
          <w:szCs w:val="24"/>
        </w:rPr>
        <w:t>y</w:t>
      </w:r>
      <w:r w:rsidRPr="00344951">
        <w:rPr>
          <w:color w:val="010000"/>
          <w:sz w:val="24"/>
          <w:szCs w:val="24"/>
        </w:rPr>
        <w:t>asa kuralının bu davada uygulama durumunda olması koşullarının gerçekleşmesine bağlıdır.</w:t>
      </w:r>
    </w:p>
    <w:p w14:paraId="68C26FB3" w14:textId="77777777" w:rsidR="00181D98" w:rsidRPr="00344951" w:rsidRDefault="006453E4"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Bu işte itirazcı Mahkemenin elinde görülmekte olan bir dava</w:t>
      </w:r>
      <w:r w:rsidR="00D901D8" w:rsidRPr="00344951">
        <w:rPr>
          <w:color w:val="010000"/>
          <w:sz w:val="24"/>
          <w:szCs w:val="24"/>
        </w:rPr>
        <w:t xml:space="preserve"> </w:t>
      </w:r>
      <w:r w:rsidRPr="00344951">
        <w:rPr>
          <w:color w:val="010000"/>
          <w:sz w:val="24"/>
          <w:szCs w:val="24"/>
        </w:rPr>
        <w:t>vardır</w:t>
      </w:r>
      <w:r w:rsidR="00D901D8" w:rsidRPr="00344951">
        <w:rPr>
          <w:color w:val="010000"/>
          <w:sz w:val="24"/>
          <w:szCs w:val="24"/>
        </w:rPr>
        <w:t>.</w:t>
      </w:r>
      <w:r w:rsidRPr="00344951">
        <w:rPr>
          <w:color w:val="010000"/>
          <w:sz w:val="24"/>
          <w:szCs w:val="24"/>
        </w:rPr>
        <w:t xml:space="preserve"> Ancak bu mahkemenin itiraz konusu yaptığı yasa kuralını söz</w:t>
      </w:r>
      <w:r w:rsidR="006B3ADF" w:rsidRPr="00344951">
        <w:rPr>
          <w:color w:val="010000"/>
          <w:sz w:val="24"/>
          <w:szCs w:val="24"/>
        </w:rPr>
        <w:t xml:space="preserve"> </w:t>
      </w:r>
      <w:r w:rsidRPr="00344951">
        <w:rPr>
          <w:color w:val="010000"/>
          <w:sz w:val="24"/>
          <w:szCs w:val="24"/>
        </w:rPr>
        <w:t>konusu davada uygulama durumunda olup olmadığının incelenmesi gerekmiştir.</w:t>
      </w:r>
    </w:p>
    <w:p w14:paraId="06440CFC" w14:textId="77777777" w:rsidR="00181D98" w:rsidRPr="00344951" w:rsidRDefault="00BB05A9"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27. 7</w:t>
      </w:r>
      <w:r w:rsidR="00D901D8" w:rsidRPr="00344951">
        <w:rPr>
          <w:color w:val="010000"/>
          <w:sz w:val="24"/>
          <w:szCs w:val="24"/>
        </w:rPr>
        <w:t>.</w:t>
      </w:r>
      <w:r w:rsidRPr="00344951">
        <w:rPr>
          <w:color w:val="010000"/>
          <w:sz w:val="24"/>
          <w:szCs w:val="24"/>
        </w:rPr>
        <w:t xml:space="preserve">1967 </w:t>
      </w:r>
      <w:r w:rsidR="006B3ADF" w:rsidRPr="00344951">
        <w:rPr>
          <w:color w:val="010000"/>
          <w:sz w:val="24"/>
          <w:szCs w:val="24"/>
        </w:rPr>
        <w:t>g</w:t>
      </w:r>
      <w:r w:rsidRPr="00344951">
        <w:rPr>
          <w:color w:val="010000"/>
          <w:sz w:val="24"/>
          <w:szCs w:val="24"/>
        </w:rPr>
        <w:t xml:space="preserve">ünlü, 926 sayılı Türk </w:t>
      </w:r>
      <w:proofErr w:type="spellStart"/>
      <w:r w:rsidRPr="00344951">
        <w:rPr>
          <w:color w:val="010000"/>
          <w:sz w:val="24"/>
          <w:szCs w:val="24"/>
        </w:rPr>
        <w:t>Silâhlı</w:t>
      </w:r>
      <w:proofErr w:type="spellEnd"/>
      <w:r w:rsidRPr="00344951">
        <w:rPr>
          <w:color w:val="010000"/>
          <w:sz w:val="24"/>
          <w:szCs w:val="24"/>
        </w:rPr>
        <w:t xml:space="preserve"> Kuvvetleri Personel</w:t>
      </w:r>
      <w:r w:rsidR="00D901D8" w:rsidRPr="00344951">
        <w:rPr>
          <w:color w:val="010000"/>
          <w:sz w:val="24"/>
          <w:szCs w:val="24"/>
        </w:rPr>
        <w:t xml:space="preserve"> </w:t>
      </w:r>
      <w:r w:rsidR="006453E4" w:rsidRPr="00344951">
        <w:rPr>
          <w:color w:val="010000"/>
          <w:sz w:val="24"/>
          <w:szCs w:val="24"/>
        </w:rPr>
        <w:t>Kanunu</w:t>
      </w:r>
      <w:r w:rsidR="006B3ADF" w:rsidRPr="00344951">
        <w:rPr>
          <w:color w:val="010000"/>
          <w:sz w:val="24"/>
          <w:szCs w:val="24"/>
        </w:rPr>
        <w:t>’</w:t>
      </w:r>
      <w:r w:rsidR="006453E4" w:rsidRPr="00344951">
        <w:rPr>
          <w:color w:val="010000"/>
          <w:sz w:val="24"/>
          <w:szCs w:val="24"/>
        </w:rPr>
        <w:t>nun 7.7.1971 günlü, 1424 sayılı Kanun</w:t>
      </w:r>
      <w:r w:rsidR="006B3ADF" w:rsidRPr="00344951">
        <w:rPr>
          <w:color w:val="010000"/>
          <w:sz w:val="24"/>
          <w:szCs w:val="24"/>
        </w:rPr>
        <w:t>’</w:t>
      </w:r>
      <w:r w:rsidR="006453E4" w:rsidRPr="00344951">
        <w:rPr>
          <w:color w:val="010000"/>
          <w:sz w:val="24"/>
          <w:szCs w:val="24"/>
        </w:rPr>
        <w:t>la değişik 54</w:t>
      </w:r>
      <w:r w:rsidR="00D901D8" w:rsidRPr="00344951">
        <w:rPr>
          <w:color w:val="010000"/>
          <w:sz w:val="24"/>
          <w:szCs w:val="24"/>
        </w:rPr>
        <w:t>.</w:t>
      </w:r>
      <w:r w:rsidR="006453E4" w:rsidRPr="00344951">
        <w:rPr>
          <w:color w:val="010000"/>
          <w:sz w:val="24"/>
          <w:szCs w:val="24"/>
        </w:rPr>
        <w:t xml:space="preserve"> maddesinin metninde</w:t>
      </w:r>
      <w:r w:rsidR="006B3ADF" w:rsidRPr="00344951">
        <w:rPr>
          <w:color w:val="010000"/>
          <w:sz w:val="24"/>
          <w:szCs w:val="24"/>
        </w:rPr>
        <w:t xml:space="preserve"> </w:t>
      </w:r>
      <w:r w:rsidR="006453E4" w:rsidRPr="00344951">
        <w:rPr>
          <w:color w:val="010000"/>
          <w:sz w:val="24"/>
          <w:szCs w:val="24"/>
        </w:rPr>
        <w:t>Askeri Şûranın yapısı</w:t>
      </w:r>
      <w:r w:rsidR="00D901D8" w:rsidRPr="00344951">
        <w:rPr>
          <w:color w:val="010000"/>
          <w:sz w:val="24"/>
          <w:szCs w:val="24"/>
        </w:rPr>
        <w:t xml:space="preserve">, </w:t>
      </w:r>
      <w:r w:rsidR="006453E4" w:rsidRPr="00344951">
        <w:rPr>
          <w:color w:val="010000"/>
          <w:sz w:val="24"/>
          <w:szCs w:val="24"/>
        </w:rPr>
        <w:t>değerlendirme notu verilmesindeki esaslar, yeterlik notunun saptanması ve yeterlik sıralaması gibi itirazcı Mahkemenin görme</w:t>
      </w:r>
      <w:r w:rsidR="00D901D8" w:rsidRPr="00344951">
        <w:rPr>
          <w:color w:val="010000"/>
          <w:sz w:val="24"/>
          <w:szCs w:val="24"/>
        </w:rPr>
        <w:t>kte</w:t>
      </w:r>
      <w:r w:rsidR="006453E4" w:rsidRPr="00344951">
        <w:rPr>
          <w:color w:val="010000"/>
          <w:sz w:val="24"/>
          <w:szCs w:val="24"/>
        </w:rPr>
        <w:t xml:space="preserve"> olduğu davayı bu maddeyi uygulamak yo</w:t>
      </w:r>
      <w:r w:rsidR="006453E4" w:rsidRPr="00344951">
        <w:rPr>
          <w:color w:val="010000"/>
          <w:sz w:val="24"/>
          <w:szCs w:val="24"/>
        </w:rPr>
        <w:softHyphen/>
        <w:t>luyla sonuçlandırmasında dayanacağı konu ve işlemlere ilişkin kurallar yer almamış bulunmaktadır.</w:t>
      </w:r>
    </w:p>
    <w:p w14:paraId="7BB2C2AF" w14:textId="77777777" w:rsidR="00181D98" w:rsidRPr="00344951" w:rsidRDefault="006453E4"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O h</w:t>
      </w:r>
      <w:r w:rsidR="006B3ADF" w:rsidRPr="00344951">
        <w:rPr>
          <w:color w:val="010000"/>
          <w:sz w:val="24"/>
          <w:szCs w:val="24"/>
        </w:rPr>
        <w:t>â</w:t>
      </w:r>
      <w:r w:rsidRPr="00344951">
        <w:rPr>
          <w:color w:val="010000"/>
          <w:sz w:val="24"/>
          <w:szCs w:val="24"/>
        </w:rPr>
        <w:t>lde itirazcı Mahkeme bu maddeyi uygulama durumunda bu</w:t>
      </w:r>
      <w:r w:rsidRPr="00344951">
        <w:rPr>
          <w:color w:val="010000"/>
          <w:sz w:val="24"/>
          <w:szCs w:val="24"/>
        </w:rPr>
        <w:softHyphen/>
        <w:t>lunmadığından itirazın bu maddeye ilişkin bölümünün Mahkemenin yetk</w:t>
      </w:r>
      <w:r w:rsidR="00D901D8" w:rsidRPr="00344951">
        <w:rPr>
          <w:color w:val="010000"/>
          <w:sz w:val="24"/>
          <w:szCs w:val="24"/>
        </w:rPr>
        <w:t>i</w:t>
      </w:r>
      <w:r w:rsidRPr="00344951">
        <w:rPr>
          <w:color w:val="010000"/>
          <w:sz w:val="24"/>
          <w:szCs w:val="24"/>
        </w:rPr>
        <w:t>sizliği nedeniyle reddine karar verilmesi düşüncesindeyiz.</w:t>
      </w:r>
    </w:p>
    <w:tbl>
      <w:tblPr>
        <w:tblW w:w="5000" w:type="pct"/>
        <w:jc w:val="center"/>
        <w:shd w:val="clear" w:color="auto" w:fill="FFFFFF"/>
        <w:tblCellMar>
          <w:left w:w="0" w:type="dxa"/>
          <w:right w:w="0" w:type="dxa"/>
        </w:tblCellMar>
        <w:tblLook w:val="04A0" w:firstRow="1" w:lastRow="0" w:firstColumn="1" w:lastColumn="0" w:noHBand="0" w:noVBand="1"/>
      </w:tblPr>
      <w:tblGrid>
        <w:gridCol w:w="4890"/>
        <w:gridCol w:w="4890"/>
      </w:tblGrid>
      <w:tr w:rsidR="00D901D8" w:rsidRPr="00344951" w14:paraId="01E0BFF6" w14:textId="77777777" w:rsidTr="00344951">
        <w:trPr>
          <w:trHeight w:val="1600"/>
          <w:jc w:val="center"/>
        </w:trPr>
        <w:tc>
          <w:tcPr>
            <w:tcW w:w="2500" w:type="pct"/>
            <w:shd w:val="clear" w:color="auto" w:fill="FFFFFF"/>
            <w:tcMar>
              <w:top w:w="0" w:type="dxa"/>
              <w:left w:w="70" w:type="dxa"/>
              <w:bottom w:w="0" w:type="dxa"/>
              <w:right w:w="70" w:type="dxa"/>
            </w:tcMar>
            <w:vAlign w:val="center"/>
            <w:hideMark/>
          </w:tcPr>
          <w:p w14:paraId="13E3BB0C" w14:textId="77777777" w:rsidR="00D901D8" w:rsidRPr="00344951" w:rsidRDefault="00D901D8"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Başkan</w:t>
            </w:r>
          </w:p>
          <w:p w14:paraId="228B7E6C" w14:textId="77777777" w:rsidR="00D901D8" w:rsidRPr="00344951" w:rsidRDefault="00D901D8"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 xml:space="preserve"> </w:t>
            </w:r>
            <w:proofErr w:type="spellStart"/>
            <w:r w:rsidRPr="00344951">
              <w:rPr>
                <w:rFonts w:ascii="Times New Roman" w:eastAsia="Times New Roman" w:hAnsi="Times New Roman" w:cs="Times New Roman"/>
                <w:color w:val="010000"/>
                <w:szCs w:val="26"/>
              </w:rPr>
              <w:t>Kâni</w:t>
            </w:r>
            <w:proofErr w:type="spellEnd"/>
            <w:r w:rsidRPr="00344951">
              <w:rPr>
                <w:rFonts w:ascii="Times New Roman" w:eastAsia="Times New Roman" w:hAnsi="Times New Roman" w:cs="Times New Roman"/>
                <w:color w:val="010000"/>
                <w:szCs w:val="26"/>
              </w:rPr>
              <w:t xml:space="preserve"> VRANA</w:t>
            </w:r>
          </w:p>
        </w:tc>
        <w:tc>
          <w:tcPr>
            <w:tcW w:w="2500" w:type="pct"/>
            <w:shd w:val="clear" w:color="auto" w:fill="FFFFFF"/>
            <w:tcMar>
              <w:top w:w="0" w:type="dxa"/>
              <w:left w:w="70" w:type="dxa"/>
              <w:bottom w:w="0" w:type="dxa"/>
              <w:right w:w="70" w:type="dxa"/>
            </w:tcMar>
            <w:vAlign w:val="center"/>
            <w:hideMark/>
          </w:tcPr>
          <w:p w14:paraId="5C7DBE83" w14:textId="77777777" w:rsidR="00D901D8" w:rsidRPr="00344951" w:rsidRDefault="00D901D8"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Başkanvekili</w:t>
            </w:r>
          </w:p>
          <w:p w14:paraId="5F029A27" w14:textId="77777777" w:rsidR="00D901D8" w:rsidRPr="00344951" w:rsidRDefault="00D901D8" w:rsidP="00344951">
            <w:pPr>
              <w:widowControl/>
              <w:spacing w:after="120"/>
              <w:jc w:val="center"/>
              <w:rPr>
                <w:rFonts w:ascii="Times New Roman" w:eastAsia="Times New Roman" w:hAnsi="Times New Roman" w:cs="Times New Roman"/>
                <w:color w:val="010000"/>
                <w:szCs w:val="26"/>
              </w:rPr>
            </w:pPr>
            <w:r w:rsidRPr="00344951">
              <w:rPr>
                <w:rFonts w:ascii="Times New Roman" w:eastAsia="Times New Roman" w:hAnsi="Times New Roman" w:cs="Times New Roman"/>
                <w:color w:val="010000"/>
                <w:szCs w:val="26"/>
              </w:rPr>
              <w:t>Şevket MÜFTÜGİL</w:t>
            </w:r>
          </w:p>
        </w:tc>
      </w:tr>
    </w:tbl>
    <w:p w14:paraId="2630E229" w14:textId="77777777" w:rsidR="00344951" w:rsidRDefault="00344951" w:rsidP="00344951">
      <w:pPr>
        <w:pStyle w:val="Gvdemetni0"/>
        <w:widowControl/>
        <w:shd w:val="clear" w:color="auto" w:fill="auto"/>
        <w:spacing w:after="200"/>
        <w:ind w:right="283"/>
        <w:jc w:val="both"/>
        <w:rPr>
          <w:color w:val="010000"/>
          <w:sz w:val="24"/>
          <w:szCs w:val="24"/>
        </w:rPr>
      </w:pPr>
    </w:p>
    <w:p w14:paraId="3C6115AA" w14:textId="77777777" w:rsidR="00344951" w:rsidRDefault="00344951" w:rsidP="00344951">
      <w:pPr>
        <w:pStyle w:val="Gvdemetni0"/>
        <w:widowControl/>
        <w:shd w:val="clear" w:color="auto" w:fill="auto"/>
        <w:spacing w:after="200"/>
        <w:ind w:right="283"/>
        <w:jc w:val="both"/>
        <w:rPr>
          <w:color w:val="010000"/>
          <w:sz w:val="24"/>
          <w:szCs w:val="24"/>
        </w:rPr>
      </w:pPr>
    </w:p>
    <w:p w14:paraId="7388F245" w14:textId="77777777" w:rsidR="00344951" w:rsidRDefault="00344951" w:rsidP="00344951">
      <w:pPr>
        <w:pStyle w:val="Gvdemetni0"/>
        <w:widowControl/>
        <w:shd w:val="clear" w:color="auto" w:fill="auto"/>
        <w:spacing w:after="200"/>
        <w:ind w:right="283"/>
        <w:jc w:val="both"/>
        <w:rPr>
          <w:color w:val="010000"/>
          <w:sz w:val="24"/>
          <w:szCs w:val="24"/>
        </w:rPr>
      </w:pPr>
    </w:p>
    <w:p w14:paraId="67C34743" w14:textId="77777777" w:rsidR="00344951" w:rsidRDefault="00344951" w:rsidP="00344951">
      <w:pPr>
        <w:pStyle w:val="Gvdemetni0"/>
        <w:widowControl/>
        <w:shd w:val="clear" w:color="auto" w:fill="auto"/>
        <w:spacing w:after="200"/>
        <w:ind w:right="283"/>
        <w:jc w:val="both"/>
        <w:rPr>
          <w:color w:val="010000"/>
          <w:sz w:val="24"/>
          <w:szCs w:val="24"/>
        </w:rPr>
      </w:pPr>
    </w:p>
    <w:p w14:paraId="4991BB78" w14:textId="77777777" w:rsidR="00344951" w:rsidRDefault="00344951" w:rsidP="00344951">
      <w:pPr>
        <w:pStyle w:val="Gvdemetni0"/>
        <w:widowControl/>
        <w:shd w:val="clear" w:color="auto" w:fill="auto"/>
        <w:spacing w:after="200"/>
        <w:ind w:right="283"/>
        <w:jc w:val="both"/>
        <w:rPr>
          <w:color w:val="010000"/>
          <w:sz w:val="24"/>
          <w:szCs w:val="24"/>
        </w:rPr>
      </w:pPr>
    </w:p>
    <w:p w14:paraId="76D1B42C" w14:textId="77777777" w:rsidR="00D901D8" w:rsidRPr="00344951" w:rsidRDefault="00D901D8" w:rsidP="00344951">
      <w:pPr>
        <w:pStyle w:val="Gvdemetni0"/>
        <w:widowControl/>
        <w:shd w:val="clear" w:color="auto" w:fill="auto"/>
        <w:spacing w:after="200"/>
        <w:ind w:right="283"/>
        <w:jc w:val="center"/>
        <w:rPr>
          <w:color w:val="010000"/>
          <w:sz w:val="24"/>
          <w:szCs w:val="24"/>
        </w:rPr>
      </w:pPr>
      <w:r w:rsidRPr="00344951">
        <w:rPr>
          <w:color w:val="010000"/>
          <w:sz w:val="24"/>
          <w:szCs w:val="24"/>
        </w:rPr>
        <w:t>KARŞIOY YAZISI</w:t>
      </w:r>
    </w:p>
    <w:p w14:paraId="65F9E40F" w14:textId="77777777" w:rsidR="00D901D8" w:rsidRPr="00344951" w:rsidRDefault="00D901D8" w:rsidP="00344951">
      <w:pPr>
        <w:pStyle w:val="Gvdemetni0"/>
        <w:widowControl/>
        <w:shd w:val="clear" w:color="auto" w:fill="auto"/>
        <w:spacing w:after="200"/>
        <w:ind w:right="283" w:firstLine="709"/>
        <w:jc w:val="both"/>
        <w:rPr>
          <w:color w:val="010000"/>
          <w:sz w:val="24"/>
          <w:szCs w:val="24"/>
        </w:rPr>
      </w:pPr>
      <w:r w:rsidRPr="00344951">
        <w:rPr>
          <w:color w:val="010000"/>
          <w:sz w:val="24"/>
          <w:szCs w:val="24"/>
        </w:rPr>
        <w:t xml:space="preserve">Mahkememizin 13.12.1977 günlü, 1977/11-133 sayılı </w:t>
      </w:r>
      <w:r w:rsidR="00373354" w:rsidRPr="00344951">
        <w:rPr>
          <w:color w:val="010000"/>
          <w:sz w:val="24"/>
          <w:szCs w:val="24"/>
        </w:rPr>
        <w:t xml:space="preserve">kararındaki </w:t>
      </w:r>
      <w:proofErr w:type="spellStart"/>
      <w:r w:rsidR="00373354" w:rsidRPr="00344951">
        <w:rPr>
          <w:color w:val="010000"/>
          <w:sz w:val="24"/>
          <w:szCs w:val="24"/>
        </w:rPr>
        <w:t>karşıoy</w:t>
      </w:r>
      <w:proofErr w:type="spellEnd"/>
      <w:r w:rsidR="00373354" w:rsidRPr="00344951">
        <w:rPr>
          <w:color w:val="010000"/>
          <w:sz w:val="24"/>
          <w:szCs w:val="24"/>
        </w:rPr>
        <w:t xml:space="preserve"> yazımın 1 sayılı pa</w:t>
      </w:r>
      <w:r w:rsidR="006B3ADF" w:rsidRPr="00344951">
        <w:rPr>
          <w:color w:val="010000"/>
          <w:sz w:val="24"/>
          <w:szCs w:val="24"/>
        </w:rPr>
        <w:t>rag</w:t>
      </w:r>
      <w:r w:rsidR="00373354" w:rsidRPr="00344951">
        <w:rPr>
          <w:color w:val="010000"/>
          <w:sz w:val="24"/>
          <w:szCs w:val="24"/>
        </w:rPr>
        <w:t xml:space="preserve">rafında açıkladığım nedenlerle 926 sayılı Türk </w:t>
      </w:r>
      <w:proofErr w:type="spellStart"/>
      <w:r w:rsidR="00373354" w:rsidRPr="00344951">
        <w:rPr>
          <w:color w:val="010000"/>
          <w:sz w:val="24"/>
          <w:szCs w:val="24"/>
        </w:rPr>
        <w:t>Sil</w:t>
      </w:r>
      <w:r w:rsidR="006B3ADF" w:rsidRPr="00344951">
        <w:rPr>
          <w:color w:val="010000"/>
          <w:sz w:val="24"/>
          <w:szCs w:val="24"/>
        </w:rPr>
        <w:t>â</w:t>
      </w:r>
      <w:r w:rsidR="00373354" w:rsidRPr="00344951">
        <w:rPr>
          <w:color w:val="010000"/>
          <w:sz w:val="24"/>
          <w:szCs w:val="24"/>
        </w:rPr>
        <w:t>hlı</w:t>
      </w:r>
      <w:proofErr w:type="spellEnd"/>
      <w:r w:rsidR="00373354" w:rsidRPr="00344951">
        <w:rPr>
          <w:color w:val="010000"/>
          <w:sz w:val="24"/>
          <w:szCs w:val="24"/>
        </w:rPr>
        <w:t xml:space="preserve"> Kuvvetleri Personel Kanunu</w:t>
      </w:r>
      <w:r w:rsidR="006B3ADF" w:rsidRPr="00344951">
        <w:rPr>
          <w:color w:val="010000"/>
          <w:sz w:val="24"/>
          <w:szCs w:val="24"/>
        </w:rPr>
        <w:t>’</w:t>
      </w:r>
      <w:r w:rsidR="00373354" w:rsidRPr="00344951">
        <w:rPr>
          <w:color w:val="010000"/>
          <w:sz w:val="24"/>
          <w:szCs w:val="24"/>
        </w:rPr>
        <w:t xml:space="preserve">nun 1424 sayılı </w:t>
      </w:r>
      <w:r w:rsidR="006B3ADF" w:rsidRPr="00344951">
        <w:rPr>
          <w:color w:val="010000"/>
          <w:sz w:val="24"/>
          <w:szCs w:val="24"/>
        </w:rPr>
        <w:t>Y</w:t>
      </w:r>
      <w:r w:rsidR="00373354" w:rsidRPr="00344951">
        <w:rPr>
          <w:color w:val="010000"/>
          <w:sz w:val="24"/>
          <w:szCs w:val="24"/>
        </w:rPr>
        <w:t xml:space="preserve">asa ile değişik 54. </w:t>
      </w:r>
      <w:r w:rsidR="006B3ADF" w:rsidRPr="00344951">
        <w:rPr>
          <w:color w:val="010000"/>
          <w:sz w:val="24"/>
          <w:szCs w:val="24"/>
        </w:rPr>
        <w:t>m</w:t>
      </w:r>
      <w:r w:rsidR="00373354" w:rsidRPr="00344951">
        <w:rPr>
          <w:color w:val="010000"/>
          <w:sz w:val="24"/>
          <w:szCs w:val="24"/>
        </w:rPr>
        <w:t>addesinin Asker</w:t>
      </w:r>
      <w:r w:rsidR="006B3ADF" w:rsidRPr="00344951">
        <w:rPr>
          <w:color w:val="010000"/>
          <w:sz w:val="24"/>
          <w:szCs w:val="24"/>
        </w:rPr>
        <w:t>î</w:t>
      </w:r>
      <w:r w:rsidR="00373354" w:rsidRPr="00344951">
        <w:rPr>
          <w:color w:val="010000"/>
          <w:sz w:val="24"/>
          <w:szCs w:val="24"/>
        </w:rPr>
        <w:t xml:space="preserve"> Yüksek İdare Mahkemesi Daireler Kurulunun bu davada uygulayacağı hüküm olmadığından buna ilişkin itirazın Anayasa’nın 151. </w:t>
      </w:r>
      <w:r w:rsidR="006B3ADF" w:rsidRPr="00344951">
        <w:rPr>
          <w:color w:val="010000"/>
          <w:sz w:val="24"/>
          <w:szCs w:val="24"/>
        </w:rPr>
        <w:t>m</w:t>
      </w:r>
      <w:r w:rsidR="00373354" w:rsidRPr="00344951">
        <w:rPr>
          <w:color w:val="010000"/>
          <w:sz w:val="24"/>
          <w:szCs w:val="24"/>
        </w:rPr>
        <w:t>addesi uyarınca-esasın incelenmesine geçmeden reddedilmesi gerekir. Bu nedenle esasın incelenmesine ilişkin çoğunluk kararın katılıyorum.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25621" w:rsidRPr="00344951" w14:paraId="35A1EC42" w14:textId="77777777" w:rsidTr="00125621">
        <w:tc>
          <w:tcPr>
            <w:tcW w:w="1000" w:type="pct"/>
            <w:shd w:val="clear" w:color="auto" w:fill="auto"/>
          </w:tcPr>
          <w:p w14:paraId="3EAEF8D4" w14:textId="77777777" w:rsidR="00125621" w:rsidRPr="00344951" w:rsidRDefault="00125621" w:rsidP="00344951">
            <w:pPr>
              <w:pStyle w:val="Gvdemetni0"/>
              <w:widowControl/>
              <w:shd w:val="clear" w:color="auto" w:fill="auto"/>
              <w:spacing w:after="200"/>
              <w:ind w:right="283" w:firstLine="709"/>
              <w:jc w:val="both"/>
              <w:rPr>
                <w:color w:val="010000"/>
                <w:sz w:val="24"/>
                <w:szCs w:val="24"/>
              </w:rPr>
            </w:pPr>
          </w:p>
        </w:tc>
        <w:tc>
          <w:tcPr>
            <w:tcW w:w="1000" w:type="pct"/>
            <w:shd w:val="clear" w:color="auto" w:fill="auto"/>
          </w:tcPr>
          <w:p w14:paraId="598CADA3" w14:textId="77777777" w:rsidR="00125621" w:rsidRPr="00344951" w:rsidRDefault="00125621" w:rsidP="00344951">
            <w:pPr>
              <w:pStyle w:val="Gvdemetni0"/>
              <w:widowControl/>
              <w:shd w:val="clear" w:color="auto" w:fill="auto"/>
              <w:spacing w:after="200"/>
              <w:ind w:right="283" w:firstLine="709"/>
              <w:jc w:val="both"/>
              <w:rPr>
                <w:color w:val="010000"/>
                <w:sz w:val="24"/>
                <w:szCs w:val="24"/>
              </w:rPr>
            </w:pPr>
          </w:p>
        </w:tc>
        <w:tc>
          <w:tcPr>
            <w:tcW w:w="1000" w:type="pct"/>
            <w:shd w:val="clear" w:color="auto" w:fill="auto"/>
          </w:tcPr>
          <w:p w14:paraId="04EE3124" w14:textId="77777777" w:rsidR="00125621" w:rsidRPr="00344951" w:rsidRDefault="00125621" w:rsidP="00344951">
            <w:pPr>
              <w:pStyle w:val="Gvdemetni0"/>
              <w:widowControl/>
              <w:shd w:val="clear" w:color="auto" w:fill="auto"/>
              <w:spacing w:after="200"/>
              <w:ind w:right="283" w:firstLine="709"/>
              <w:jc w:val="both"/>
              <w:rPr>
                <w:color w:val="010000"/>
                <w:sz w:val="24"/>
                <w:szCs w:val="24"/>
              </w:rPr>
            </w:pPr>
          </w:p>
        </w:tc>
        <w:tc>
          <w:tcPr>
            <w:tcW w:w="1000" w:type="pct"/>
            <w:shd w:val="clear" w:color="auto" w:fill="auto"/>
          </w:tcPr>
          <w:p w14:paraId="40DFED46" w14:textId="77777777" w:rsidR="00125621" w:rsidRPr="00344951" w:rsidRDefault="00125621" w:rsidP="00344951">
            <w:pPr>
              <w:pStyle w:val="Gvdemetni0"/>
              <w:widowControl/>
              <w:shd w:val="clear" w:color="auto" w:fill="auto"/>
              <w:spacing w:after="200"/>
              <w:ind w:right="283" w:firstLine="709"/>
              <w:jc w:val="both"/>
              <w:rPr>
                <w:color w:val="010000"/>
                <w:sz w:val="24"/>
                <w:szCs w:val="24"/>
              </w:rPr>
            </w:pPr>
          </w:p>
        </w:tc>
        <w:tc>
          <w:tcPr>
            <w:tcW w:w="1000" w:type="pct"/>
            <w:shd w:val="clear" w:color="auto" w:fill="auto"/>
          </w:tcPr>
          <w:p w14:paraId="699E5CEF" w14:textId="77777777" w:rsidR="00125621" w:rsidRPr="00344951" w:rsidRDefault="00125621" w:rsidP="00344951">
            <w:pPr>
              <w:pStyle w:val="Gvdemetni0"/>
              <w:widowControl/>
              <w:shd w:val="clear" w:color="auto" w:fill="auto"/>
              <w:spacing w:after="200"/>
              <w:ind w:right="283"/>
              <w:jc w:val="center"/>
              <w:rPr>
                <w:color w:val="010000"/>
                <w:sz w:val="24"/>
                <w:szCs w:val="24"/>
              </w:rPr>
            </w:pPr>
            <w:r w:rsidRPr="00344951">
              <w:rPr>
                <w:color w:val="010000"/>
                <w:sz w:val="24"/>
                <w:szCs w:val="24"/>
              </w:rPr>
              <w:t>Üye</w:t>
            </w:r>
          </w:p>
          <w:p w14:paraId="7B603A1A" w14:textId="77777777" w:rsidR="00125621" w:rsidRPr="00344951" w:rsidRDefault="00125621" w:rsidP="00344951">
            <w:pPr>
              <w:pStyle w:val="Gvdemetni0"/>
              <w:widowControl/>
              <w:shd w:val="clear" w:color="auto" w:fill="auto"/>
              <w:spacing w:after="200"/>
              <w:ind w:right="283"/>
              <w:jc w:val="center"/>
              <w:rPr>
                <w:color w:val="010000"/>
                <w:sz w:val="24"/>
                <w:szCs w:val="24"/>
              </w:rPr>
            </w:pPr>
            <w:r w:rsidRPr="00344951">
              <w:rPr>
                <w:color w:val="010000"/>
                <w:sz w:val="24"/>
                <w:szCs w:val="24"/>
              </w:rPr>
              <w:t>Abdullah ÜNER</w:t>
            </w:r>
          </w:p>
        </w:tc>
      </w:tr>
    </w:tbl>
    <w:p w14:paraId="1FF180B6" w14:textId="77777777" w:rsidR="00373354" w:rsidRPr="00344951" w:rsidRDefault="00373354" w:rsidP="00344951">
      <w:pPr>
        <w:pStyle w:val="Gvdemetni0"/>
        <w:widowControl/>
        <w:shd w:val="clear" w:color="auto" w:fill="auto"/>
        <w:spacing w:after="200"/>
        <w:ind w:right="283" w:firstLine="709"/>
        <w:jc w:val="both"/>
        <w:rPr>
          <w:color w:val="010000"/>
          <w:sz w:val="24"/>
          <w:szCs w:val="24"/>
        </w:rPr>
      </w:pPr>
    </w:p>
    <w:sectPr w:rsidR="00373354" w:rsidRPr="00344951" w:rsidSect="00344951">
      <w:headerReference w:type="default" r:id="rId7"/>
      <w:footerReference w:type="even" r:id="rId8"/>
      <w:footerReference w:type="default" r:id="rId9"/>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7B141" w14:textId="77777777" w:rsidR="002C5301" w:rsidRDefault="002C5301">
      <w:r>
        <w:separator/>
      </w:r>
    </w:p>
  </w:endnote>
  <w:endnote w:type="continuationSeparator" w:id="0">
    <w:p w14:paraId="67BF874B" w14:textId="77777777" w:rsidR="002C5301" w:rsidRDefault="002C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2CD3" w14:textId="77777777" w:rsidR="00441782" w:rsidRDefault="00441782" w:rsidP="00ED5F0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9686D12" w14:textId="77777777" w:rsidR="00441782" w:rsidRDefault="00441782" w:rsidP="00BB05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16A0" w14:textId="77777777" w:rsidR="00441782" w:rsidRPr="00344951" w:rsidRDefault="00441782" w:rsidP="00ED5F0D">
    <w:pPr>
      <w:pStyle w:val="AltBilgi"/>
      <w:framePr w:wrap="around" w:vAnchor="text" w:hAnchor="margin" w:xAlign="right" w:y="1"/>
      <w:rPr>
        <w:rStyle w:val="SayfaNumaras"/>
        <w:rFonts w:ascii="Times New Roman" w:hAnsi="Times New Roman" w:cs="Times New Roman"/>
      </w:rPr>
    </w:pPr>
    <w:r w:rsidRPr="00344951">
      <w:rPr>
        <w:rStyle w:val="SayfaNumaras"/>
        <w:rFonts w:ascii="Times New Roman" w:hAnsi="Times New Roman" w:cs="Times New Roman"/>
      </w:rPr>
      <w:fldChar w:fldCharType="begin"/>
    </w:r>
    <w:r w:rsidRPr="00344951">
      <w:rPr>
        <w:rStyle w:val="SayfaNumaras"/>
        <w:rFonts w:ascii="Times New Roman" w:hAnsi="Times New Roman" w:cs="Times New Roman"/>
      </w:rPr>
      <w:instrText xml:space="preserve"> PAGE </w:instrText>
    </w:r>
    <w:r w:rsidRPr="00344951">
      <w:rPr>
        <w:rStyle w:val="SayfaNumaras"/>
        <w:rFonts w:ascii="Times New Roman" w:hAnsi="Times New Roman" w:cs="Times New Roman"/>
      </w:rPr>
      <w:fldChar w:fldCharType="separate"/>
    </w:r>
    <w:r w:rsidRPr="00344951">
      <w:rPr>
        <w:rStyle w:val="SayfaNumaras"/>
        <w:rFonts w:ascii="Times New Roman" w:hAnsi="Times New Roman" w:cs="Times New Roman"/>
        <w:noProof/>
      </w:rPr>
      <w:t>1</w:t>
    </w:r>
    <w:r w:rsidRPr="00344951">
      <w:rPr>
        <w:rStyle w:val="SayfaNumaras"/>
        <w:rFonts w:ascii="Times New Roman" w:hAnsi="Times New Roman" w:cs="Times New Roman"/>
      </w:rPr>
      <w:fldChar w:fldCharType="end"/>
    </w:r>
  </w:p>
  <w:p w14:paraId="5590EDFC" w14:textId="77777777" w:rsidR="00441782" w:rsidRDefault="00441782" w:rsidP="00BB05A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02FE" w14:textId="77777777" w:rsidR="002C5301" w:rsidRDefault="002C5301"/>
  </w:footnote>
  <w:footnote w:type="continuationSeparator" w:id="0">
    <w:p w14:paraId="6240ECD2" w14:textId="77777777" w:rsidR="002C5301" w:rsidRDefault="002C5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753C" w14:textId="77777777" w:rsidR="00344951" w:rsidRPr="00344951" w:rsidRDefault="00344951" w:rsidP="00344951">
    <w:pPr>
      <w:pStyle w:val="stBilgi"/>
      <w:rPr>
        <w:rFonts w:ascii="Times New Roman" w:hAnsi="Times New Roman" w:cs="Times New Roman"/>
        <w:b/>
      </w:rPr>
    </w:pPr>
    <w:r w:rsidRPr="00344951">
      <w:rPr>
        <w:rFonts w:ascii="Times New Roman" w:hAnsi="Times New Roman" w:cs="Times New Roman"/>
        <w:b/>
      </w:rPr>
      <w:t xml:space="preserve">Esas </w:t>
    </w:r>
    <w:proofErr w:type="gramStart"/>
    <w:r w:rsidRPr="00344951">
      <w:rPr>
        <w:rFonts w:ascii="Times New Roman" w:hAnsi="Times New Roman" w:cs="Times New Roman"/>
        <w:b/>
      </w:rPr>
      <w:t>Sayısı :</w:t>
    </w:r>
    <w:proofErr w:type="gramEnd"/>
    <w:r w:rsidRPr="00344951">
      <w:rPr>
        <w:rFonts w:ascii="Times New Roman" w:hAnsi="Times New Roman" w:cs="Times New Roman"/>
        <w:b/>
      </w:rPr>
      <w:t xml:space="preserve"> 1977/12</w:t>
    </w:r>
  </w:p>
  <w:p w14:paraId="0F7E22FE" w14:textId="77777777" w:rsidR="00344951" w:rsidRDefault="00344951" w:rsidP="0034495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1977/134</w:t>
    </w:r>
  </w:p>
  <w:p w14:paraId="7511137C" w14:textId="77777777" w:rsidR="00441782" w:rsidRPr="00344951" w:rsidRDefault="00441782" w:rsidP="00344951">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4F4"/>
    <w:multiLevelType w:val="hybridMultilevel"/>
    <w:tmpl w:val="FCC2401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77589"/>
    <w:multiLevelType w:val="hybridMultilevel"/>
    <w:tmpl w:val="D196FB02"/>
    <w:lvl w:ilvl="0" w:tplc="049C4CA6">
      <w:start w:val="1"/>
      <w:numFmt w:val="upperRoman"/>
      <w:suff w:val="space"/>
      <w:lvlText w:val="%1."/>
      <w:lvlJc w:val="left"/>
      <w:pPr>
        <w:ind w:left="2640" w:hanging="108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2" w15:restartNumberingAfterBreak="0">
    <w:nsid w:val="0D2F7872"/>
    <w:multiLevelType w:val="hybridMultilevel"/>
    <w:tmpl w:val="6D8897BE"/>
    <w:lvl w:ilvl="0" w:tplc="130C0306">
      <w:start w:val="1"/>
      <w:numFmt w:val="decimal"/>
      <w:suff w:val="space"/>
      <w:lvlText w:val="%1-"/>
      <w:lvlJc w:val="left"/>
      <w:pPr>
        <w:ind w:left="192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802722"/>
    <w:multiLevelType w:val="hybridMultilevel"/>
    <w:tmpl w:val="FCA4E2B8"/>
    <w:lvl w:ilvl="0" w:tplc="5656B9EA">
      <w:start w:val="1"/>
      <w:numFmt w:val="decimal"/>
      <w:suff w:val="space"/>
      <w:lvlText w:val="%1-"/>
      <w:lvlJc w:val="left"/>
      <w:pPr>
        <w:ind w:left="927"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FD9031A"/>
    <w:multiLevelType w:val="multilevel"/>
    <w:tmpl w:val="7796493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52"/>
        <w:szCs w:val="5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75CB6"/>
    <w:multiLevelType w:val="multilevel"/>
    <w:tmpl w:val="AA3EB268"/>
    <w:lvl w:ilvl="0">
      <w:start w:val="4"/>
      <w:numFmt w:val="upp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4A6325B"/>
    <w:multiLevelType w:val="multilevel"/>
    <w:tmpl w:val="0C80F75A"/>
    <w:lvl w:ilvl="0">
      <w:start w:val="3"/>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52"/>
        <w:szCs w:val="52"/>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640CA"/>
    <w:multiLevelType w:val="hybridMultilevel"/>
    <w:tmpl w:val="28EEADC4"/>
    <w:lvl w:ilvl="0" w:tplc="5EF08E0E">
      <w:start w:val="1"/>
      <w:numFmt w:val="decimal"/>
      <w:suff w:val="space"/>
      <w:lvlText w:val="%1-"/>
      <w:lvlJc w:val="left"/>
      <w:pPr>
        <w:ind w:left="927"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32262173"/>
    <w:multiLevelType w:val="hybridMultilevel"/>
    <w:tmpl w:val="0C2EC1FA"/>
    <w:lvl w:ilvl="0" w:tplc="FE20CD1A">
      <w:start w:val="1"/>
      <w:numFmt w:val="decimal"/>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1E4644F"/>
    <w:multiLevelType w:val="hybridMultilevel"/>
    <w:tmpl w:val="E5A699A2"/>
    <w:lvl w:ilvl="0" w:tplc="BFD85FA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54592143"/>
    <w:multiLevelType w:val="hybridMultilevel"/>
    <w:tmpl w:val="29620A8C"/>
    <w:lvl w:ilvl="0" w:tplc="4ABC7C26">
      <w:start w:val="1"/>
      <w:numFmt w:val="lowerLetter"/>
      <w:suff w:val="space"/>
      <w:lvlText w:val="%1)"/>
      <w:lvlJc w:val="left"/>
      <w:pPr>
        <w:ind w:left="192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5DB94822"/>
    <w:multiLevelType w:val="hybridMultilevel"/>
    <w:tmpl w:val="0E2AAE74"/>
    <w:lvl w:ilvl="0" w:tplc="9E3E1B1A">
      <w:start w:val="1"/>
      <w:numFmt w:val="upperLetter"/>
      <w:suff w:val="space"/>
      <w:lvlText w:val="%1)"/>
      <w:lvlJc w:val="left"/>
      <w:pPr>
        <w:ind w:left="927"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612465DE"/>
    <w:multiLevelType w:val="multilevel"/>
    <w:tmpl w:val="7714BF6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52"/>
        <w:szCs w:val="5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9170D3"/>
    <w:multiLevelType w:val="hybridMultilevel"/>
    <w:tmpl w:val="2B36039C"/>
    <w:lvl w:ilvl="0" w:tplc="C66E050E">
      <w:start w:val="1"/>
      <w:numFmt w:val="lowerLetter"/>
      <w:suff w:val="space"/>
      <w:lvlText w:val="%1)"/>
      <w:lvlJc w:val="left"/>
      <w:pPr>
        <w:ind w:left="19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5"/>
  </w:num>
  <w:num w:numId="5">
    <w:abstractNumId w:val="1"/>
  </w:num>
  <w:num w:numId="6">
    <w:abstractNumId w:val="0"/>
  </w:num>
  <w:num w:numId="7">
    <w:abstractNumId w:val="2"/>
  </w:num>
  <w:num w:numId="8">
    <w:abstractNumId w:val="9"/>
  </w:num>
  <w:num w:numId="9">
    <w:abstractNumId w:val="10"/>
  </w:num>
  <w:num w:numId="10">
    <w:abstractNumId w:val="13"/>
  </w:num>
  <w:num w:numId="11">
    <w:abstractNumId w:val="8"/>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98"/>
    <w:rsid w:val="00002C5D"/>
    <w:rsid w:val="000113BE"/>
    <w:rsid w:val="00066CAC"/>
    <w:rsid w:val="0007014F"/>
    <w:rsid w:val="0007382F"/>
    <w:rsid w:val="00093DD8"/>
    <w:rsid w:val="00095C98"/>
    <w:rsid w:val="000A4492"/>
    <w:rsid w:val="000A6EB9"/>
    <w:rsid w:val="000C14A8"/>
    <w:rsid w:val="000D0716"/>
    <w:rsid w:val="0011171B"/>
    <w:rsid w:val="00125621"/>
    <w:rsid w:val="00164413"/>
    <w:rsid w:val="00181D98"/>
    <w:rsid w:val="00181E19"/>
    <w:rsid w:val="001B05E6"/>
    <w:rsid w:val="001C0442"/>
    <w:rsid w:val="001C0B06"/>
    <w:rsid w:val="00246444"/>
    <w:rsid w:val="002522D0"/>
    <w:rsid w:val="0027357C"/>
    <w:rsid w:val="00284A69"/>
    <w:rsid w:val="002A0A91"/>
    <w:rsid w:val="002C5301"/>
    <w:rsid w:val="003102B1"/>
    <w:rsid w:val="003145C3"/>
    <w:rsid w:val="003402A6"/>
    <w:rsid w:val="00343127"/>
    <w:rsid w:val="00344951"/>
    <w:rsid w:val="00353B79"/>
    <w:rsid w:val="00356B41"/>
    <w:rsid w:val="00373354"/>
    <w:rsid w:val="00397845"/>
    <w:rsid w:val="003B1325"/>
    <w:rsid w:val="003B147E"/>
    <w:rsid w:val="003B60B9"/>
    <w:rsid w:val="003D029C"/>
    <w:rsid w:val="003D5781"/>
    <w:rsid w:val="003E42C4"/>
    <w:rsid w:val="003F5E0D"/>
    <w:rsid w:val="0040001C"/>
    <w:rsid w:val="00411457"/>
    <w:rsid w:val="004208FE"/>
    <w:rsid w:val="00436F33"/>
    <w:rsid w:val="00441782"/>
    <w:rsid w:val="00487564"/>
    <w:rsid w:val="004B09A1"/>
    <w:rsid w:val="004B4EF1"/>
    <w:rsid w:val="004F026D"/>
    <w:rsid w:val="00525E42"/>
    <w:rsid w:val="0056741E"/>
    <w:rsid w:val="0057155C"/>
    <w:rsid w:val="005A4573"/>
    <w:rsid w:val="005C0B6C"/>
    <w:rsid w:val="005D451D"/>
    <w:rsid w:val="005D57A6"/>
    <w:rsid w:val="005D7F07"/>
    <w:rsid w:val="005E46A0"/>
    <w:rsid w:val="005F27D8"/>
    <w:rsid w:val="00615514"/>
    <w:rsid w:val="00634D23"/>
    <w:rsid w:val="006453E4"/>
    <w:rsid w:val="00670DEF"/>
    <w:rsid w:val="006B3ADF"/>
    <w:rsid w:val="006C4CA3"/>
    <w:rsid w:val="00714A09"/>
    <w:rsid w:val="007304EF"/>
    <w:rsid w:val="00783713"/>
    <w:rsid w:val="007869FF"/>
    <w:rsid w:val="007A3F15"/>
    <w:rsid w:val="007B623A"/>
    <w:rsid w:val="00800920"/>
    <w:rsid w:val="00816E75"/>
    <w:rsid w:val="00821A7B"/>
    <w:rsid w:val="008272AD"/>
    <w:rsid w:val="0085619A"/>
    <w:rsid w:val="008707F6"/>
    <w:rsid w:val="008A2F38"/>
    <w:rsid w:val="008B6436"/>
    <w:rsid w:val="008F1308"/>
    <w:rsid w:val="008F4639"/>
    <w:rsid w:val="00912DB5"/>
    <w:rsid w:val="00965DA2"/>
    <w:rsid w:val="009701EE"/>
    <w:rsid w:val="00983714"/>
    <w:rsid w:val="009A14CE"/>
    <w:rsid w:val="009A44CB"/>
    <w:rsid w:val="009E03A2"/>
    <w:rsid w:val="009E16A5"/>
    <w:rsid w:val="009F46CE"/>
    <w:rsid w:val="00A41227"/>
    <w:rsid w:val="00A42EAE"/>
    <w:rsid w:val="00A85409"/>
    <w:rsid w:val="00A92778"/>
    <w:rsid w:val="00AB14FF"/>
    <w:rsid w:val="00AB18E8"/>
    <w:rsid w:val="00AF36D1"/>
    <w:rsid w:val="00B05DC4"/>
    <w:rsid w:val="00B06DF5"/>
    <w:rsid w:val="00B23E70"/>
    <w:rsid w:val="00B45C2B"/>
    <w:rsid w:val="00B53CF4"/>
    <w:rsid w:val="00B861B5"/>
    <w:rsid w:val="00BB05A9"/>
    <w:rsid w:val="00BC7507"/>
    <w:rsid w:val="00BF20B5"/>
    <w:rsid w:val="00C051CB"/>
    <w:rsid w:val="00C51B4A"/>
    <w:rsid w:val="00C724C5"/>
    <w:rsid w:val="00C74D8E"/>
    <w:rsid w:val="00C82C48"/>
    <w:rsid w:val="00C90F8F"/>
    <w:rsid w:val="00CF580C"/>
    <w:rsid w:val="00CF5C86"/>
    <w:rsid w:val="00D415B3"/>
    <w:rsid w:val="00D54AF4"/>
    <w:rsid w:val="00D901D8"/>
    <w:rsid w:val="00D96A32"/>
    <w:rsid w:val="00DB1D88"/>
    <w:rsid w:val="00DB45C3"/>
    <w:rsid w:val="00DB710A"/>
    <w:rsid w:val="00DC532D"/>
    <w:rsid w:val="00E165A0"/>
    <w:rsid w:val="00E271D5"/>
    <w:rsid w:val="00E579B1"/>
    <w:rsid w:val="00E63C23"/>
    <w:rsid w:val="00E96DA0"/>
    <w:rsid w:val="00EA087E"/>
    <w:rsid w:val="00EC7AC2"/>
    <w:rsid w:val="00ED5F0D"/>
    <w:rsid w:val="00EE2886"/>
    <w:rsid w:val="00EE37DD"/>
    <w:rsid w:val="00F617AA"/>
    <w:rsid w:val="00F71D2F"/>
    <w:rsid w:val="00F76C13"/>
    <w:rsid w:val="00FA4C44"/>
    <w:rsid w:val="00FB1EC8"/>
    <w:rsid w:val="00FC1052"/>
    <w:rsid w:val="00FD4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0E01C"/>
  <w15:docId w15:val="{D1A9E90C-A2EC-452F-AFE8-9343440E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52"/>
      <w:szCs w:val="52"/>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52"/>
      <w:szCs w:val="5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52"/>
      <w:szCs w:val="52"/>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156"/>
      <w:szCs w:val="156"/>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52"/>
      <w:szCs w:val="52"/>
      <w:u w:val="none"/>
    </w:rPr>
  </w:style>
  <w:style w:type="character" w:customStyle="1" w:styleId="Balk2">
    <w:name w:val="Başlık #2_"/>
    <w:basedOn w:val="VarsaylanParagrafYazTipi"/>
    <w:link w:val="Balk20"/>
    <w:rPr>
      <w:rFonts w:ascii="Times New Roman" w:eastAsia="Times New Roman" w:hAnsi="Times New Roman" w:cs="Times New Roman"/>
      <w:b w:val="0"/>
      <w:bCs w:val="0"/>
      <w:i/>
      <w:iCs/>
      <w:smallCaps w:val="0"/>
      <w:strike w:val="0"/>
      <w:sz w:val="80"/>
      <w:szCs w:val="80"/>
      <w:u w:val="none"/>
    </w:rPr>
  </w:style>
  <w:style w:type="paragraph" w:customStyle="1" w:styleId="Dipnot0">
    <w:name w:val="Dipnot"/>
    <w:basedOn w:val="Normal"/>
    <w:link w:val="Dipnot"/>
    <w:pPr>
      <w:shd w:val="clear" w:color="auto" w:fill="FFFFFF"/>
      <w:spacing w:after="340"/>
      <w:ind w:left="510"/>
    </w:pPr>
    <w:rPr>
      <w:rFonts w:ascii="Times New Roman" w:eastAsia="Times New Roman" w:hAnsi="Times New Roman" w:cs="Times New Roman"/>
      <w:sz w:val="52"/>
      <w:szCs w:val="52"/>
    </w:rPr>
  </w:style>
  <w:style w:type="paragraph" w:customStyle="1" w:styleId="Gvdemetni0">
    <w:name w:val="Gövde metni"/>
    <w:basedOn w:val="Normal"/>
    <w:link w:val="Gvdemetni"/>
    <w:pPr>
      <w:shd w:val="clear" w:color="auto" w:fill="FFFFFF"/>
    </w:pPr>
    <w:rPr>
      <w:rFonts w:ascii="Times New Roman" w:eastAsia="Times New Roman" w:hAnsi="Times New Roman" w:cs="Times New Roman"/>
      <w:sz w:val="52"/>
      <w:szCs w:val="52"/>
    </w:rPr>
  </w:style>
  <w:style w:type="paragraph" w:customStyle="1" w:styleId="Dier0">
    <w:name w:val="Diğer"/>
    <w:basedOn w:val="Normal"/>
    <w:link w:val="Dier"/>
    <w:pPr>
      <w:shd w:val="clear" w:color="auto" w:fill="FFFFFF"/>
    </w:pPr>
    <w:rPr>
      <w:rFonts w:ascii="Times New Roman" w:eastAsia="Times New Roman" w:hAnsi="Times New Roman" w:cs="Times New Roman"/>
      <w:sz w:val="52"/>
      <w:szCs w:val="52"/>
    </w:rPr>
  </w:style>
  <w:style w:type="paragraph" w:customStyle="1" w:styleId="Resimyazs0">
    <w:name w:val="Resim yazısı"/>
    <w:basedOn w:val="Normal"/>
    <w:link w:val="Resimyazs"/>
    <w:pPr>
      <w:shd w:val="clear" w:color="auto" w:fill="FFFFFF"/>
    </w:pPr>
    <w:rPr>
      <w:rFonts w:ascii="Times New Roman" w:eastAsia="Times New Roman" w:hAnsi="Times New Roman" w:cs="Times New Roman"/>
      <w:sz w:val="52"/>
      <w:szCs w:val="52"/>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outlineLvl w:val="0"/>
    </w:pPr>
    <w:rPr>
      <w:rFonts w:ascii="Times New Roman" w:eastAsia="Times New Roman" w:hAnsi="Times New Roman" w:cs="Times New Roman"/>
      <w:sz w:val="156"/>
      <w:szCs w:val="156"/>
    </w:rPr>
  </w:style>
  <w:style w:type="paragraph" w:customStyle="1" w:styleId="Tabloyazs0">
    <w:name w:val="Tablo yazısı"/>
    <w:basedOn w:val="Normal"/>
    <w:link w:val="Tabloyazs"/>
    <w:pPr>
      <w:shd w:val="clear" w:color="auto" w:fill="FFFFFF"/>
    </w:pPr>
    <w:rPr>
      <w:rFonts w:ascii="Times New Roman" w:eastAsia="Times New Roman" w:hAnsi="Times New Roman" w:cs="Times New Roman"/>
      <w:sz w:val="52"/>
      <w:szCs w:val="52"/>
    </w:rPr>
  </w:style>
  <w:style w:type="paragraph" w:customStyle="1" w:styleId="Balk20">
    <w:name w:val="Başlık #2"/>
    <w:basedOn w:val="Normal"/>
    <w:link w:val="Balk2"/>
    <w:pPr>
      <w:shd w:val="clear" w:color="auto" w:fill="FFFFFF"/>
      <w:spacing w:line="180" w:lineRule="auto"/>
      <w:jc w:val="center"/>
      <w:outlineLvl w:val="1"/>
    </w:pPr>
    <w:rPr>
      <w:rFonts w:ascii="Times New Roman" w:eastAsia="Times New Roman" w:hAnsi="Times New Roman" w:cs="Times New Roman"/>
      <w:i/>
      <w:iCs/>
      <w:sz w:val="80"/>
      <w:szCs w:val="80"/>
    </w:rPr>
  </w:style>
  <w:style w:type="paragraph" w:styleId="stBilgi">
    <w:name w:val="header"/>
    <w:basedOn w:val="Normal"/>
    <w:link w:val="stBilgiChar"/>
    <w:uiPriority w:val="99"/>
    <w:unhideWhenUsed/>
    <w:rsid w:val="008B6436"/>
    <w:pPr>
      <w:tabs>
        <w:tab w:val="center" w:pos="4536"/>
        <w:tab w:val="right" w:pos="9072"/>
      </w:tabs>
    </w:pPr>
  </w:style>
  <w:style w:type="character" w:customStyle="1" w:styleId="stBilgiChar">
    <w:name w:val="Üst Bilgi Char"/>
    <w:basedOn w:val="VarsaylanParagrafYazTipi"/>
    <w:link w:val="stBilgi"/>
    <w:uiPriority w:val="99"/>
    <w:rsid w:val="008B6436"/>
    <w:rPr>
      <w:color w:val="000000"/>
    </w:rPr>
  </w:style>
  <w:style w:type="paragraph" w:styleId="AltBilgi">
    <w:name w:val="footer"/>
    <w:basedOn w:val="Normal"/>
    <w:link w:val="AltBilgiChar"/>
    <w:uiPriority w:val="99"/>
    <w:unhideWhenUsed/>
    <w:rsid w:val="008B6436"/>
    <w:pPr>
      <w:tabs>
        <w:tab w:val="center" w:pos="4536"/>
        <w:tab w:val="right" w:pos="9072"/>
      </w:tabs>
    </w:pPr>
  </w:style>
  <w:style w:type="character" w:customStyle="1" w:styleId="AltBilgiChar">
    <w:name w:val="Alt Bilgi Char"/>
    <w:basedOn w:val="VarsaylanParagrafYazTipi"/>
    <w:link w:val="AltBilgi"/>
    <w:uiPriority w:val="99"/>
    <w:rsid w:val="008B6436"/>
    <w:rPr>
      <w:color w:val="000000"/>
    </w:rPr>
  </w:style>
  <w:style w:type="character" w:styleId="SayfaNumaras">
    <w:name w:val="page number"/>
    <w:basedOn w:val="VarsaylanParagrafYazTipi"/>
    <w:uiPriority w:val="99"/>
    <w:semiHidden/>
    <w:unhideWhenUsed/>
    <w:rsid w:val="00BB05A9"/>
  </w:style>
  <w:style w:type="paragraph" w:styleId="NormalWeb">
    <w:name w:val="Normal (Web)"/>
    <w:basedOn w:val="Normal"/>
    <w:uiPriority w:val="99"/>
    <w:semiHidden/>
    <w:unhideWhenUsed/>
    <w:rsid w:val="00ED5F0D"/>
    <w:pPr>
      <w:widowControl/>
      <w:spacing w:before="100" w:beforeAutospacing="1" w:after="100" w:afterAutospacing="1"/>
    </w:pPr>
    <w:rPr>
      <w:rFonts w:ascii="Times New Roman" w:eastAsia="Times New Roman" w:hAnsi="Times New Roman" w:cs="Times New Roman"/>
      <w:color w:val="auto"/>
      <w:lang w:bidi="ar-SA"/>
    </w:rPr>
  </w:style>
  <w:style w:type="table" w:styleId="TabloKlavuzu">
    <w:name w:val="Table Grid"/>
    <w:basedOn w:val="NormalTablo"/>
    <w:uiPriority w:val="39"/>
    <w:rsid w:val="00BC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4215">
      <w:bodyDiv w:val="1"/>
      <w:marLeft w:val="0"/>
      <w:marRight w:val="0"/>
      <w:marTop w:val="0"/>
      <w:marBottom w:val="0"/>
      <w:divBdr>
        <w:top w:val="none" w:sz="0" w:space="0" w:color="auto"/>
        <w:left w:val="none" w:sz="0" w:space="0" w:color="auto"/>
        <w:bottom w:val="none" w:sz="0" w:space="0" w:color="auto"/>
        <w:right w:val="none" w:sz="0" w:space="0" w:color="auto"/>
      </w:divBdr>
    </w:div>
    <w:div w:id="383991837">
      <w:bodyDiv w:val="1"/>
      <w:marLeft w:val="0"/>
      <w:marRight w:val="0"/>
      <w:marTop w:val="0"/>
      <w:marBottom w:val="0"/>
      <w:divBdr>
        <w:top w:val="none" w:sz="0" w:space="0" w:color="auto"/>
        <w:left w:val="none" w:sz="0" w:space="0" w:color="auto"/>
        <w:bottom w:val="none" w:sz="0" w:space="0" w:color="auto"/>
        <w:right w:val="none" w:sz="0" w:space="0" w:color="auto"/>
      </w:divBdr>
    </w:div>
    <w:div w:id="780762499">
      <w:bodyDiv w:val="1"/>
      <w:marLeft w:val="0"/>
      <w:marRight w:val="0"/>
      <w:marTop w:val="0"/>
      <w:marBottom w:val="0"/>
      <w:divBdr>
        <w:top w:val="none" w:sz="0" w:space="0" w:color="auto"/>
        <w:left w:val="none" w:sz="0" w:space="0" w:color="auto"/>
        <w:bottom w:val="none" w:sz="0" w:space="0" w:color="auto"/>
        <w:right w:val="none" w:sz="0" w:space="0" w:color="auto"/>
      </w:divBdr>
    </w:div>
    <w:div w:id="1295595882">
      <w:bodyDiv w:val="1"/>
      <w:marLeft w:val="0"/>
      <w:marRight w:val="0"/>
      <w:marTop w:val="0"/>
      <w:marBottom w:val="0"/>
      <w:divBdr>
        <w:top w:val="none" w:sz="0" w:space="0" w:color="auto"/>
        <w:left w:val="none" w:sz="0" w:space="0" w:color="auto"/>
        <w:bottom w:val="none" w:sz="0" w:space="0" w:color="auto"/>
        <w:right w:val="none" w:sz="0" w:space="0" w:color="auto"/>
      </w:divBdr>
    </w:div>
    <w:div w:id="1314482564">
      <w:bodyDiv w:val="1"/>
      <w:marLeft w:val="0"/>
      <w:marRight w:val="0"/>
      <w:marTop w:val="0"/>
      <w:marBottom w:val="0"/>
      <w:divBdr>
        <w:top w:val="none" w:sz="0" w:space="0" w:color="auto"/>
        <w:left w:val="none" w:sz="0" w:space="0" w:color="auto"/>
        <w:bottom w:val="none" w:sz="0" w:space="0" w:color="auto"/>
        <w:right w:val="none" w:sz="0" w:space="0" w:color="auto"/>
      </w:divBdr>
    </w:div>
    <w:div w:id="1407993615">
      <w:bodyDiv w:val="1"/>
      <w:marLeft w:val="0"/>
      <w:marRight w:val="0"/>
      <w:marTop w:val="0"/>
      <w:marBottom w:val="0"/>
      <w:divBdr>
        <w:top w:val="none" w:sz="0" w:space="0" w:color="auto"/>
        <w:left w:val="none" w:sz="0" w:space="0" w:color="auto"/>
        <w:bottom w:val="none" w:sz="0" w:space="0" w:color="auto"/>
        <w:right w:val="none" w:sz="0" w:space="0" w:color="auto"/>
      </w:divBdr>
    </w:div>
    <w:div w:id="1775829671">
      <w:bodyDiv w:val="1"/>
      <w:marLeft w:val="0"/>
      <w:marRight w:val="0"/>
      <w:marTop w:val="0"/>
      <w:marBottom w:val="0"/>
      <w:divBdr>
        <w:top w:val="none" w:sz="0" w:space="0" w:color="auto"/>
        <w:left w:val="none" w:sz="0" w:space="0" w:color="auto"/>
        <w:bottom w:val="none" w:sz="0" w:space="0" w:color="auto"/>
        <w:right w:val="none" w:sz="0" w:space="0" w:color="auto"/>
      </w:divBdr>
    </w:div>
    <w:div w:id="1936283387">
      <w:bodyDiv w:val="1"/>
      <w:marLeft w:val="0"/>
      <w:marRight w:val="0"/>
      <w:marTop w:val="0"/>
      <w:marBottom w:val="0"/>
      <w:divBdr>
        <w:top w:val="none" w:sz="0" w:space="0" w:color="auto"/>
        <w:left w:val="none" w:sz="0" w:space="0" w:color="auto"/>
        <w:bottom w:val="none" w:sz="0" w:space="0" w:color="auto"/>
        <w:right w:val="none" w:sz="0" w:space="0" w:color="auto"/>
      </w:divBdr>
    </w:div>
    <w:div w:id="211860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3242</Words>
  <Characters>18481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Hidayet BASARAN YILMAZ</dc:creator>
  <cp:lastModifiedBy>Şamil EŞSİZ</cp:lastModifiedBy>
  <cp:revision>3</cp:revision>
  <cp:lastPrinted>2023-10-09T13:37:00Z</cp:lastPrinted>
  <dcterms:created xsi:type="dcterms:W3CDTF">2023-10-09T13:37:00Z</dcterms:created>
  <dcterms:modified xsi:type="dcterms:W3CDTF">2023-10-09T13:37:00Z</dcterms:modified>
</cp:coreProperties>
</file>