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0B77CC">
        <w:rPr>
          <w:rFonts w:ascii="Times New Roman" w:eastAsia="Times New Roman" w:hAnsi="Times New Roman" w:cs="Times New Roman"/>
          <w:b/>
          <w:bCs/>
          <w:color w:val="000000"/>
          <w:sz w:val="24"/>
          <w:szCs w:val="26"/>
          <w:lang w:eastAsia="tr-TR"/>
        </w:rPr>
        <w:t>12</w:t>
      </w:r>
      <w:r w:rsidR="003E7C37">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w:t>
      </w:r>
      <w:r w:rsidR="000B77CC">
        <w:rPr>
          <w:rFonts w:ascii="Times New Roman" w:eastAsia="Times New Roman" w:hAnsi="Times New Roman" w:cs="Times New Roman"/>
          <w:b/>
          <w:bCs/>
          <w:color w:val="000000"/>
          <w:sz w:val="24"/>
          <w:szCs w:val="26"/>
          <w:lang w:eastAsia="tr-TR"/>
        </w:rPr>
        <w:t>4</w:t>
      </w:r>
      <w:r w:rsidR="003E7C37">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940D67">
        <w:rPr>
          <w:rFonts w:ascii="Times New Roman" w:eastAsia="Times New Roman" w:hAnsi="Times New Roman" w:cs="Times New Roman"/>
          <w:b/>
          <w:bCs/>
          <w:color w:val="000000"/>
          <w:sz w:val="24"/>
          <w:szCs w:val="26"/>
          <w:lang w:eastAsia="tr-TR"/>
        </w:rPr>
        <w:t>15.5</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0B77CC">
        <w:rPr>
          <w:rFonts w:ascii="Times New Roman" w:eastAsia="Times New Roman" w:hAnsi="Times New Roman" w:cs="Times New Roman"/>
          <w:color w:val="000000"/>
          <w:sz w:val="24"/>
          <w:szCs w:val="26"/>
          <w:lang w:eastAsia="tr-TR"/>
        </w:rPr>
        <w:t>Hopa</w:t>
      </w:r>
      <w:r w:rsidR="00A81385">
        <w:rPr>
          <w:rFonts w:ascii="Times New Roman" w:eastAsia="Times New Roman" w:hAnsi="Times New Roman" w:cs="Times New Roman"/>
          <w:color w:val="000000"/>
          <w:sz w:val="24"/>
          <w:szCs w:val="26"/>
          <w:lang w:eastAsia="tr-TR"/>
        </w:rPr>
        <w:t xml:space="preserve"> Ağır </w:t>
      </w:r>
      <w:r w:rsidR="00AB1428">
        <w:rPr>
          <w:rFonts w:ascii="Times New Roman" w:eastAsia="Times New Roman" w:hAnsi="Times New Roman" w:cs="Times New Roman"/>
          <w:color w:val="000000"/>
          <w:sz w:val="24"/>
          <w:szCs w:val="26"/>
          <w:lang w:eastAsia="tr-TR"/>
        </w:rPr>
        <w:t>Ceza Mahkemesi</w:t>
      </w:r>
      <w:r>
        <w:rPr>
          <w:rFonts w:ascii="Times New Roman" w:eastAsia="Times New Roman" w:hAnsi="Times New Roman" w:cs="Times New Roman"/>
          <w:color w:val="000000"/>
          <w:sz w:val="24"/>
          <w:szCs w:val="26"/>
          <w:lang w:eastAsia="tr-TR"/>
        </w:rPr>
        <w:t>.</w:t>
      </w:r>
    </w:p>
    <w:p w:rsidR="00A81385"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w:t>
      </w:r>
      <w:proofErr w:type="gramStart"/>
      <w:r w:rsidR="00455B23">
        <w:rPr>
          <w:rFonts w:ascii="Times New Roman" w:eastAsia="Times New Roman" w:hAnsi="Times New Roman" w:cs="Times New Roman"/>
          <w:color w:val="000000"/>
          <w:sz w:val="24"/>
          <w:szCs w:val="26"/>
          <w:lang w:eastAsia="tr-TR"/>
        </w:rPr>
        <w:t xml:space="preserve">50 </w:t>
      </w:r>
      <w:proofErr w:type="spellStart"/>
      <w:r w:rsidR="00455B23">
        <w:rPr>
          <w:rFonts w:ascii="Times New Roman" w:eastAsia="Times New Roman" w:hAnsi="Times New Roman" w:cs="Times New Roman"/>
          <w:color w:val="000000"/>
          <w:sz w:val="24"/>
          <w:szCs w:val="26"/>
          <w:lang w:eastAsia="tr-TR"/>
        </w:rPr>
        <w:t>nci</w:t>
      </w:r>
      <w:proofErr w:type="spellEnd"/>
      <w:proofErr w:type="gram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9A4A93">
        <w:rPr>
          <w:rFonts w:ascii="Times New Roman" w:eastAsia="Times New Roman" w:hAnsi="Times New Roman" w:cs="Times New Roman"/>
          <w:color w:val="000000"/>
          <w:sz w:val="24"/>
          <w:szCs w:val="26"/>
          <w:lang w:eastAsia="tr-TR"/>
        </w:rPr>
        <w:t>2</w:t>
      </w:r>
      <w:r w:rsidR="00455B23">
        <w:rPr>
          <w:rFonts w:ascii="Times New Roman" w:eastAsia="Times New Roman" w:hAnsi="Times New Roman" w:cs="Times New Roman"/>
          <w:color w:val="000000"/>
          <w:sz w:val="24"/>
          <w:szCs w:val="26"/>
          <w:lang w:eastAsia="tr-TR"/>
        </w:rPr>
        <w:t xml:space="preserve">. maddesinin </w:t>
      </w:r>
      <w:r w:rsidR="003753D1">
        <w:rPr>
          <w:rFonts w:ascii="Times New Roman" w:eastAsia="Times New Roman" w:hAnsi="Times New Roman" w:cs="Times New Roman"/>
          <w:color w:val="000000"/>
          <w:sz w:val="24"/>
          <w:szCs w:val="26"/>
          <w:lang w:eastAsia="tr-TR"/>
        </w:rPr>
        <w:t>(</w:t>
      </w:r>
      <w:r w:rsidR="009A4A93">
        <w:rPr>
          <w:rFonts w:ascii="Times New Roman" w:eastAsia="Times New Roman" w:hAnsi="Times New Roman" w:cs="Times New Roman"/>
          <w:color w:val="000000"/>
          <w:sz w:val="24"/>
          <w:szCs w:val="26"/>
          <w:lang w:eastAsia="tr-TR"/>
        </w:rPr>
        <w:t xml:space="preserve">B) </w:t>
      </w:r>
      <w:r w:rsidR="003E7C37">
        <w:rPr>
          <w:rFonts w:ascii="Times New Roman" w:eastAsia="Times New Roman" w:hAnsi="Times New Roman" w:cs="Times New Roman"/>
          <w:color w:val="000000"/>
          <w:sz w:val="24"/>
          <w:szCs w:val="26"/>
          <w:lang w:eastAsia="tr-TR"/>
        </w:rPr>
        <w:t>bendindeki kuralın</w:t>
      </w:r>
      <w:r w:rsidR="000B77CC">
        <w:rPr>
          <w:rFonts w:ascii="Times New Roman" w:eastAsia="Times New Roman" w:hAnsi="Times New Roman" w:cs="Times New Roman"/>
          <w:color w:val="000000"/>
          <w:sz w:val="24"/>
          <w:szCs w:val="26"/>
          <w:lang w:eastAsia="tr-TR"/>
        </w:rPr>
        <w:t xml:space="preserve"> </w:t>
      </w:r>
      <w:r w:rsidR="00A81385">
        <w:rPr>
          <w:rFonts w:ascii="Times New Roman" w:eastAsia="Times New Roman" w:hAnsi="Times New Roman" w:cs="Times New Roman"/>
          <w:color w:val="000000"/>
          <w:sz w:val="24"/>
          <w:szCs w:val="26"/>
          <w:lang w:eastAsia="tr-TR"/>
        </w:rPr>
        <w:t xml:space="preserve">iptali </w:t>
      </w:r>
      <w:r w:rsidR="00EA3E2B">
        <w:rPr>
          <w:rFonts w:ascii="Times New Roman" w:eastAsia="Times New Roman" w:hAnsi="Times New Roman" w:cs="Times New Roman"/>
          <w:color w:val="000000"/>
          <w:sz w:val="24"/>
          <w:szCs w:val="26"/>
          <w:lang w:eastAsia="tr-TR"/>
        </w:rPr>
        <w:t>istenmiştir</w:t>
      </w:r>
      <w:r w:rsidR="00A81385">
        <w:rPr>
          <w:rFonts w:ascii="Times New Roman" w:eastAsia="Times New Roman" w:hAnsi="Times New Roman" w:cs="Times New Roman"/>
          <w:color w:val="000000"/>
          <w:sz w:val="24"/>
          <w:szCs w:val="26"/>
          <w:lang w:eastAsia="tr-TR"/>
        </w:rPr>
        <w:t>.</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EA3E2B">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0B77C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Sanığın Türk Ceza Kanununun </w:t>
      </w:r>
      <w:r w:rsidR="003E7C37">
        <w:rPr>
          <w:rFonts w:ascii="Times New Roman" w:eastAsia="Times New Roman" w:hAnsi="Times New Roman" w:cs="Times New Roman"/>
          <w:color w:val="000000"/>
          <w:sz w:val="24"/>
          <w:szCs w:val="26"/>
          <w:lang w:eastAsia="tr-TR"/>
        </w:rPr>
        <w:t xml:space="preserve">492/1., 522. ve 525. maddelerine göre yargılanması sırasında; </w:t>
      </w:r>
      <w:proofErr w:type="spellStart"/>
      <w:r w:rsidR="003E7C37">
        <w:rPr>
          <w:rFonts w:ascii="Times New Roman" w:eastAsia="Times New Roman" w:hAnsi="Times New Roman" w:cs="Times New Roman"/>
          <w:color w:val="000000"/>
          <w:sz w:val="24"/>
          <w:szCs w:val="26"/>
          <w:lang w:eastAsia="tr-TR"/>
        </w:rPr>
        <w:t>C.Savcısı</w:t>
      </w:r>
      <w:proofErr w:type="spellEnd"/>
      <w:r w:rsidR="003E7C37">
        <w:rPr>
          <w:rFonts w:ascii="Times New Roman" w:eastAsia="Times New Roman" w:hAnsi="Times New Roman" w:cs="Times New Roman"/>
          <w:color w:val="000000"/>
          <w:sz w:val="24"/>
          <w:szCs w:val="26"/>
          <w:lang w:eastAsia="tr-TR"/>
        </w:rPr>
        <w:t xml:space="preserve">, sanık hakkında uygulanması gereken 1803 sayılı Af Yasasının 2. maddesinin (B) bendinin, </w:t>
      </w:r>
      <w:r>
        <w:rPr>
          <w:rFonts w:ascii="Times New Roman" w:eastAsia="Times New Roman" w:hAnsi="Times New Roman" w:cs="Times New Roman"/>
          <w:color w:val="000000"/>
          <w:sz w:val="24"/>
          <w:szCs w:val="26"/>
          <w:lang w:eastAsia="tr-TR"/>
        </w:rPr>
        <w:t xml:space="preserve">Anayasa’nın 92. maddesinin beşinci fıkrası </w:t>
      </w:r>
      <w:r w:rsidR="003E7C37">
        <w:rPr>
          <w:rFonts w:ascii="Times New Roman" w:eastAsia="Times New Roman" w:hAnsi="Times New Roman" w:cs="Times New Roman"/>
          <w:color w:val="000000"/>
          <w:sz w:val="24"/>
          <w:szCs w:val="26"/>
          <w:lang w:eastAsia="tr-TR"/>
        </w:rPr>
        <w:t xml:space="preserve">hükmü </w:t>
      </w:r>
      <w:r>
        <w:rPr>
          <w:rFonts w:ascii="Times New Roman" w:eastAsia="Times New Roman" w:hAnsi="Times New Roman" w:cs="Times New Roman"/>
          <w:color w:val="000000"/>
          <w:sz w:val="24"/>
          <w:szCs w:val="26"/>
          <w:lang w:eastAsia="tr-TR"/>
        </w:rPr>
        <w:t xml:space="preserve">ile </w:t>
      </w:r>
      <w:r w:rsidR="003E7C37">
        <w:rPr>
          <w:rFonts w:ascii="Times New Roman" w:eastAsia="Times New Roman" w:hAnsi="Times New Roman" w:cs="Times New Roman"/>
          <w:color w:val="000000"/>
          <w:sz w:val="24"/>
          <w:szCs w:val="26"/>
          <w:lang w:eastAsia="tr-TR"/>
        </w:rPr>
        <w:t>konulan kurallara uyulmadan yasalaştırılmış bulunduğunu ve esasen anılan bendin özü bakımından da Anayasanın diğer hükümlerine aykırı düştüğünü öne sürmüş; bu sav</w:t>
      </w:r>
      <w:r>
        <w:rPr>
          <w:rFonts w:ascii="Times New Roman" w:eastAsia="Times New Roman" w:hAnsi="Times New Roman" w:cs="Times New Roman"/>
          <w:color w:val="000000"/>
          <w:sz w:val="24"/>
          <w:szCs w:val="26"/>
          <w:lang w:eastAsia="tr-TR"/>
        </w:rPr>
        <w:t xml:space="preserve">, Mahkemece de ciddî görülerek </w:t>
      </w:r>
      <w:r w:rsidR="003E7C37">
        <w:rPr>
          <w:rFonts w:ascii="Times New Roman" w:eastAsia="Times New Roman" w:hAnsi="Times New Roman" w:cs="Times New Roman"/>
          <w:color w:val="000000"/>
          <w:sz w:val="24"/>
          <w:szCs w:val="26"/>
          <w:lang w:eastAsia="tr-TR"/>
        </w:rPr>
        <w:t xml:space="preserve">sözü edilen bendin </w:t>
      </w:r>
      <w:r>
        <w:rPr>
          <w:rFonts w:ascii="Times New Roman" w:eastAsia="Times New Roman" w:hAnsi="Times New Roman" w:cs="Times New Roman"/>
          <w:color w:val="000000"/>
          <w:sz w:val="24"/>
          <w:szCs w:val="26"/>
          <w:lang w:eastAsia="tr-TR"/>
        </w:rPr>
        <w:t xml:space="preserve">iptali için, Anayasa’nın değişik 151. ve 22.4.1962 günlü, 44 sayılı Yasanın 27. maddeleri </w:t>
      </w:r>
      <w:r w:rsidR="00EA3E2B">
        <w:rPr>
          <w:rFonts w:ascii="Times New Roman" w:eastAsia="Times New Roman" w:hAnsi="Times New Roman" w:cs="Times New Roman"/>
          <w:color w:val="000000"/>
          <w:sz w:val="24"/>
          <w:szCs w:val="26"/>
          <w:lang w:eastAsia="tr-TR"/>
        </w:rPr>
        <w:t>uyarınca</w:t>
      </w:r>
      <w:r>
        <w:rPr>
          <w:rFonts w:ascii="Times New Roman" w:eastAsia="Times New Roman" w:hAnsi="Times New Roman" w:cs="Times New Roman"/>
          <w:color w:val="000000"/>
          <w:sz w:val="24"/>
          <w:szCs w:val="26"/>
          <w:lang w:eastAsia="tr-TR"/>
        </w:rPr>
        <w:t xml:space="preserve"> Anayasa Mahkemesine başvurulmasına karar verilmiştir.</w:t>
      </w:r>
    </w:p>
    <w:p w:rsidR="000B77CC" w:rsidRPr="00360A5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60A5C">
        <w:rPr>
          <w:rFonts w:ascii="Times New Roman" w:eastAsia="Times New Roman" w:hAnsi="Times New Roman" w:cs="Times New Roman"/>
          <w:b/>
          <w:color w:val="000000"/>
          <w:sz w:val="24"/>
          <w:szCs w:val="26"/>
          <w:lang w:eastAsia="tr-TR"/>
        </w:rPr>
        <w:t>II</w:t>
      </w:r>
      <w:r w:rsidR="00EA3E2B">
        <w:rPr>
          <w:rFonts w:ascii="Times New Roman" w:eastAsia="Times New Roman" w:hAnsi="Times New Roman" w:cs="Times New Roman"/>
          <w:b/>
          <w:color w:val="000000"/>
          <w:sz w:val="24"/>
          <w:szCs w:val="26"/>
          <w:lang w:eastAsia="tr-TR"/>
        </w:rPr>
        <w:t>-</w:t>
      </w:r>
      <w:r w:rsidRPr="00360A5C">
        <w:rPr>
          <w:rFonts w:ascii="Times New Roman" w:eastAsia="Times New Roman" w:hAnsi="Times New Roman" w:cs="Times New Roman"/>
          <w:b/>
          <w:color w:val="000000"/>
          <w:sz w:val="24"/>
          <w:szCs w:val="26"/>
          <w:lang w:eastAsia="tr-TR"/>
        </w:rPr>
        <w:t xml:space="preserve"> İLK İNCELEME:</w:t>
      </w:r>
    </w:p>
    <w:p w:rsidR="000B77C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İçtüzüğün 15. maddesi uyarınca toplanarak aşağıdaki </w:t>
      </w:r>
      <w:r w:rsidR="00EA3E2B">
        <w:rPr>
          <w:rFonts w:ascii="Times New Roman" w:eastAsia="Times New Roman" w:hAnsi="Times New Roman" w:cs="Times New Roman"/>
          <w:color w:val="000000"/>
          <w:sz w:val="24"/>
          <w:szCs w:val="27"/>
          <w:lang w:eastAsia="tr-TR"/>
        </w:rPr>
        <w:t>konular</w:t>
      </w:r>
      <w:r>
        <w:rPr>
          <w:rFonts w:ascii="Times New Roman" w:eastAsia="Times New Roman" w:hAnsi="Times New Roman" w:cs="Times New Roman"/>
          <w:color w:val="000000"/>
          <w:sz w:val="24"/>
          <w:szCs w:val="27"/>
          <w:lang w:eastAsia="tr-TR"/>
        </w:rPr>
        <w:t xml:space="preserve"> üzerinde durmuştur:</w:t>
      </w:r>
    </w:p>
    <w:p w:rsidR="000B77CC" w:rsidRPr="003E7C37" w:rsidRDefault="003E7C37" w:rsidP="003E7C37">
      <w:pPr>
        <w:pStyle w:val="ListeParagraf"/>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Esasın incelenmesindeki sınır </w:t>
      </w:r>
      <w:r w:rsidR="000B77CC" w:rsidRPr="003E7C37">
        <w:rPr>
          <w:rFonts w:ascii="Times New Roman" w:eastAsia="Times New Roman" w:hAnsi="Times New Roman" w:cs="Times New Roman"/>
          <w:color w:val="000000"/>
          <w:sz w:val="24"/>
          <w:szCs w:val="27"/>
          <w:lang w:eastAsia="tr-TR"/>
        </w:rPr>
        <w:t>sorunu:</w:t>
      </w:r>
    </w:p>
    <w:p w:rsidR="003E7C37" w:rsidRDefault="003E7C3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Sanık hakkındaki kamu davasında uygulanacak olan Türk Ceza Kanununun 492. maddesi. 15.5.1974 günlü, 1803 sayılı Kanunun 2. maddesinin (B) bendinde sayılan yasa kuralları arasında yer aldığına göre Anayasa Mahkemesinin işin esasını, ancak (B) bendinin Türk Ceza Kanununun 492. maddesi ile sınırlı olarak incelemesi gerekir.</w:t>
      </w:r>
    </w:p>
    <w:p w:rsidR="003E7C37"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Nihat O. </w:t>
      </w:r>
      <w:proofErr w:type="spellStart"/>
      <w:r>
        <w:rPr>
          <w:rFonts w:ascii="Times New Roman" w:eastAsia="Times New Roman" w:hAnsi="Times New Roman" w:cs="Times New Roman"/>
          <w:color w:val="000000"/>
          <w:sz w:val="24"/>
          <w:szCs w:val="27"/>
          <w:lang w:eastAsia="tr-TR"/>
        </w:rPr>
        <w:t>Akçakayalıoğlu</w:t>
      </w:r>
      <w:proofErr w:type="spellEnd"/>
      <w:r w:rsidR="003E7C37">
        <w:rPr>
          <w:rFonts w:ascii="Times New Roman" w:eastAsia="Times New Roman" w:hAnsi="Times New Roman" w:cs="Times New Roman"/>
          <w:color w:val="000000"/>
          <w:sz w:val="24"/>
          <w:szCs w:val="27"/>
          <w:lang w:eastAsia="tr-TR"/>
        </w:rPr>
        <w:t>, uygulanacak kanun hükmü olması nedeniyle esasın (B) bendinin tümü yönünden incelenmesi gerektiği düşüncesinde bulunmuştur.</w:t>
      </w:r>
    </w:p>
    <w:p w:rsidR="000B77C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İtiraz konusu kuralın </w:t>
      </w:r>
      <w:r w:rsidR="003E7C37">
        <w:rPr>
          <w:rFonts w:ascii="Times New Roman" w:eastAsia="Times New Roman" w:hAnsi="Times New Roman" w:cs="Times New Roman"/>
          <w:color w:val="000000"/>
          <w:sz w:val="24"/>
          <w:szCs w:val="27"/>
          <w:lang w:eastAsia="tr-TR"/>
        </w:rPr>
        <w:t xml:space="preserve">daha önce </w:t>
      </w:r>
      <w:r>
        <w:rPr>
          <w:rFonts w:ascii="Times New Roman" w:eastAsia="Times New Roman" w:hAnsi="Times New Roman" w:cs="Times New Roman"/>
          <w:color w:val="000000"/>
          <w:sz w:val="24"/>
          <w:szCs w:val="27"/>
          <w:lang w:eastAsia="tr-TR"/>
        </w:rPr>
        <w:t>iptal</w:t>
      </w:r>
      <w:r w:rsidR="003E7C37">
        <w:rPr>
          <w:rFonts w:ascii="Times New Roman" w:eastAsia="Times New Roman" w:hAnsi="Times New Roman" w:cs="Times New Roman"/>
          <w:color w:val="000000"/>
          <w:sz w:val="24"/>
          <w:szCs w:val="27"/>
          <w:lang w:eastAsia="tr-TR"/>
        </w:rPr>
        <w:t xml:space="preserve">ine karar verilmiş </w:t>
      </w:r>
      <w:r>
        <w:rPr>
          <w:rFonts w:ascii="Times New Roman" w:eastAsia="Times New Roman" w:hAnsi="Times New Roman" w:cs="Times New Roman"/>
          <w:color w:val="000000"/>
          <w:sz w:val="24"/>
          <w:szCs w:val="27"/>
          <w:lang w:eastAsia="tr-TR"/>
        </w:rPr>
        <w:t>olması:</w:t>
      </w:r>
    </w:p>
    <w:p w:rsidR="003E7C37" w:rsidRDefault="003E7C37"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15.5.1974 günlü, 1803 sayılı Yasanın 2. maddesinin bu işte itiraz konusu yapılmış bulunan (B) bendindeki kuralın, itiraz yolu ile gelen başka bir işte Anayasa</w:t>
      </w:r>
      <w:r w:rsidR="00EA3E2B">
        <w:rPr>
          <w:rFonts w:ascii="Times New Roman" w:eastAsia="Times New Roman" w:hAnsi="Times New Roman" w:cs="Times New Roman"/>
          <w:color w:val="000000"/>
          <w:sz w:val="24"/>
          <w:szCs w:val="27"/>
          <w:lang w:eastAsia="tr-TR"/>
        </w:rPr>
        <w:t>ya</w:t>
      </w:r>
      <w:r>
        <w:rPr>
          <w:rFonts w:ascii="Times New Roman" w:eastAsia="Times New Roman" w:hAnsi="Times New Roman" w:cs="Times New Roman"/>
          <w:color w:val="000000"/>
          <w:sz w:val="24"/>
          <w:szCs w:val="27"/>
          <w:lang w:eastAsia="tr-TR"/>
        </w:rPr>
        <w:t xml:space="preserve"> uygunluk denetiminden geçirilerek Türk Ceza Kanununun 492. maddesi açısından iptaline, 12.5.1975 günlü, 12234 sayılı Resmî Gazetede yayımlanan 11.3.1975 günlü, Esas: 1975/8, Karar: 1975/50 sayılı Anayasa Mahkemesi kararı ile karar verilmiş ve böylece iptal hükmü yayım gününde yürürlüğe girmiş bulunduğu anlaşıldığından, bu konuda yeniden karar verilmesine yer kalmamıştır.</w:t>
      </w:r>
    </w:p>
    <w:p w:rsidR="000B77C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lastRenderedPageBreak/>
        <w:t>III- SONUÇ:</w:t>
      </w:r>
    </w:p>
    <w:p w:rsidR="000B77C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3E7C37">
        <w:rPr>
          <w:rFonts w:ascii="Times New Roman" w:eastAsia="Times New Roman" w:hAnsi="Times New Roman" w:cs="Times New Roman"/>
          <w:color w:val="000000"/>
          <w:sz w:val="24"/>
          <w:szCs w:val="27"/>
          <w:lang w:eastAsia="tr-TR"/>
        </w:rPr>
        <w:t xml:space="preserve">İşin </w:t>
      </w:r>
      <w:proofErr w:type="gramStart"/>
      <w:r w:rsidR="003E7C37">
        <w:rPr>
          <w:rFonts w:ascii="Times New Roman" w:eastAsia="Times New Roman" w:hAnsi="Times New Roman" w:cs="Times New Roman"/>
          <w:color w:val="000000"/>
          <w:sz w:val="24"/>
          <w:szCs w:val="27"/>
          <w:lang w:eastAsia="tr-TR"/>
        </w:rPr>
        <w:t xml:space="preserve">esasının  </w:t>
      </w:r>
      <w:r>
        <w:rPr>
          <w:rFonts w:ascii="Times New Roman" w:eastAsia="Times New Roman" w:hAnsi="Times New Roman" w:cs="Times New Roman"/>
          <w:color w:val="000000"/>
          <w:sz w:val="24"/>
          <w:szCs w:val="27"/>
          <w:lang w:eastAsia="tr-TR"/>
        </w:rPr>
        <w:t>15.5.1974</w:t>
      </w:r>
      <w:proofErr w:type="gramEnd"/>
      <w:r>
        <w:rPr>
          <w:rFonts w:ascii="Times New Roman" w:eastAsia="Times New Roman" w:hAnsi="Times New Roman" w:cs="Times New Roman"/>
          <w:color w:val="000000"/>
          <w:sz w:val="24"/>
          <w:szCs w:val="27"/>
          <w:lang w:eastAsia="tr-TR"/>
        </w:rPr>
        <w:t xml:space="preserve"> günlü, 1803 sayılı Kanunun 2. maddesinin itiraz konusu yapılan (B) bendinin Türk Ceza Kanununun </w:t>
      </w:r>
      <w:r w:rsidR="003E7C37">
        <w:rPr>
          <w:rFonts w:ascii="Times New Roman" w:eastAsia="Times New Roman" w:hAnsi="Times New Roman" w:cs="Times New Roman"/>
          <w:color w:val="000000"/>
          <w:sz w:val="24"/>
          <w:szCs w:val="27"/>
          <w:lang w:eastAsia="tr-TR"/>
        </w:rPr>
        <w:t>492</w:t>
      </w:r>
      <w:r>
        <w:rPr>
          <w:rFonts w:ascii="Times New Roman" w:eastAsia="Times New Roman" w:hAnsi="Times New Roman" w:cs="Times New Roman"/>
          <w:color w:val="000000"/>
          <w:sz w:val="24"/>
          <w:szCs w:val="27"/>
          <w:lang w:eastAsia="tr-TR"/>
        </w:rPr>
        <w:t xml:space="preserve">. maddesi ile sınırlı olarak incelenmesine Nihat </w:t>
      </w:r>
      <w:proofErr w:type="spellStart"/>
      <w:r>
        <w:rPr>
          <w:rFonts w:ascii="Times New Roman" w:eastAsia="Times New Roman" w:hAnsi="Times New Roman" w:cs="Times New Roman"/>
          <w:color w:val="000000"/>
          <w:sz w:val="24"/>
          <w:szCs w:val="27"/>
          <w:lang w:eastAsia="tr-TR"/>
        </w:rPr>
        <w:t>O.Akçakayalıoğlu’nun</w:t>
      </w:r>
      <w:proofErr w:type="spellEnd"/>
      <w:r>
        <w:rPr>
          <w:rFonts w:ascii="Times New Roman" w:eastAsia="Times New Roman" w:hAnsi="Times New Roman" w:cs="Times New Roman"/>
          <w:color w:val="000000"/>
          <w:sz w:val="24"/>
          <w:szCs w:val="27"/>
          <w:lang w:eastAsia="tr-TR"/>
        </w:rPr>
        <w:t xml:space="preserve"> esasın (B) bendinin tümü yönünden </w:t>
      </w:r>
      <w:r w:rsidR="00EA3E2B">
        <w:rPr>
          <w:rFonts w:ascii="Times New Roman" w:eastAsia="Times New Roman" w:hAnsi="Times New Roman" w:cs="Times New Roman"/>
          <w:color w:val="000000"/>
          <w:sz w:val="24"/>
          <w:szCs w:val="27"/>
          <w:lang w:eastAsia="tr-TR"/>
        </w:rPr>
        <w:t>yapılması</w:t>
      </w:r>
      <w:r>
        <w:rPr>
          <w:rFonts w:ascii="Times New Roman" w:eastAsia="Times New Roman" w:hAnsi="Times New Roman" w:cs="Times New Roman"/>
          <w:color w:val="000000"/>
          <w:sz w:val="24"/>
          <w:szCs w:val="27"/>
          <w:lang w:eastAsia="tr-TR"/>
        </w:rPr>
        <w:t xml:space="preserve"> gerektiği yolundaki </w:t>
      </w:r>
      <w:proofErr w:type="spellStart"/>
      <w:r>
        <w:rPr>
          <w:rFonts w:ascii="Times New Roman" w:eastAsia="Times New Roman" w:hAnsi="Times New Roman" w:cs="Times New Roman"/>
          <w:color w:val="000000"/>
          <w:sz w:val="24"/>
          <w:szCs w:val="27"/>
          <w:lang w:eastAsia="tr-TR"/>
        </w:rPr>
        <w:t>karşı</w:t>
      </w:r>
      <w:r w:rsidR="003E7C37">
        <w:rPr>
          <w:rFonts w:ascii="Times New Roman" w:eastAsia="Times New Roman" w:hAnsi="Times New Roman" w:cs="Times New Roman"/>
          <w:color w:val="000000"/>
          <w:sz w:val="24"/>
          <w:szCs w:val="27"/>
          <w:lang w:eastAsia="tr-TR"/>
        </w:rPr>
        <w:t>oyuyla</w:t>
      </w:r>
      <w:proofErr w:type="spellEnd"/>
      <w:r w:rsidR="003E7C37">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ve oyçokluğu ile;</w:t>
      </w:r>
    </w:p>
    <w:p w:rsidR="000B77CC" w:rsidRDefault="000B77CC" w:rsidP="00064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3- 15.5.1974 günlü, 1803 sayılı Kanunun 2. maddesinin bu işte itiraz konusu yapılmış bulunan (B) bendindeki kuralın, itiraz yolu ile gelen başka bir işte Anayasaya uygunluk denetiminden geçirilerek Türk Ceza Kanununun </w:t>
      </w:r>
      <w:r w:rsidR="003E7C37">
        <w:rPr>
          <w:rFonts w:ascii="Times New Roman" w:eastAsia="Times New Roman" w:hAnsi="Times New Roman" w:cs="Times New Roman"/>
          <w:color w:val="000000"/>
          <w:sz w:val="24"/>
          <w:szCs w:val="27"/>
          <w:lang w:eastAsia="tr-TR"/>
        </w:rPr>
        <w:t>492</w:t>
      </w:r>
      <w:r>
        <w:rPr>
          <w:rFonts w:ascii="Times New Roman" w:eastAsia="Times New Roman" w:hAnsi="Times New Roman" w:cs="Times New Roman"/>
          <w:color w:val="000000"/>
          <w:sz w:val="24"/>
          <w:szCs w:val="27"/>
          <w:lang w:eastAsia="tr-TR"/>
        </w:rPr>
        <w:t xml:space="preserve">. maddesi </w:t>
      </w:r>
      <w:r w:rsidR="00EA3E2B">
        <w:rPr>
          <w:rFonts w:ascii="Times New Roman" w:eastAsia="Times New Roman" w:hAnsi="Times New Roman" w:cs="Times New Roman"/>
          <w:color w:val="000000"/>
          <w:sz w:val="24"/>
          <w:szCs w:val="27"/>
          <w:lang w:eastAsia="tr-TR"/>
        </w:rPr>
        <w:t>açısından</w:t>
      </w:r>
      <w:r>
        <w:rPr>
          <w:rFonts w:ascii="Times New Roman" w:eastAsia="Times New Roman" w:hAnsi="Times New Roman" w:cs="Times New Roman"/>
          <w:color w:val="000000"/>
          <w:sz w:val="24"/>
          <w:szCs w:val="27"/>
          <w:lang w:eastAsia="tr-TR"/>
        </w:rPr>
        <w:t xml:space="preserve"> iptaline </w:t>
      </w:r>
      <w:r w:rsidR="003E7C37">
        <w:rPr>
          <w:rFonts w:ascii="Times New Roman" w:eastAsia="Times New Roman" w:hAnsi="Times New Roman" w:cs="Times New Roman"/>
          <w:color w:val="000000"/>
          <w:sz w:val="24"/>
          <w:szCs w:val="27"/>
          <w:lang w:eastAsia="tr-TR"/>
        </w:rPr>
        <w:t xml:space="preserve">12.5.1975 günlü, 12234 sayılı Resmî Gazetede yayımlanan 11.3.1975 günlü, Esas: 1975/8, Karar: 1975/50 sayılı Anayasa Mahkemesi kararı ile karar verilmiş ve böylece iptal hükmü yayım gününde yürürlüğe girmiş bulunduğu </w:t>
      </w:r>
      <w:r>
        <w:rPr>
          <w:rFonts w:ascii="Times New Roman" w:eastAsia="Times New Roman" w:hAnsi="Times New Roman" w:cs="Times New Roman"/>
          <w:color w:val="000000"/>
          <w:sz w:val="24"/>
          <w:szCs w:val="27"/>
          <w:lang w:eastAsia="tr-TR"/>
        </w:rPr>
        <w:t>anlaşıldığından</w:t>
      </w:r>
      <w:r w:rsidR="003E7C37">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artık konusu ka</w:t>
      </w:r>
      <w:r w:rsidR="003E7C37">
        <w:rPr>
          <w:rFonts w:ascii="Times New Roman" w:eastAsia="Times New Roman" w:hAnsi="Times New Roman" w:cs="Times New Roman"/>
          <w:color w:val="000000"/>
          <w:sz w:val="24"/>
          <w:szCs w:val="27"/>
          <w:lang w:eastAsia="tr-TR"/>
        </w:rPr>
        <w:t>l</w:t>
      </w:r>
      <w:r>
        <w:rPr>
          <w:rFonts w:ascii="Times New Roman" w:eastAsia="Times New Roman" w:hAnsi="Times New Roman" w:cs="Times New Roman"/>
          <w:color w:val="000000"/>
          <w:sz w:val="24"/>
          <w:szCs w:val="27"/>
          <w:lang w:eastAsia="tr-TR"/>
        </w:rPr>
        <w:t>mayan itiraz hakkında karar verilmesine yer olmadığına oybirliğiyle;</w:t>
      </w:r>
    </w:p>
    <w:p w:rsidR="000B77CC" w:rsidRPr="00360A5C" w:rsidRDefault="000B77CC" w:rsidP="000B77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15.5.</w:t>
      </w:r>
      <w:bookmarkStart w:id="0" w:name="_GoBack"/>
      <w:bookmarkEnd w:id="0"/>
      <w:r>
        <w:rPr>
          <w:rFonts w:ascii="Times New Roman" w:eastAsia="Times New Roman" w:hAnsi="Times New Roman" w:cs="Times New Roman"/>
          <w:color w:val="000000"/>
          <w:sz w:val="24"/>
          <w:szCs w:val="27"/>
          <w:lang w:eastAsia="tr-TR"/>
        </w:rPr>
        <w:t>1975 gününde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1C0918"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1C0918"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1C0918"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1C0918"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proofErr w:type="spellStart"/>
            <w:r w:rsidR="001C0918">
              <w:rPr>
                <w:rFonts w:ascii="Times New Roman" w:eastAsia="Times New Roman" w:hAnsi="Times New Roman" w:cs="Times New Roman"/>
                <w:sz w:val="24"/>
                <w:szCs w:val="26"/>
                <w:lang w:eastAsia="tr-TR"/>
              </w:rPr>
              <w:t>Şekip</w:t>
            </w:r>
            <w:proofErr w:type="spellEnd"/>
            <w:r w:rsidR="001C0918">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1C0918"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C819B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w:t>
            </w:r>
            <w:r w:rsidR="00C819B4">
              <w:rPr>
                <w:rFonts w:ascii="Times New Roman" w:eastAsia="Times New Roman" w:hAnsi="Times New Roman" w:cs="Times New Roman"/>
                <w:sz w:val="24"/>
                <w:szCs w:val="26"/>
                <w:lang w:eastAsia="tr-TR"/>
              </w:rPr>
              <w:t>û</w:t>
            </w:r>
            <w:r>
              <w:rPr>
                <w:rFonts w:ascii="Times New Roman" w:eastAsia="Times New Roman" w:hAnsi="Times New Roman" w:cs="Times New Roman"/>
                <w:sz w:val="24"/>
                <w:szCs w:val="26"/>
                <w:lang w:eastAsia="tr-TR"/>
              </w:rPr>
              <w:t>tfi</w:t>
            </w:r>
            <w:proofErr w:type="spellEnd"/>
            <w:r>
              <w:rPr>
                <w:rFonts w:ascii="Times New Roman" w:eastAsia="Times New Roman" w:hAnsi="Times New Roman" w:cs="Times New Roman"/>
                <w:sz w:val="24"/>
                <w:szCs w:val="26"/>
                <w:lang w:eastAsia="tr-TR"/>
              </w:rPr>
              <w:t xml:space="preserve"> ÖMERBAŞ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w:t>
            </w:r>
            <w:r w:rsidR="007D3719">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AKÇAKAYALIOĞLU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6F2C6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F2C64">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A325FF" w:rsidRPr="00444CB0" w:rsidRDefault="00A325FF" w:rsidP="001C091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61C" w:rsidRDefault="009C661C" w:rsidP="00FD04BD">
      <w:pPr>
        <w:spacing w:after="0" w:line="240" w:lineRule="auto"/>
      </w:pPr>
      <w:r>
        <w:separator/>
      </w:r>
    </w:p>
  </w:endnote>
  <w:endnote w:type="continuationSeparator" w:id="0">
    <w:p w:rsidR="009C661C" w:rsidRDefault="009C661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D3719">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61C" w:rsidRDefault="009C661C" w:rsidP="00FD04BD">
      <w:pPr>
        <w:spacing w:after="0" w:line="240" w:lineRule="auto"/>
      </w:pPr>
      <w:r>
        <w:separator/>
      </w:r>
    </w:p>
  </w:footnote>
  <w:footnote w:type="continuationSeparator" w:id="0">
    <w:p w:rsidR="009C661C" w:rsidRDefault="009C661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481" w:rsidRPr="00FD04BD" w:rsidRDefault="006A5481" w:rsidP="006A548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1975/126</w:t>
    </w:r>
  </w:p>
  <w:p w:rsidR="006A5481" w:rsidRPr="00FD04BD" w:rsidRDefault="006A5481" w:rsidP="006A548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75/147</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A21B8"/>
    <w:rsid w:val="000A4ACB"/>
    <w:rsid w:val="000B77CC"/>
    <w:rsid w:val="000E17F7"/>
    <w:rsid w:val="00107B7E"/>
    <w:rsid w:val="0014386D"/>
    <w:rsid w:val="001A56C2"/>
    <w:rsid w:val="001B77A4"/>
    <w:rsid w:val="001C0918"/>
    <w:rsid w:val="001C73D7"/>
    <w:rsid w:val="001E5D81"/>
    <w:rsid w:val="001E6DA9"/>
    <w:rsid w:val="001F4FBD"/>
    <w:rsid w:val="00205225"/>
    <w:rsid w:val="00222471"/>
    <w:rsid w:val="00226AD4"/>
    <w:rsid w:val="00253C00"/>
    <w:rsid w:val="00266927"/>
    <w:rsid w:val="00271A55"/>
    <w:rsid w:val="002837FA"/>
    <w:rsid w:val="002B2602"/>
    <w:rsid w:val="002C3C93"/>
    <w:rsid w:val="002D0B12"/>
    <w:rsid w:val="002D1135"/>
    <w:rsid w:val="003041E2"/>
    <w:rsid w:val="003330E1"/>
    <w:rsid w:val="00343D4F"/>
    <w:rsid w:val="00354561"/>
    <w:rsid w:val="00360A5C"/>
    <w:rsid w:val="00371349"/>
    <w:rsid w:val="003753D1"/>
    <w:rsid w:val="003B7687"/>
    <w:rsid w:val="003E7C37"/>
    <w:rsid w:val="00444CB0"/>
    <w:rsid w:val="00455B23"/>
    <w:rsid w:val="00466DD4"/>
    <w:rsid w:val="00487B08"/>
    <w:rsid w:val="004C0C73"/>
    <w:rsid w:val="004D6945"/>
    <w:rsid w:val="00505F20"/>
    <w:rsid w:val="00511A04"/>
    <w:rsid w:val="00514130"/>
    <w:rsid w:val="00546E71"/>
    <w:rsid w:val="00550BC6"/>
    <w:rsid w:val="005924B6"/>
    <w:rsid w:val="005C3D5C"/>
    <w:rsid w:val="005F50E2"/>
    <w:rsid w:val="0061461F"/>
    <w:rsid w:val="00651447"/>
    <w:rsid w:val="0068363D"/>
    <w:rsid w:val="006A5481"/>
    <w:rsid w:val="006C4D3B"/>
    <w:rsid w:val="006D2F11"/>
    <w:rsid w:val="006F2C64"/>
    <w:rsid w:val="007028C3"/>
    <w:rsid w:val="00750504"/>
    <w:rsid w:val="00791E46"/>
    <w:rsid w:val="007C65F6"/>
    <w:rsid w:val="007D3719"/>
    <w:rsid w:val="0080259D"/>
    <w:rsid w:val="008172A2"/>
    <w:rsid w:val="00826402"/>
    <w:rsid w:val="00861481"/>
    <w:rsid w:val="00861FDB"/>
    <w:rsid w:val="00875490"/>
    <w:rsid w:val="008943C0"/>
    <w:rsid w:val="008A2908"/>
    <w:rsid w:val="008C14EE"/>
    <w:rsid w:val="008C260F"/>
    <w:rsid w:val="00940D67"/>
    <w:rsid w:val="00981759"/>
    <w:rsid w:val="009A4A93"/>
    <w:rsid w:val="009C661C"/>
    <w:rsid w:val="009D6D7A"/>
    <w:rsid w:val="00A30CF0"/>
    <w:rsid w:val="00A325FF"/>
    <w:rsid w:val="00A455F7"/>
    <w:rsid w:val="00A5561C"/>
    <w:rsid w:val="00A7539B"/>
    <w:rsid w:val="00A81385"/>
    <w:rsid w:val="00A85316"/>
    <w:rsid w:val="00A86EF4"/>
    <w:rsid w:val="00A96720"/>
    <w:rsid w:val="00AB1428"/>
    <w:rsid w:val="00AB3985"/>
    <w:rsid w:val="00AD2038"/>
    <w:rsid w:val="00AD6C42"/>
    <w:rsid w:val="00B93A53"/>
    <w:rsid w:val="00BD29A0"/>
    <w:rsid w:val="00BD3A75"/>
    <w:rsid w:val="00C029AB"/>
    <w:rsid w:val="00C12019"/>
    <w:rsid w:val="00C31F41"/>
    <w:rsid w:val="00C4083B"/>
    <w:rsid w:val="00C47596"/>
    <w:rsid w:val="00C57466"/>
    <w:rsid w:val="00C652FB"/>
    <w:rsid w:val="00C819B4"/>
    <w:rsid w:val="00C84530"/>
    <w:rsid w:val="00C96479"/>
    <w:rsid w:val="00CA0FA7"/>
    <w:rsid w:val="00CC4855"/>
    <w:rsid w:val="00CD1054"/>
    <w:rsid w:val="00CE1FB9"/>
    <w:rsid w:val="00CE5A68"/>
    <w:rsid w:val="00D23FE4"/>
    <w:rsid w:val="00D2650C"/>
    <w:rsid w:val="00D45440"/>
    <w:rsid w:val="00D93AC4"/>
    <w:rsid w:val="00D96A69"/>
    <w:rsid w:val="00DA4772"/>
    <w:rsid w:val="00DD001B"/>
    <w:rsid w:val="00DE1A30"/>
    <w:rsid w:val="00DE3F00"/>
    <w:rsid w:val="00E110BA"/>
    <w:rsid w:val="00E159E4"/>
    <w:rsid w:val="00E2196F"/>
    <w:rsid w:val="00E223A7"/>
    <w:rsid w:val="00E8247F"/>
    <w:rsid w:val="00EA3E2B"/>
    <w:rsid w:val="00EC4965"/>
    <w:rsid w:val="00EE1D1E"/>
    <w:rsid w:val="00F266AB"/>
    <w:rsid w:val="00F44AB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5BD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507</Words>
  <Characters>2895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2019-03-21T06:24:00Z</dcterms:created>
  <dcterms:modified xsi:type="dcterms:W3CDTF">2019-08-28T06:43:00Z</dcterms:modified>
</cp:coreProperties>
</file>