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AD6C42" w:rsidRPr="00AD6C42">
        <w:rPr>
          <w:rFonts w:ascii="Times New Roman" w:eastAsia="Times New Roman" w:hAnsi="Times New Roman" w:cs="Times New Roman"/>
          <w:b/>
          <w:bCs/>
          <w:color w:val="000000"/>
          <w:sz w:val="24"/>
          <w:szCs w:val="26"/>
          <w:lang w:eastAsia="tr-TR"/>
        </w:rPr>
        <w:t>/</w:t>
      </w:r>
      <w:r w:rsidR="001D12FE">
        <w:rPr>
          <w:rFonts w:ascii="Times New Roman" w:eastAsia="Times New Roman" w:hAnsi="Times New Roman" w:cs="Times New Roman"/>
          <w:b/>
          <w:bCs/>
          <w:color w:val="000000"/>
          <w:sz w:val="24"/>
          <w:szCs w:val="26"/>
          <w:lang w:eastAsia="tr-TR"/>
        </w:rPr>
        <w:t>15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7801E9">
        <w:rPr>
          <w:rFonts w:ascii="Times New Roman" w:eastAsia="Times New Roman" w:hAnsi="Times New Roman" w:cs="Times New Roman"/>
          <w:b/>
          <w:bCs/>
          <w:color w:val="000000"/>
          <w:sz w:val="24"/>
          <w:szCs w:val="26"/>
          <w:lang w:eastAsia="tr-TR"/>
        </w:rPr>
        <w:t>2</w:t>
      </w:r>
      <w:r w:rsidR="001D12FE">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532A44">
        <w:rPr>
          <w:rFonts w:ascii="Times New Roman" w:eastAsia="Times New Roman" w:hAnsi="Times New Roman" w:cs="Times New Roman"/>
          <w:b/>
          <w:bCs/>
          <w:color w:val="000000"/>
          <w:sz w:val="24"/>
          <w:szCs w:val="26"/>
          <w:lang w:eastAsia="tr-TR"/>
        </w:rPr>
        <w:t>4</w:t>
      </w:r>
      <w:r w:rsidR="007F264A">
        <w:rPr>
          <w:rFonts w:ascii="Times New Roman" w:eastAsia="Times New Roman" w:hAnsi="Times New Roman" w:cs="Times New Roman"/>
          <w:b/>
          <w:bCs/>
          <w:color w:val="000000"/>
          <w:sz w:val="24"/>
          <w:szCs w:val="26"/>
          <w:lang w:eastAsia="tr-TR"/>
        </w:rPr>
        <w:t>/</w:t>
      </w:r>
      <w:r w:rsidR="007801E9">
        <w:rPr>
          <w:rFonts w:ascii="Times New Roman" w:eastAsia="Times New Roman" w:hAnsi="Times New Roman" w:cs="Times New Roman"/>
          <w:b/>
          <w:bCs/>
          <w:color w:val="000000"/>
          <w:sz w:val="24"/>
          <w:szCs w:val="26"/>
          <w:lang w:eastAsia="tr-TR"/>
        </w:rPr>
        <w:t>3</w:t>
      </w:r>
      <w:r w:rsidR="007F264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D12FE"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Yenice Asliye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1D12FE">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1D12FE">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w:t>
      </w:r>
      <w:r w:rsidR="001D12FE">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.19</w:t>
      </w:r>
      <w:r w:rsidR="001D12FE">
        <w:rPr>
          <w:rFonts w:ascii="Times New Roman" w:eastAsia="Times New Roman" w:hAnsi="Times New Roman" w:cs="Times New Roman"/>
          <w:color w:val="000000"/>
          <w:sz w:val="24"/>
          <w:szCs w:val="26"/>
          <w:lang w:eastAsia="tr-TR"/>
        </w:rPr>
        <w:t>29</w:t>
      </w:r>
      <w:r w:rsidR="007801E9">
        <w:rPr>
          <w:rFonts w:ascii="Times New Roman" w:eastAsia="Times New Roman" w:hAnsi="Times New Roman" w:cs="Times New Roman"/>
          <w:color w:val="000000"/>
          <w:sz w:val="24"/>
          <w:szCs w:val="26"/>
          <w:lang w:eastAsia="tr-TR"/>
        </w:rPr>
        <w:t xml:space="preserve"> günlü</w:t>
      </w:r>
      <w:r w:rsidR="001D12FE">
        <w:rPr>
          <w:rFonts w:ascii="Times New Roman" w:eastAsia="Times New Roman" w:hAnsi="Times New Roman" w:cs="Times New Roman"/>
          <w:color w:val="000000"/>
          <w:sz w:val="24"/>
          <w:szCs w:val="26"/>
          <w:lang w:eastAsia="tr-TR"/>
        </w:rPr>
        <w:t xml:space="preserve">, 1412 sayılı Ceza Muhakemeleri Usulü Kanununun 97. </w:t>
      </w:r>
      <w:r w:rsidR="007F264A">
        <w:rPr>
          <w:rFonts w:ascii="Times New Roman" w:eastAsia="Times New Roman" w:hAnsi="Times New Roman" w:cs="Times New Roman"/>
          <w:color w:val="000000"/>
          <w:sz w:val="24"/>
          <w:szCs w:val="26"/>
          <w:lang w:eastAsia="tr-TR"/>
        </w:rPr>
        <w:t>m</w:t>
      </w:r>
      <w:r w:rsidR="001D12FE">
        <w:rPr>
          <w:rFonts w:ascii="Times New Roman" w:eastAsia="Times New Roman" w:hAnsi="Times New Roman" w:cs="Times New Roman"/>
          <w:color w:val="000000"/>
          <w:sz w:val="24"/>
          <w:szCs w:val="26"/>
          <w:lang w:eastAsia="tr-TR"/>
        </w:rPr>
        <w:t xml:space="preserve">addesinde yer alan “Ancak tehirinde mazarrat umulan hallerde Cumhuriyet Müddeiumumileri ve müddeiumumilerin muavini </w:t>
      </w:r>
      <w:proofErr w:type="spellStart"/>
      <w:r w:rsidR="001D12FE">
        <w:rPr>
          <w:rFonts w:ascii="Times New Roman" w:eastAsia="Times New Roman" w:hAnsi="Times New Roman" w:cs="Times New Roman"/>
          <w:color w:val="000000"/>
          <w:sz w:val="24"/>
          <w:szCs w:val="26"/>
          <w:lang w:eastAsia="tr-TR"/>
        </w:rPr>
        <w:t>sıfatiyle</w:t>
      </w:r>
      <w:proofErr w:type="spellEnd"/>
      <w:r w:rsidR="001D12FE">
        <w:rPr>
          <w:rFonts w:ascii="Times New Roman" w:eastAsia="Times New Roman" w:hAnsi="Times New Roman" w:cs="Times New Roman"/>
          <w:color w:val="000000"/>
          <w:sz w:val="24"/>
          <w:szCs w:val="26"/>
          <w:lang w:eastAsia="tr-TR"/>
        </w:rPr>
        <w:t xml:space="preserve"> emirlerini icraya memur olan zabıta memurları arama yapabilirler” hükmiyle, 4.7.1934 günlü, 2559 sayılı Polis Vazife ve </w:t>
      </w:r>
      <w:proofErr w:type="spellStart"/>
      <w:r w:rsidR="001D12FE">
        <w:rPr>
          <w:rFonts w:ascii="Times New Roman" w:eastAsia="Times New Roman" w:hAnsi="Times New Roman" w:cs="Times New Roman"/>
          <w:color w:val="000000"/>
          <w:sz w:val="24"/>
          <w:szCs w:val="26"/>
          <w:lang w:eastAsia="tr-TR"/>
        </w:rPr>
        <w:t>Selâhiyet</w:t>
      </w:r>
      <w:proofErr w:type="spellEnd"/>
      <w:r w:rsidR="001D12FE">
        <w:rPr>
          <w:rFonts w:ascii="Times New Roman" w:eastAsia="Times New Roman" w:hAnsi="Times New Roman" w:cs="Times New Roman"/>
          <w:color w:val="000000"/>
          <w:sz w:val="24"/>
          <w:szCs w:val="26"/>
          <w:lang w:eastAsia="tr-TR"/>
        </w:rPr>
        <w:t xml:space="preserve"> Kanununun 9. </w:t>
      </w:r>
      <w:r w:rsidR="007F264A">
        <w:rPr>
          <w:rFonts w:ascii="Times New Roman" w:eastAsia="Times New Roman" w:hAnsi="Times New Roman" w:cs="Times New Roman"/>
          <w:color w:val="000000"/>
          <w:sz w:val="24"/>
          <w:szCs w:val="26"/>
          <w:lang w:eastAsia="tr-TR"/>
        </w:rPr>
        <w:t>m</w:t>
      </w:r>
      <w:r w:rsidR="001D12FE">
        <w:rPr>
          <w:rFonts w:ascii="Times New Roman" w:eastAsia="Times New Roman" w:hAnsi="Times New Roman" w:cs="Times New Roman"/>
          <w:color w:val="000000"/>
          <w:sz w:val="24"/>
          <w:szCs w:val="26"/>
          <w:lang w:eastAsia="tr-TR"/>
        </w:rPr>
        <w:t xml:space="preserve">addesinin E bendinde yer alan “Zabıta şüphe üzerine bu kabil eşhasın üzerini arayabilir” hükmünün, Anayasa’nın 11.,14. </w:t>
      </w:r>
      <w:r w:rsidR="007F264A">
        <w:rPr>
          <w:rFonts w:ascii="Times New Roman" w:eastAsia="Times New Roman" w:hAnsi="Times New Roman" w:cs="Times New Roman"/>
          <w:color w:val="000000"/>
          <w:sz w:val="24"/>
          <w:szCs w:val="26"/>
          <w:lang w:eastAsia="tr-TR"/>
        </w:rPr>
        <w:t>v</w:t>
      </w:r>
      <w:r w:rsidR="001D12FE">
        <w:rPr>
          <w:rFonts w:ascii="Times New Roman" w:eastAsia="Times New Roman" w:hAnsi="Times New Roman" w:cs="Times New Roman"/>
          <w:color w:val="000000"/>
          <w:sz w:val="24"/>
          <w:szCs w:val="26"/>
          <w:lang w:eastAsia="tr-TR"/>
        </w:rPr>
        <w:t xml:space="preserve">e 15/2. </w:t>
      </w:r>
      <w:r w:rsidR="007F264A">
        <w:rPr>
          <w:rFonts w:ascii="Times New Roman" w:eastAsia="Times New Roman" w:hAnsi="Times New Roman" w:cs="Times New Roman"/>
          <w:color w:val="000000"/>
          <w:sz w:val="24"/>
          <w:szCs w:val="26"/>
          <w:lang w:eastAsia="tr-TR"/>
        </w:rPr>
        <w:t>m</w:t>
      </w:r>
      <w:r w:rsidR="001D12FE">
        <w:rPr>
          <w:rFonts w:ascii="Times New Roman" w:eastAsia="Times New Roman" w:hAnsi="Times New Roman" w:cs="Times New Roman"/>
          <w:color w:val="000000"/>
          <w:sz w:val="24"/>
          <w:szCs w:val="26"/>
          <w:lang w:eastAsia="tr-TR"/>
        </w:rPr>
        <w:t xml:space="preserve">addelerine aykırı olduğu yolunda Cumhuriyet Savcısınca ileri sürülen iddiayı mahkemede ciddi görerek benimsemiş ve Anayasa’nın 151. </w:t>
      </w:r>
      <w:r w:rsidR="007F264A">
        <w:rPr>
          <w:rFonts w:ascii="Times New Roman" w:eastAsia="Times New Roman" w:hAnsi="Times New Roman" w:cs="Times New Roman"/>
          <w:color w:val="000000"/>
          <w:sz w:val="24"/>
          <w:szCs w:val="26"/>
          <w:lang w:eastAsia="tr-TR"/>
        </w:rPr>
        <w:t>m</w:t>
      </w:r>
      <w:r w:rsidR="001D12FE">
        <w:rPr>
          <w:rFonts w:ascii="Times New Roman" w:eastAsia="Times New Roman" w:hAnsi="Times New Roman" w:cs="Times New Roman"/>
          <w:color w:val="000000"/>
          <w:sz w:val="24"/>
          <w:szCs w:val="26"/>
          <w:lang w:eastAsia="tr-TR"/>
        </w:rPr>
        <w:t xml:space="preserve">addesine dayanılarak Anayasa Mahkemesine başvurulmuştur. </w:t>
      </w:r>
    </w:p>
    <w:p w:rsidR="001D12FE" w:rsidRDefault="001D12FE"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7F264A">
        <w:rPr>
          <w:rFonts w:ascii="Times New Roman" w:eastAsia="Times New Roman" w:hAnsi="Times New Roman" w:cs="Times New Roman"/>
          <w:color w:val="000000"/>
          <w:sz w:val="24"/>
          <w:szCs w:val="26"/>
          <w:lang w:eastAsia="tr-TR"/>
        </w:rPr>
        <w:t>I-</w:t>
      </w:r>
      <w:proofErr w:type="gramStart"/>
      <w:r w:rsidRPr="007F264A">
        <w:rPr>
          <w:rFonts w:ascii="Times New Roman" w:eastAsia="Times New Roman" w:hAnsi="Times New Roman" w:cs="Times New Roman"/>
          <w:color w:val="000000"/>
          <w:sz w:val="24"/>
          <w:szCs w:val="26"/>
          <w:u w:val="single"/>
          <w:lang w:eastAsia="tr-TR"/>
        </w:rPr>
        <w:t>O</w:t>
      </w:r>
      <w:r w:rsidR="007F264A" w:rsidRPr="007F264A">
        <w:rPr>
          <w:rFonts w:ascii="Times New Roman" w:eastAsia="Times New Roman" w:hAnsi="Times New Roman" w:cs="Times New Roman"/>
          <w:color w:val="000000"/>
          <w:sz w:val="24"/>
          <w:szCs w:val="26"/>
          <w:u w:val="single"/>
          <w:lang w:eastAsia="tr-TR"/>
        </w:rPr>
        <w:t>lay</w:t>
      </w:r>
      <w:r w:rsidR="00807035">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p>
    <w:p w:rsidR="001D12FE" w:rsidRDefault="001D12FE"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Jandarma karakoluna götürülen ve yapılan arama sonucunda üstünde bıçak bulunan sanık hakkında, 6136 sayılı Kanunun 15. </w:t>
      </w:r>
      <w:r w:rsidR="007F264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tehdit suçundan ötürü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191/1.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17.1.1970 günlü, 1970/33-1970/10 sayılı iddianame ile dava açılmıştır. Yenice Asliye Ceza Mahkemesinde 1970/10 esas sayısını alan davanın 17.2.1971 günlü duruşmasında Cumhuriyet Savcısı, Ceza Muhakemeleri Usulü Kanununun 97.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fıkrasının ve Polis Vazife </w:t>
      </w:r>
      <w:proofErr w:type="spellStart"/>
      <w:r>
        <w:rPr>
          <w:rFonts w:ascii="Times New Roman" w:eastAsia="Times New Roman" w:hAnsi="Times New Roman" w:cs="Times New Roman"/>
          <w:color w:val="000000"/>
          <w:sz w:val="24"/>
          <w:szCs w:val="26"/>
          <w:lang w:eastAsia="tr-TR"/>
        </w:rPr>
        <w:t>Selâhiyet</w:t>
      </w:r>
      <w:proofErr w:type="spellEnd"/>
      <w:r>
        <w:rPr>
          <w:rFonts w:ascii="Times New Roman" w:eastAsia="Times New Roman" w:hAnsi="Times New Roman" w:cs="Times New Roman"/>
          <w:color w:val="000000"/>
          <w:sz w:val="24"/>
          <w:szCs w:val="26"/>
          <w:lang w:eastAsia="tr-TR"/>
        </w:rPr>
        <w:t xml:space="preserve"> Kanununun 9.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E bendinin aramaya ilişkin hükümlerinin Anayasaya aykırı olduğunu ileri sürmüş ve bu yoldaki itirazın ciddi olduğu kanısın</w:t>
      </w:r>
      <w:r w:rsidR="007F264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varan mahkeme de iptal istemi ile Anayasa Mahkemesine başvurmuştur. </w:t>
      </w:r>
    </w:p>
    <w:p w:rsidR="001D12FE" w:rsidRDefault="001D12FE"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7F264A">
        <w:rPr>
          <w:rFonts w:ascii="Times New Roman" w:eastAsia="Times New Roman" w:hAnsi="Times New Roman" w:cs="Times New Roman"/>
          <w:color w:val="000000"/>
          <w:sz w:val="24"/>
          <w:szCs w:val="26"/>
          <w:u w:val="single"/>
          <w:lang w:eastAsia="tr-TR"/>
        </w:rPr>
        <w:t>-Mahkemenin gerekçesi özeti</w:t>
      </w:r>
      <w:r>
        <w:rPr>
          <w:rFonts w:ascii="Times New Roman" w:eastAsia="Times New Roman" w:hAnsi="Times New Roman" w:cs="Times New Roman"/>
          <w:color w:val="000000"/>
          <w:sz w:val="24"/>
          <w:szCs w:val="26"/>
          <w:lang w:eastAsia="tr-TR"/>
        </w:rPr>
        <w:t>:</w:t>
      </w:r>
    </w:p>
    <w:p w:rsidR="00906CD9" w:rsidRDefault="001D12FE"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1-Anayasanın 15.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“Kanunun açıkça gösterdiği hallerde, usulüne göre verilmiş </w:t>
      </w:r>
      <w:proofErr w:type="gramStart"/>
      <w:r>
        <w:rPr>
          <w:rFonts w:ascii="Times New Roman" w:eastAsia="Times New Roman" w:hAnsi="Times New Roman" w:cs="Times New Roman"/>
          <w:color w:val="000000"/>
          <w:sz w:val="24"/>
          <w:szCs w:val="26"/>
          <w:lang w:eastAsia="tr-TR"/>
        </w:rPr>
        <w:t>hakim</w:t>
      </w:r>
      <w:proofErr w:type="gramEnd"/>
      <w:r>
        <w:rPr>
          <w:rFonts w:ascii="Times New Roman" w:eastAsia="Times New Roman" w:hAnsi="Times New Roman" w:cs="Times New Roman"/>
          <w:color w:val="000000"/>
          <w:sz w:val="24"/>
          <w:szCs w:val="26"/>
          <w:lang w:eastAsia="tr-TR"/>
        </w:rPr>
        <w:t xml:space="preserve"> kararı olmadıkça; kamu düzeninin gerekti</w:t>
      </w:r>
      <w:r w:rsidR="007F264A">
        <w:rPr>
          <w:rFonts w:ascii="Times New Roman" w:eastAsia="Times New Roman" w:hAnsi="Times New Roman" w:cs="Times New Roman"/>
          <w:color w:val="000000"/>
          <w:sz w:val="24"/>
          <w:szCs w:val="26"/>
          <w:lang w:eastAsia="tr-TR"/>
        </w:rPr>
        <w:t>rdi</w:t>
      </w:r>
      <w:r>
        <w:rPr>
          <w:rFonts w:ascii="Times New Roman" w:eastAsia="Times New Roman" w:hAnsi="Times New Roman" w:cs="Times New Roman"/>
          <w:color w:val="000000"/>
          <w:sz w:val="24"/>
          <w:szCs w:val="26"/>
          <w:lang w:eastAsia="tr-TR"/>
        </w:rPr>
        <w:t>ği hallerde de, kanunla yetkili kılınan merciin emri bulunmadıkça, kimsenin üstü, özel kâğıtları eşyası aranamaz”</w:t>
      </w:r>
      <w:r w:rsidR="0049297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denilmektedir. Oysa iptal istemine konu olan yasalar, tehirinde mazarrat umulan hallerde arama yetkisin</w:t>
      </w:r>
      <w:r w:rsidR="007F264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Cumhuriyet Savcısına ve zabıtaya tanımış bulunmaktadır. Ayrıca, zabıta, 2559 sayılı Kanunun 9/</w:t>
      </w:r>
      <w:r w:rsidR="007F264A">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hükmüne dayanarak bu bentte gösterilen serseri ve sabıkalıların üstlerini de arayabilmektedir. “Kamu düzeni” sözü sınırlı bir kavram olduğu halde “tehirinde mazarrat umulan haller” deyimi çok daha geniş ve esnek bir kavram olduğu, “serseri ve sabıkalı” deyimlerinin yorumlanması da zabıtaya bırakıldığı için bu hükümler Anayasa’ya ters düşen uygulamalar</w:t>
      </w:r>
      <w:r w:rsidR="007F264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olanak sağlamaktadır. Şu nedenlerle Ceza Muhakemeleri Usulü Kanununun 97.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fıkrasında ve 2559 sayılı Kanunun 9.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E bendinde yer alan söz konusu hükümlerin Anayasanın 11.,14. </w:t>
      </w:r>
      <w:r w:rsidR="007F264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15/2.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aykırılığı açıktır. </w:t>
      </w:r>
    </w:p>
    <w:p w:rsidR="001D12FE" w:rsidRDefault="001D12FE"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2-Anayasa Mahkemesi birçok kararlarında Anayasanın 151.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“uygulanacak kanun hükümleri” deyiminin bir kimse hakkında dolaylı olarak uygulanacak hükümleri de kapsadığını kabul etmiş ve ereğin Anayasaya aykırı kanunların ayıklanması olduğunu belirtmiştir. Olayda sanık yukarıda sözü edilen yasalardan deste</w:t>
      </w:r>
      <w:r w:rsidR="007F264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 alan zabıtanın araması sonucu suçlu duruma gelmiştir. Keyfi ve indi olarak jandarma karakoluna götürüldüğünü ve üzerinin arandığını ileri sürmekte, sorumlular hakkında soruşturma yapılmasını istemektedir. Şu duruma göre mahkemenin bu hükümleri Anayasa Mahkemesine götürme</w:t>
      </w:r>
      <w:r w:rsidR="007F264A">
        <w:rPr>
          <w:rFonts w:ascii="Times New Roman" w:eastAsia="Times New Roman" w:hAnsi="Times New Roman" w:cs="Times New Roman"/>
          <w:color w:val="000000"/>
          <w:sz w:val="24"/>
          <w:szCs w:val="26"/>
          <w:lang w:eastAsia="tr-TR"/>
        </w:rPr>
        <w:t>ye</w:t>
      </w:r>
      <w:r>
        <w:rPr>
          <w:rFonts w:ascii="Times New Roman" w:eastAsia="Times New Roman" w:hAnsi="Times New Roman" w:cs="Times New Roman"/>
          <w:color w:val="000000"/>
          <w:sz w:val="24"/>
          <w:szCs w:val="26"/>
          <w:lang w:eastAsia="tr-TR"/>
        </w:rPr>
        <w:t xml:space="preserve"> yetkisi vardır. </w:t>
      </w:r>
    </w:p>
    <w:p w:rsidR="001D12FE" w:rsidRDefault="001D12FE"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proofErr w:type="gramStart"/>
      <w:r w:rsidRPr="007F264A">
        <w:rPr>
          <w:rFonts w:ascii="Times New Roman" w:eastAsia="Times New Roman" w:hAnsi="Times New Roman" w:cs="Times New Roman"/>
          <w:color w:val="000000"/>
          <w:sz w:val="24"/>
          <w:szCs w:val="26"/>
          <w:u w:val="single"/>
          <w:lang w:eastAsia="tr-TR"/>
        </w:rPr>
        <w:t>İnceleme</w:t>
      </w:r>
      <w:r w:rsidR="0049297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1D12FE" w:rsidRDefault="001D12FE"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yapılan ilk inceleme toplantısında; ilk inceleme raporu, Asliye Ceza Mahkemesinin 17.2.1971 günlü ve 1970/10 sayılı gerekli kararı ve ekleri, konu ile ilgili öteki metinler okunduktan sonra önce itiraz yoluna başvuran mahkeme yönünden yetki sorunu üzerinde duruldu.</w:t>
      </w:r>
    </w:p>
    <w:p w:rsidR="001D12FE" w:rsidRDefault="001F041B"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151.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fıkrasında “Bir davaya bakmakta olan mahkeme, uygulanacak bir kanunun hükümlerini Anayasa’ya aykırı görürse veya taraflardan birinin ileri sürdüğü aykırılık iddiasının ciddi olduğu kanısına varırsa, Anayasa Mahkemesinin bu konuda vereceği karara kadar davayı geri bırakır” denilmekte; aynı hüküm 22.4.1962 günlü, 44 sayılı Kanunun 27.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de tekrarlanmış bulunmaktadır. </w:t>
      </w:r>
    </w:p>
    <w:p w:rsidR="001F041B" w:rsidRDefault="001F041B"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Yenice Asliye Ceza Mahkemesinin bakmakta olduğu 1970/10 esas sayılı dava 6136 sayılı Kanuna aykırı eylemden ve tehdit suçundan sanık olan bir kimseye ilişkindir. Mahkemenin bu davada Ceza Muhakemeleri Usulü Kanununun 97. </w:t>
      </w:r>
      <w:r w:rsidR="007F26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fıkrasının ve Polis Vazife ve </w:t>
      </w:r>
      <w:proofErr w:type="spellStart"/>
      <w:r>
        <w:rPr>
          <w:rFonts w:ascii="Times New Roman" w:eastAsia="Times New Roman" w:hAnsi="Times New Roman" w:cs="Times New Roman"/>
          <w:color w:val="000000"/>
          <w:sz w:val="24"/>
          <w:szCs w:val="26"/>
          <w:lang w:eastAsia="tr-TR"/>
        </w:rPr>
        <w:t>Selâhiyet</w:t>
      </w:r>
      <w:proofErr w:type="spellEnd"/>
      <w:r>
        <w:rPr>
          <w:rFonts w:ascii="Times New Roman" w:eastAsia="Times New Roman" w:hAnsi="Times New Roman" w:cs="Times New Roman"/>
          <w:color w:val="000000"/>
          <w:sz w:val="24"/>
          <w:szCs w:val="26"/>
          <w:lang w:eastAsia="tr-TR"/>
        </w:rPr>
        <w:t xml:space="preserve"> Kanununun 9. </w:t>
      </w:r>
      <w:r w:rsidR="00E507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E bendinin aramaya ilişkin hükümlerini uygulaması söz konusu olamaz. Anılan hükümler, iş mahkemeye gelmeden çok önce mahkemenin dışındaki görevlilerce uygulanmış bulunmaktadır. Sanığın karakola götürülmesinden ve üstünün aranma</w:t>
      </w:r>
      <w:r w:rsidR="00E507DE">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ından sızlanışı ile ortaya çıkan iddia da mahkemenin bu davada çözüme ve sonuca bağlayacağı bir sorun olmadığı gibi bunun sanığın eylemindeki niteliği etkilemesi de düşünülemez. </w:t>
      </w:r>
    </w:p>
    <w:p w:rsidR="001D12FE" w:rsidRDefault="001F041B" w:rsidP="001D12F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Anayasanın 151. </w:t>
      </w:r>
      <w:r w:rsidR="00E507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uymayan itirazın itirazda bulunan mahkemenin yetkisizliği yönünden reddi gerekir.</w:t>
      </w:r>
      <w:r w:rsidR="0049297F">
        <w:rPr>
          <w:rFonts w:ascii="Times New Roman" w:eastAsia="Times New Roman" w:hAnsi="Times New Roman" w:cs="Times New Roman"/>
          <w:color w:val="000000"/>
          <w:sz w:val="24"/>
          <w:szCs w:val="26"/>
          <w:lang w:eastAsia="tr-TR"/>
        </w:rPr>
        <w:t xml:space="preserve"> </w:t>
      </w:r>
    </w:p>
    <w:p w:rsidR="001F041B" w:rsidRPr="00E507DE" w:rsidRDefault="00E507DE" w:rsidP="001F04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507DE">
        <w:rPr>
          <w:rFonts w:ascii="Times New Roman" w:eastAsia="Times New Roman" w:hAnsi="Times New Roman" w:cs="Times New Roman"/>
          <w:color w:val="000000"/>
          <w:sz w:val="24"/>
          <w:szCs w:val="26"/>
          <w:lang w:eastAsia="tr-TR"/>
        </w:rPr>
        <w:t>IV-</w:t>
      </w:r>
      <w:proofErr w:type="gramStart"/>
      <w:r w:rsidR="00665C7F" w:rsidRPr="00E507DE">
        <w:rPr>
          <w:rFonts w:ascii="Times New Roman" w:eastAsia="Times New Roman" w:hAnsi="Times New Roman" w:cs="Times New Roman"/>
          <w:color w:val="000000"/>
          <w:sz w:val="24"/>
          <w:szCs w:val="26"/>
          <w:lang w:eastAsia="tr-TR"/>
        </w:rPr>
        <w:t>S</w:t>
      </w:r>
      <w:r w:rsidRPr="00E507DE">
        <w:rPr>
          <w:rFonts w:ascii="Times New Roman" w:eastAsia="Times New Roman" w:hAnsi="Times New Roman" w:cs="Times New Roman"/>
          <w:color w:val="000000"/>
          <w:sz w:val="24"/>
          <w:szCs w:val="26"/>
          <w:lang w:eastAsia="tr-TR"/>
        </w:rPr>
        <w:t>onuç</w:t>
      </w:r>
      <w:r w:rsidR="00665C7F" w:rsidRPr="00E507DE">
        <w:rPr>
          <w:rFonts w:ascii="Times New Roman" w:eastAsia="Times New Roman" w:hAnsi="Times New Roman" w:cs="Times New Roman"/>
          <w:color w:val="000000"/>
          <w:sz w:val="24"/>
          <w:szCs w:val="26"/>
          <w:lang w:eastAsia="tr-TR"/>
        </w:rPr>
        <w:t xml:space="preserve"> :</w:t>
      </w:r>
      <w:proofErr w:type="gramEnd"/>
      <w:r w:rsidR="00944171" w:rsidRPr="00E507DE">
        <w:rPr>
          <w:rFonts w:ascii="Times New Roman" w:eastAsia="Times New Roman" w:hAnsi="Times New Roman" w:cs="Times New Roman"/>
          <w:color w:val="000000"/>
          <w:sz w:val="24"/>
          <w:szCs w:val="26"/>
          <w:lang w:eastAsia="tr-TR"/>
        </w:rPr>
        <w:t xml:space="preserve"> </w:t>
      </w:r>
    </w:p>
    <w:p w:rsidR="00FB5140" w:rsidRDefault="001F041B" w:rsidP="001F04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açıklanan nedenlerden ötürü Anayasanın 151. </w:t>
      </w:r>
      <w:r w:rsidR="00E507D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uymayan itirazın, itirazda bulunan mahkemenin yetkisizliği yönünden reddine,</w:t>
      </w:r>
      <w:r w:rsidR="008443FB">
        <w:rPr>
          <w:rFonts w:ascii="Times New Roman" w:eastAsia="Times New Roman" w:hAnsi="Times New Roman" w:cs="Times New Roman"/>
          <w:color w:val="000000"/>
          <w:sz w:val="24"/>
          <w:szCs w:val="26"/>
          <w:lang w:eastAsia="tr-TR"/>
        </w:rPr>
        <w:t xml:space="preserve"> </w:t>
      </w:r>
      <w:r w:rsidR="00532A44">
        <w:rPr>
          <w:rFonts w:ascii="Times New Roman" w:eastAsia="Times New Roman" w:hAnsi="Times New Roman" w:cs="Times New Roman"/>
          <w:color w:val="000000"/>
          <w:sz w:val="24"/>
          <w:szCs w:val="26"/>
          <w:lang w:eastAsia="tr-TR"/>
        </w:rPr>
        <w:t>4</w:t>
      </w:r>
      <w:r w:rsidR="00BB76BE">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3</w:t>
      </w:r>
      <w:r w:rsidR="00BA10D1">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BA10D1">
        <w:rPr>
          <w:rFonts w:ascii="Times New Roman" w:eastAsia="Times New Roman" w:hAnsi="Times New Roman" w:cs="Times New Roman"/>
          <w:color w:val="000000"/>
          <w:sz w:val="24"/>
          <w:szCs w:val="26"/>
          <w:lang w:eastAsia="tr-TR"/>
        </w:rPr>
        <w:t xml:space="preserve"> gününde</w:t>
      </w:r>
      <w:r w:rsidR="00D23CC0">
        <w:rPr>
          <w:rFonts w:ascii="Times New Roman" w:eastAsia="Times New Roman" w:hAnsi="Times New Roman" w:cs="Times New Roman"/>
          <w:color w:val="000000"/>
          <w:sz w:val="24"/>
          <w:szCs w:val="26"/>
          <w:lang w:eastAsia="tr-TR"/>
        </w:rPr>
        <w:t xml:space="preserve"> oybirliği</w:t>
      </w:r>
      <w:r w:rsidR="00E507DE">
        <w:rPr>
          <w:rFonts w:ascii="Times New Roman" w:eastAsia="Times New Roman" w:hAnsi="Times New Roman" w:cs="Times New Roman"/>
          <w:color w:val="000000"/>
          <w:sz w:val="24"/>
          <w:szCs w:val="26"/>
          <w:lang w:eastAsia="tr-TR"/>
        </w:rPr>
        <w:t>y</w:t>
      </w:r>
      <w:r w:rsidR="00D23CC0">
        <w:rPr>
          <w:rFonts w:ascii="Times New Roman" w:eastAsia="Times New Roman" w:hAnsi="Times New Roman" w:cs="Times New Roman"/>
          <w:color w:val="000000"/>
          <w:sz w:val="24"/>
          <w:szCs w:val="26"/>
          <w:lang w:eastAsia="tr-TR"/>
        </w:rPr>
        <w:t>le</w:t>
      </w:r>
      <w:r w:rsidR="00BA10D1">
        <w:rPr>
          <w:rFonts w:ascii="Times New Roman" w:eastAsia="Times New Roman" w:hAnsi="Times New Roman" w:cs="Times New Roman"/>
          <w:color w:val="000000"/>
          <w:sz w:val="24"/>
          <w:szCs w:val="26"/>
          <w:lang w:eastAsia="tr-TR"/>
        </w:rPr>
        <w:t xml:space="preserv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8443F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r w:rsidR="0049297F">
              <w:rPr>
                <w:rFonts w:ascii="Times New Roman" w:eastAsia="Times New Roman" w:hAnsi="Times New Roman" w:cs="Times New Roman"/>
                <w:sz w:val="24"/>
                <w:szCs w:val="26"/>
                <w:lang w:eastAsia="tr-TR"/>
              </w:rPr>
              <w:t xml:space="preserve"> </w:t>
            </w:r>
          </w:p>
          <w:p w:rsidR="00E223A7" w:rsidRPr="00E223A7" w:rsidRDefault="00E96C9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96C9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w:t>
            </w:r>
            <w:r w:rsidR="00E507DE">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lettin KURALMEN</w:t>
            </w:r>
          </w:p>
        </w:tc>
      </w:tr>
    </w:tbl>
    <w:p w:rsidR="001F041B" w:rsidRDefault="001F041B"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32A44"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Fazıl ULUOCAK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32A4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507DE" w:rsidRPr="00EC4965" w:rsidRDefault="00532A44" w:rsidP="00492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r>
    </w:tbl>
    <w:p w:rsidR="00FD04BD" w:rsidRPr="00EC4965" w:rsidRDefault="0049297F"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32A44" w:rsidP="00492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532A44"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r w:rsidR="00E96C92" w:rsidRPr="00E96C92">
              <w:rPr>
                <w:rFonts w:ascii="Times New Roman" w:eastAsia="Times New Roman" w:hAnsi="Times New Roman" w:cs="Times New Roman"/>
                <w:sz w:val="24"/>
                <w:szCs w:val="24"/>
                <w:lang w:eastAsia="tr-TR"/>
              </w:rPr>
              <w:t xml:space="preserve">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507DE" w:rsidRPr="00EC4965" w:rsidRDefault="00532A44" w:rsidP="00492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49297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32A4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32A4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507DE" w:rsidRPr="00EC4965" w:rsidRDefault="00532A44" w:rsidP="0049297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D04BD" w:rsidRPr="00EC4965" w:rsidRDefault="0049297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751FBE" w:rsidRPr="00EC4965" w:rsidRDefault="00532A44" w:rsidP="004929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EC4965" w:rsidRDefault="00C800D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49297F">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127" w:rsidRDefault="003C4127" w:rsidP="00FD04BD">
      <w:pPr>
        <w:spacing w:after="0" w:line="240" w:lineRule="auto"/>
      </w:pPr>
      <w:r>
        <w:separator/>
      </w:r>
    </w:p>
  </w:endnote>
  <w:endnote w:type="continuationSeparator" w:id="0">
    <w:p w:rsidR="003C4127" w:rsidRDefault="003C412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F041B">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127" w:rsidRDefault="003C4127" w:rsidP="00FD04BD">
      <w:pPr>
        <w:spacing w:after="0" w:line="240" w:lineRule="auto"/>
      </w:pPr>
      <w:r>
        <w:separator/>
      </w:r>
    </w:p>
  </w:footnote>
  <w:footnote w:type="continuationSeparator" w:id="0">
    <w:p w:rsidR="003C4127" w:rsidRDefault="003C412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8443FB">
      <w:rPr>
        <w:rFonts w:ascii="Times New Roman" w:eastAsia="Times New Roman" w:hAnsi="Times New Roman" w:cs="Times New Roman"/>
        <w:b/>
        <w:bCs/>
        <w:color w:val="000000"/>
        <w:sz w:val="24"/>
        <w:szCs w:val="26"/>
        <w:lang w:eastAsia="tr-TR"/>
      </w:rPr>
      <w:t>1</w:t>
    </w:r>
    <w:r w:rsidR="001F041B">
      <w:rPr>
        <w:rFonts w:ascii="Times New Roman" w:eastAsia="Times New Roman" w:hAnsi="Times New Roman" w:cs="Times New Roman"/>
        <w:b/>
        <w:bCs/>
        <w:color w:val="000000"/>
        <w:sz w:val="24"/>
        <w:szCs w:val="26"/>
        <w:lang w:eastAsia="tr-TR"/>
      </w:rPr>
      <w:t>5</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E96C92">
      <w:rPr>
        <w:rFonts w:ascii="Times New Roman" w:eastAsia="Times New Roman" w:hAnsi="Times New Roman" w:cs="Times New Roman"/>
        <w:b/>
        <w:bCs/>
        <w:color w:val="000000"/>
        <w:sz w:val="24"/>
        <w:szCs w:val="26"/>
        <w:lang w:eastAsia="tr-TR"/>
      </w:rPr>
      <w:t>2</w:t>
    </w:r>
    <w:r w:rsidR="001F041B">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64F4"/>
    <w:rsid w:val="001949FF"/>
    <w:rsid w:val="001D12FE"/>
    <w:rsid w:val="001E3E4D"/>
    <w:rsid w:val="001F041B"/>
    <w:rsid w:val="001F5B9D"/>
    <w:rsid w:val="002143C9"/>
    <w:rsid w:val="00222471"/>
    <w:rsid w:val="00222853"/>
    <w:rsid w:val="00226AD4"/>
    <w:rsid w:val="002369C8"/>
    <w:rsid w:val="00266927"/>
    <w:rsid w:val="00271A55"/>
    <w:rsid w:val="002837FA"/>
    <w:rsid w:val="002B2602"/>
    <w:rsid w:val="002D1135"/>
    <w:rsid w:val="003021D2"/>
    <w:rsid w:val="00343D4F"/>
    <w:rsid w:val="00345EC8"/>
    <w:rsid w:val="0036055A"/>
    <w:rsid w:val="00371349"/>
    <w:rsid w:val="00390B6B"/>
    <w:rsid w:val="00392816"/>
    <w:rsid w:val="003A7341"/>
    <w:rsid w:val="003B212C"/>
    <w:rsid w:val="003B7687"/>
    <w:rsid w:val="003C4127"/>
    <w:rsid w:val="003D0669"/>
    <w:rsid w:val="004064B4"/>
    <w:rsid w:val="00410449"/>
    <w:rsid w:val="0044635F"/>
    <w:rsid w:val="00466DD4"/>
    <w:rsid w:val="0049297F"/>
    <w:rsid w:val="004A26BF"/>
    <w:rsid w:val="004F704F"/>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B0F3E"/>
    <w:rsid w:val="006B7F04"/>
    <w:rsid w:val="006C4D3B"/>
    <w:rsid w:val="006C72B0"/>
    <w:rsid w:val="006E210C"/>
    <w:rsid w:val="0071336C"/>
    <w:rsid w:val="00742882"/>
    <w:rsid w:val="00751FBE"/>
    <w:rsid w:val="007801E9"/>
    <w:rsid w:val="007F264A"/>
    <w:rsid w:val="008063CA"/>
    <w:rsid w:val="00807035"/>
    <w:rsid w:val="008172A2"/>
    <w:rsid w:val="00826402"/>
    <w:rsid w:val="008443FB"/>
    <w:rsid w:val="00847430"/>
    <w:rsid w:val="00861FDB"/>
    <w:rsid w:val="00866040"/>
    <w:rsid w:val="00875490"/>
    <w:rsid w:val="00883C4C"/>
    <w:rsid w:val="008D3793"/>
    <w:rsid w:val="008E3FB4"/>
    <w:rsid w:val="00906CD9"/>
    <w:rsid w:val="00944171"/>
    <w:rsid w:val="009A1D8C"/>
    <w:rsid w:val="009C4165"/>
    <w:rsid w:val="00A0765A"/>
    <w:rsid w:val="00A133FD"/>
    <w:rsid w:val="00A13466"/>
    <w:rsid w:val="00A177C7"/>
    <w:rsid w:val="00A24521"/>
    <w:rsid w:val="00A32674"/>
    <w:rsid w:val="00A36883"/>
    <w:rsid w:val="00A455F7"/>
    <w:rsid w:val="00A461D1"/>
    <w:rsid w:val="00A7539B"/>
    <w:rsid w:val="00A96720"/>
    <w:rsid w:val="00AB2DA4"/>
    <w:rsid w:val="00AB756D"/>
    <w:rsid w:val="00AD2038"/>
    <w:rsid w:val="00AD532D"/>
    <w:rsid w:val="00AD6C42"/>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44FAA"/>
    <w:rsid w:val="00E507DE"/>
    <w:rsid w:val="00E8247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2019-09-26T07:18:00Z</dcterms:created>
  <dcterms:modified xsi:type="dcterms:W3CDTF">2020-06-02T14:50:00Z</dcterms:modified>
</cp:coreProperties>
</file>