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5B2CFF">
        <w:rPr>
          <w:rFonts w:ascii="Times New Roman" w:eastAsia="Times New Roman" w:hAnsi="Times New Roman" w:cs="Times New Roman"/>
          <w:b/>
          <w:bCs/>
          <w:color w:val="000000"/>
          <w:sz w:val="24"/>
          <w:szCs w:val="26"/>
          <w:lang w:eastAsia="tr-TR"/>
        </w:rPr>
        <w:t>13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A71DA6">
        <w:rPr>
          <w:rFonts w:ascii="Times New Roman" w:eastAsia="Times New Roman" w:hAnsi="Times New Roman" w:cs="Times New Roman"/>
          <w:b/>
          <w:bCs/>
          <w:color w:val="000000"/>
          <w:sz w:val="24"/>
          <w:szCs w:val="26"/>
          <w:lang w:eastAsia="tr-TR"/>
        </w:rPr>
        <w:t>2</w:t>
      </w:r>
      <w:r w:rsidR="00BB66AA">
        <w:rPr>
          <w:rFonts w:ascii="Times New Roman" w:eastAsia="Times New Roman" w:hAnsi="Times New Roman" w:cs="Times New Roman"/>
          <w:b/>
          <w:bCs/>
          <w:color w:val="000000"/>
          <w:sz w:val="24"/>
          <w:szCs w:val="26"/>
          <w:lang w:eastAsia="tr-TR"/>
        </w:rPr>
        <w:t>6</w:t>
      </w:r>
      <w:bookmarkStart w:id="0" w:name="_GoBack"/>
      <w:bookmarkEnd w:id="0"/>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A71DA6">
        <w:rPr>
          <w:rFonts w:ascii="Times New Roman" w:eastAsia="Times New Roman" w:hAnsi="Times New Roman" w:cs="Times New Roman"/>
          <w:b/>
          <w:bCs/>
          <w:color w:val="000000"/>
          <w:sz w:val="24"/>
          <w:szCs w:val="26"/>
          <w:lang w:eastAsia="tr-TR"/>
        </w:rPr>
        <w:t>2</w:t>
      </w:r>
      <w:r w:rsidR="005B2CFF">
        <w:rPr>
          <w:rFonts w:ascii="Times New Roman" w:eastAsia="Times New Roman" w:hAnsi="Times New Roman" w:cs="Times New Roman"/>
          <w:b/>
          <w:bCs/>
          <w:color w:val="000000"/>
          <w:sz w:val="24"/>
          <w:szCs w:val="26"/>
          <w:lang w:eastAsia="tr-TR"/>
        </w:rPr>
        <w:t>3</w:t>
      </w:r>
      <w:r w:rsidR="00A71DA6">
        <w:rPr>
          <w:rFonts w:ascii="Times New Roman" w:eastAsia="Times New Roman" w:hAnsi="Times New Roman" w:cs="Times New Roman"/>
          <w:b/>
          <w:bCs/>
          <w:color w:val="000000"/>
          <w:sz w:val="24"/>
          <w:szCs w:val="26"/>
          <w:lang w:eastAsia="tr-TR"/>
        </w:rPr>
        <w:t>.</w:t>
      </w:r>
      <w:r w:rsidR="005B2CFF">
        <w:rPr>
          <w:rFonts w:ascii="Times New Roman" w:eastAsia="Times New Roman" w:hAnsi="Times New Roman" w:cs="Times New Roman"/>
          <w:b/>
          <w:bCs/>
          <w:color w:val="000000"/>
          <w:sz w:val="24"/>
          <w:szCs w:val="26"/>
          <w:lang w:eastAsia="tr-TR"/>
        </w:rPr>
        <w:t>5</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 YOLUNA BAŞVURAN </w:t>
      </w:r>
      <w:r w:rsidRPr="00093548">
        <w:rPr>
          <w:rFonts w:ascii="Times New Roman" w:eastAsia="Times New Roman" w:hAnsi="Times New Roman" w:cs="Times New Roman"/>
          <w:b/>
          <w:bCs/>
          <w:color w:val="000000"/>
          <w:sz w:val="24"/>
          <w:szCs w:val="26"/>
          <w:lang w:eastAsia="tr-TR"/>
        </w:rPr>
        <w:t>MAHKEME</w:t>
      </w:r>
      <w:r>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color w:val="000000"/>
          <w:sz w:val="24"/>
          <w:szCs w:val="26"/>
          <w:lang w:eastAsia="tr-TR"/>
        </w:rPr>
        <w:t> </w:t>
      </w:r>
      <w:r w:rsidR="005B2CFF">
        <w:rPr>
          <w:rFonts w:ascii="Times New Roman" w:eastAsia="Times New Roman" w:hAnsi="Times New Roman" w:cs="Times New Roman"/>
          <w:color w:val="000000"/>
          <w:sz w:val="24"/>
          <w:szCs w:val="26"/>
          <w:lang w:eastAsia="tr-TR"/>
        </w:rPr>
        <w:t>Mahmudiye İcra Tetkik Mercii Hâkimliği</w:t>
      </w:r>
    </w:p>
    <w:p w:rsidR="00A71DA6"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 KONUSU:</w:t>
      </w:r>
      <w:r>
        <w:rPr>
          <w:rFonts w:ascii="Times New Roman" w:eastAsia="Times New Roman" w:hAnsi="Times New Roman" w:cs="Times New Roman"/>
          <w:color w:val="000000"/>
          <w:sz w:val="24"/>
          <w:szCs w:val="26"/>
          <w:lang w:eastAsia="tr-TR"/>
        </w:rPr>
        <w:t> </w:t>
      </w:r>
      <w:r w:rsidR="005B2CFF">
        <w:rPr>
          <w:rFonts w:ascii="Times New Roman" w:eastAsia="Times New Roman" w:hAnsi="Times New Roman" w:cs="Times New Roman"/>
          <w:color w:val="000000"/>
          <w:sz w:val="24"/>
          <w:szCs w:val="26"/>
          <w:lang w:eastAsia="tr-TR"/>
        </w:rPr>
        <w:t>Mahmudiye İcra Tetkik Mercii Hâkimliğince gönderilen 10/5/1966 gün ve 1966/2 sayılı yazıda: 6964 sayılı Ziraat Odaları ve Ziraat Odaları Birliği Kanununun 36. maddesindeki giriş ücreti ve yıllık aidat hakkında verilen oda kararlarının icra dairelerince ilâmlar gibi infaz olunacağına ilişkin hükmün, oda kararlarına mahkeme ilâmı niteliği verdiği ve böylece herhangi bir inceleme imkânını ortadan kaldırdığı bunun ise Anayasa’ya aykırı görüldüğü belirtilerek sözü geçen hükmün iptaline karar verilmesi istenmiştir.</w:t>
      </w:r>
    </w:p>
    <w:p w:rsidR="005B2CFF" w:rsidRDefault="005B2CFF"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23/5/1966 gününde ilk inceleme için yaptığı toplantısında; İcra Tetkik Mercii Hâkimliği yazısı ile ekleri ve rapor okundu. Gereği görüşülüp düşünüldü:</w:t>
      </w:r>
    </w:p>
    <w:p w:rsidR="005B2CFF" w:rsidRDefault="005B2CFF"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İcra Tetkik Merciinin Anayasa Mahkemesine itirazda bulunmağa yetkili olduğuna Üyelerden Asım Erkan ve Şeref Hocaoğlu’nun olayda Anayasa’nın 151. ve 44 sayılı Kanunun 27. maddeleri uyarınca bakılmakta olan bir dâva bulunmadığı ve İcra tetkik Hâkimliğinin de Anayasa’nın 151. maddesinde yazılı mahkeme niteliğinde olmadığı yolundaki muhalefetleriyle ve oyçokluğu ile;</w:t>
      </w:r>
    </w:p>
    <w:p w:rsidR="005B2CFF" w:rsidRDefault="005B2CFF"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2- 22/4/1962 gün ve 44 sayılı Kanunun 27. maddesinde “bir dâvaya bakmakta olan mahkeme, o dâva sebebiyle uygulanacak kanun hükümlerini Anayasa’ya aykırı görürse, bu yoldaki gerekçeli kararı …. Anayasa Mahkemesi Başkanlığına </w:t>
      </w:r>
      <w:proofErr w:type="gramStart"/>
      <w:r>
        <w:rPr>
          <w:rFonts w:ascii="Times New Roman" w:eastAsia="Times New Roman" w:hAnsi="Times New Roman" w:cs="Times New Roman"/>
          <w:color w:val="000000"/>
          <w:sz w:val="24"/>
          <w:szCs w:val="26"/>
          <w:lang w:eastAsia="tr-TR"/>
        </w:rPr>
        <w:t>gönderir….</w:t>
      </w:r>
      <w:proofErr w:type="gramEnd"/>
      <w:r>
        <w:rPr>
          <w:rFonts w:ascii="Times New Roman" w:eastAsia="Times New Roman" w:hAnsi="Times New Roman" w:cs="Times New Roman"/>
          <w:color w:val="000000"/>
          <w:sz w:val="24"/>
          <w:szCs w:val="26"/>
          <w:lang w:eastAsia="tr-TR"/>
        </w:rPr>
        <w:t xml:space="preserve">.” denilmekte, Mahkeme ise, kararında iptali istenen hükmün Anayasa’nın hangi hüküm veya ilkelerine aykırı olduğunu gerekçeleriyle belirtmemiş bulunmaktadır. Bu eksiklerin tamamlanması için dosyanın Mahkemeye geri çevrilmesine Üyelerden İhsan Keçecioğlu’nun Mahkemenin </w:t>
      </w:r>
      <w:proofErr w:type="gramStart"/>
      <w:r>
        <w:rPr>
          <w:rFonts w:ascii="Times New Roman" w:eastAsia="Times New Roman" w:hAnsi="Times New Roman" w:cs="Times New Roman"/>
          <w:color w:val="000000"/>
          <w:sz w:val="24"/>
          <w:szCs w:val="26"/>
          <w:lang w:eastAsia="tr-TR"/>
        </w:rPr>
        <w:t>kararında</w:t>
      </w:r>
      <w:proofErr w:type="gramEnd"/>
      <w:r>
        <w:rPr>
          <w:rFonts w:ascii="Times New Roman" w:eastAsia="Times New Roman" w:hAnsi="Times New Roman" w:cs="Times New Roman"/>
          <w:color w:val="000000"/>
          <w:sz w:val="24"/>
          <w:szCs w:val="26"/>
          <w:lang w:eastAsia="tr-TR"/>
        </w:rPr>
        <w:t xml:space="preserve"> gerekçe bulunduğu yolundaki muhalefetiyle ve oyçokluğu ile;</w:t>
      </w:r>
    </w:p>
    <w:p w:rsidR="005B2CFF" w:rsidRDefault="005B2CFF"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23.5.1966 gününde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85225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7A0D" w:rsidRPr="00C45B92" w:rsidTr="00CD3F3E">
        <w:tc>
          <w:tcPr>
            <w:tcW w:w="1667"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5B2CFF" w:rsidRPr="00C45B92" w:rsidTr="00773071">
        <w:tc>
          <w:tcPr>
            <w:tcW w:w="1668" w:type="pct"/>
            <w:shd w:val="clear" w:color="auto" w:fill="FFFFFF"/>
            <w:tcMar>
              <w:top w:w="0" w:type="dxa"/>
              <w:left w:w="70" w:type="dxa"/>
              <w:bottom w:w="0" w:type="dxa"/>
              <w:right w:w="70" w:type="dxa"/>
            </w:tcMar>
            <w:hideMark/>
          </w:tcPr>
          <w:p w:rsidR="005B2CFF" w:rsidRPr="00EC4965" w:rsidRDefault="005B2CFF" w:rsidP="005B2CF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B2CFF" w:rsidRPr="005B2CFF" w:rsidRDefault="005B2CFF" w:rsidP="005B2CFF">
            <w:pPr>
              <w:pStyle w:val="ListeParagraf"/>
              <w:numPr>
                <w:ilvl w:val="0"/>
                <w:numId w:val="11"/>
              </w:num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Şeref HOCAOĞLU</w:t>
            </w:r>
          </w:p>
        </w:tc>
        <w:tc>
          <w:tcPr>
            <w:tcW w:w="1781" w:type="pct"/>
            <w:shd w:val="clear" w:color="auto" w:fill="FFFFFF"/>
            <w:tcMar>
              <w:top w:w="0" w:type="dxa"/>
              <w:left w:w="70" w:type="dxa"/>
              <w:bottom w:w="0" w:type="dxa"/>
              <w:right w:w="70" w:type="dxa"/>
            </w:tcMar>
            <w:hideMark/>
          </w:tcPr>
          <w:p w:rsidR="005B2CFF" w:rsidRPr="00EC4965" w:rsidRDefault="005B2CFF" w:rsidP="005B2CF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B2CFF" w:rsidRPr="00EC4965" w:rsidRDefault="005B2CFF" w:rsidP="005B2CF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5B2CFF" w:rsidRPr="00EC4965" w:rsidRDefault="005B2CFF" w:rsidP="005B2CF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B2CFF" w:rsidRPr="00EC4965" w:rsidRDefault="005B2CFF" w:rsidP="005B2CF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3548" w:rsidRPr="00C45B92" w:rsidTr="00CD3F3E">
        <w:tc>
          <w:tcPr>
            <w:tcW w:w="1667"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5B2CFF"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5B2CFF"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Recaî</w:t>
            </w:r>
            <w:proofErr w:type="spellEnd"/>
            <w:r>
              <w:rPr>
                <w:rFonts w:ascii="Times New Roman" w:eastAsia="Times New Roman" w:hAnsi="Times New Roman" w:cs="Times New Roman"/>
                <w:sz w:val="24"/>
                <w:szCs w:val="26"/>
                <w:lang w:eastAsia="tr-TR"/>
              </w:rPr>
              <w:t xml:space="preserve"> SEÇKİN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5B2CFF"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71DA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6F" w:rsidRDefault="0067166F" w:rsidP="00FD04BD">
      <w:pPr>
        <w:spacing w:after="0" w:line="240" w:lineRule="auto"/>
      </w:pPr>
      <w:r>
        <w:separator/>
      </w:r>
    </w:p>
  </w:endnote>
  <w:endnote w:type="continuationSeparator" w:id="0">
    <w:p w:rsidR="0067166F" w:rsidRDefault="0067166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B2CF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6F" w:rsidRDefault="0067166F" w:rsidP="00FD04BD">
      <w:pPr>
        <w:spacing w:after="0" w:line="240" w:lineRule="auto"/>
      </w:pPr>
      <w:r>
        <w:separator/>
      </w:r>
    </w:p>
  </w:footnote>
  <w:footnote w:type="continuationSeparator" w:id="0">
    <w:p w:rsidR="0067166F" w:rsidRDefault="0067166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FF" w:rsidRDefault="005B2CFF" w:rsidP="005B2CF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1966/13</w:t>
    </w:r>
  </w:p>
  <w:p w:rsidR="005B2CFF" w:rsidRPr="00FD04BD" w:rsidRDefault="005B2CFF" w:rsidP="005B2CF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1966/26</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8"/>
  </w:num>
  <w:num w:numId="2">
    <w:abstractNumId w:val="5"/>
  </w:num>
  <w:num w:numId="3">
    <w:abstractNumId w:val="2"/>
  </w:num>
  <w:num w:numId="4">
    <w:abstractNumId w:val="10"/>
  </w:num>
  <w:num w:numId="5">
    <w:abstractNumId w:val="4"/>
  </w:num>
  <w:num w:numId="6">
    <w:abstractNumId w:val="0"/>
  </w:num>
  <w:num w:numId="7">
    <w:abstractNumId w:val="9"/>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4AA7"/>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166F"/>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B66AA"/>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789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DE930-692A-4FD0-925D-9AC2B235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2019-04-22T10:21:00Z</dcterms:created>
  <dcterms:modified xsi:type="dcterms:W3CDTF">2019-08-26T06:47:00Z</dcterms:modified>
</cp:coreProperties>
</file>