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BC5B7" w14:textId="77777777" w:rsidR="007F5063" w:rsidRPr="001D190A" w:rsidRDefault="00860AB3" w:rsidP="001D190A">
      <w:pPr>
        <w:pStyle w:val="Gvde"/>
        <w:suppressAutoHyphens w:val="0"/>
        <w:spacing w:before="240" w:after="100" w:afterAutospacing="1" w:line="240" w:lineRule="auto"/>
        <w:jc w:val="both"/>
        <w:rPr>
          <w:rFonts w:ascii="Times New Roman" w:hAnsi="Times New Roman" w:cs="Times New Roman"/>
          <w:b/>
          <w:color w:val="010000"/>
          <w:sz w:val="24"/>
          <w:szCs w:val="24"/>
        </w:rPr>
      </w:pPr>
      <w:r w:rsidRPr="001D190A">
        <w:rPr>
          <w:rFonts w:ascii="Times New Roman" w:hAnsi="Times New Roman" w:cs="Times New Roman"/>
          <w:color w:val="010000"/>
          <w:sz w:val="24"/>
          <w:szCs w:val="24"/>
        </w:rPr>
        <w:t>“</w:t>
      </w:r>
      <w:r w:rsidR="007F5063" w:rsidRPr="001D190A">
        <w:rPr>
          <w:rFonts w:ascii="Times New Roman" w:hAnsi="Times New Roman" w:cs="Times New Roman"/>
          <w:b/>
          <w:color w:val="010000"/>
          <w:sz w:val="24"/>
          <w:szCs w:val="24"/>
        </w:rPr>
        <w:t xml:space="preserve">18.06.2025 tarihli ve 7551 sayılı </w:t>
      </w:r>
      <w:r w:rsidR="007F5063" w:rsidRPr="001D190A">
        <w:rPr>
          <w:rFonts w:ascii="Times New Roman" w:hAnsi="Times New Roman" w:cs="Times New Roman"/>
          <w:b/>
          <w:bCs/>
          <w:color w:val="010000"/>
          <w:sz w:val="24"/>
          <w:szCs w:val="24"/>
        </w:rPr>
        <w:t xml:space="preserve">Bazı Kanunlarda ve Kanun Hükmünde Kararnamelerde Değişiklik Yapılmasına Dair Kanun’un 14’üncü maddesiyle 5393 sayılı Kanun’un 11’inci maddesinin ikinci fıkrasının yeniden düzenlenen birinci cümlesinin </w:t>
      </w:r>
      <w:r w:rsidR="007F5063" w:rsidRPr="001D190A">
        <w:rPr>
          <w:rFonts w:ascii="Times New Roman" w:hAnsi="Times New Roman" w:cs="Times New Roman"/>
          <w:b/>
          <w:color w:val="010000"/>
          <w:sz w:val="24"/>
          <w:szCs w:val="24"/>
        </w:rPr>
        <w:t>Anayasa’ya aykırılığı</w:t>
      </w:r>
    </w:p>
    <w:p w14:paraId="78BCD418" w14:textId="77777777" w:rsidR="007F5063" w:rsidRPr="001D190A" w:rsidRDefault="007F5063" w:rsidP="001D190A">
      <w:pPr>
        <w:pStyle w:val="Gvde"/>
        <w:suppressAutoHyphens w:val="0"/>
        <w:spacing w:before="240" w:after="100" w:afterAutospacing="1" w:line="240" w:lineRule="auto"/>
        <w:jc w:val="both"/>
        <w:rPr>
          <w:rFonts w:ascii="Times New Roman" w:hAnsi="Times New Roman" w:cs="Times New Roman"/>
          <w:bCs/>
          <w:color w:val="010000"/>
          <w:sz w:val="24"/>
          <w:szCs w:val="24"/>
        </w:rPr>
      </w:pPr>
      <w:r w:rsidRPr="001D190A">
        <w:rPr>
          <w:rFonts w:ascii="Times New Roman" w:hAnsi="Times New Roman" w:cs="Times New Roman"/>
          <w:bCs/>
          <w:color w:val="010000"/>
          <w:sz w:val="24"/>
          <w:szCs w:val="24"/>
        </w:rPr>
        <w:t>5393 sayılı Kanun’un tüzel kişiliğin sona erdirilmesini düzenleyen 11’inci maddesinin ikinci fıkrasının birinci cümlesine göre nüfusu 2.000'in altına düşen belediyeler, Cumhurbaşkanı kararı ile köye dönüştürülmekte idi. Ancak CHP Grubunun başvurusu üzerine anılan cümle iptal edilmiştir (</w:t>
      </w:r>
      <w:r w:rsidRPr="001D190A">
        <w:rPr>
          <w:rFonts w:ascii="Times New Roman" w:hAnsi="Times New Roman" w:cs="Times New Roman"/>
          <w:bCs/>
          <w:i/>
          <w:color w:val="010000"/>
          <w:sz w:val="24"/>
          <w:szCs w:val="24"/>
        </w:rPr>
        <w:t>07.12.2023 tarihli ve 2018/117 E.; 2023/212 K. sayılı Kararı</w:t>
      </w:r>
      <w:r w:rsidRPr="001D190A">
        <w:rPr>
          <w:rFonts w:ascii="Times New Roman" w:hAnsi="Times New Roman" w:cs="Times New Roman"/>
          <w:bCs/>
          <w:color w:val="010000"/>
          <w:sz w:val="24"/>
          <w:szCs w:val="24"/>
        </w:rPr>
        <w:t xml:space="preserve">). </w:t>
      </w:r>
    </w:p>
    <w:p w14:paraId="7F219C05" w14:textId="77777777" w:rsidR="007F5063" w:rsidRPr="001D190A" w:rsidRDefault="007F5063" w:rsidP="001D190A">
      <w:pPr>
        <w:pStyle w:val="Gvde"/>
        <w:suppressAutoHyphens w:val="0"/>
        <w:spacing w:before="240" w:after="100" w:afterAutospacing="1" w:line="240" w:lineRule="auto"/>
        <w:jc w:val="both"/>
        <w:rPr>
          <w:rFonts w:ascii="Times New Roman" w:hAnsi="Times New Roman" w:cs="Times New Roman"/>
          <w:bCs/>
          <w:color w:val="010000"/>
          <w:sz w:val="24"/>
          <w:szCs w:val="24"/>
        </w:rPr>
      </w:pPr>
      <w:r w:rsidRPr="001D190A">
        <w:rPr>
          <w:rFonts w:ascii="Times New Roman" w:hAnsi="Times New Roman" w:cs="Times New Roman"/>
          <w:bCs/>
          <w:color w:val="010000"/>
          <w:sz w:val="24"/>
          <w:szCs w:val="24"/>
        </w:rPr>
        <w:t>Bunun üzerine 7551 sayılı Kanun’un 14’üncü maddesiyle kanun koyucu tarafından bahsi geçen birinci cümle yeniden düzenlenmiştir. Yeniden düzenlenen cümleye göre nüfusu 2.000’in altına düşen belediyeler köye dönüştürülecektir. Ancak yeniden düzenlenen cümle de Anayasa’ya aykırıdır.</w:t>
      </w:r>
    </w:p>
    <w:p w14:paraId="476B5D08" w14:textId="77777777" w:rsidR="007F5063" w:rsidRPr="001D190A" w:rsidRDefault="007F5063" w:rsidP="001D190A">
      <w:pPr>
        <w:pStyle w:val="Gvde"/>
        <w:suppressAutoHyphens w:val="0"/>
        <w:spacing w:before="240" w:after="100" w:afterAutospacing="1" w:line="240" w:lineRule="auto"/>
        <w:jc w:val="both"/>
        <w:rPr>
          <w:rFonts w:ascii="Times New Roman" w:hAnsi="Times New Roman" w:cs="Times New Roman"/>
          <w:bCs/>
          <w:color w:val="010000"/>
          <w:sz w:val="24"/>
          <w:szCs w:val="24"/>
        </w:rPr>
      </w:pPr>
      <w:r w:rsidRPr="001D190A">
        <w:rPr>
          <w:rFonts w:ascii="Times New Roman" w:hAnsi="Times New Roman" w:cs="Times New Roman"/>
          <w:bCs/>
          <w:color w:val="010000"/>
          <w:sz w:val="24"/>
          <w:szCs w:val="24"/>
        </w:rPr>
        <w:t xml:space="preserve">Zira Anayasa’nın 127’nci maddesine göre mahalli idareler; il, belediye veya köy halkının mahalli müşterek ihtiyaçlarını karşılamak üzere kuruluş esasları kanunla belirtilen ve karar organları, gene kanunda gösterilen, seçmenler tarafından seçilerek oluşturulan kamu tüzelkişileridir. Buradaki kanunilik </w:t>
      </w:r>
      <w:proofErr w:type="gramStart"/>
      <w:r w:rsidRPr="001D190A">
        <w:rPr>
          <w:rFonts w:ascii="Times New Roman" w:hAnsi="Times New Roman" w:cs="Times New Roman"/>
          <w:bCs/>
          <w:color w:val="010000"/>
          <w:sz w:val="24"/>
          <w:szCs w:val="24"/>
        </w:rPr>
        <w:t>ilkesi,</w:t>
      </w:r>
      <w:proofErr w:type="gramEnd"/>
      <w:r w:rsidRPr="001D190A">
        <w:rPr>
          <w:rFonts w:ascii="Times New Roman" w:hAnsi="Times New Roman" w:cs="Times New Roman"/>
          <w:bCs/>
          <w:color w:val="010000"/>
          <w:sz w:val="24"/>
          <w:szCs w:val="24"/>
        </w:rPr>
        <w:t xml:space="preserve"> hem şekli anlamda hem de maddi anlamdadır. Başka bir anlatımla bunların kuruluş işlemleri, yasama organı tarafından kanun yapma usulüyle düzenlenmeli hem de kuruluş kanun</w:t>
      </w:r>
      <w:bookmarkStart w:id="0" w:name="_GoBack"/>
      <w:bookmarkEnd w:id="0"/>
      <w:r w:rsidRPr="001D190A">
        <w:rPr>
          <w:rFonts w:ascii="Times New Roman" w:hAnsi="Times New Roman" w:cs="Times New Roman"/>
          <w:bCs/>
          <w:color w:val="010000"/>
          <w:sz w:val="24"/>
          <w:szCs w:val="24"/>
        </w:rPr>
        <w:t xml:space="preserve">larının içeriği, Anayasa’ya uygun olmalıdır. </w:t>
      </w:r>
    </w:p>
    <w:p w14:paraId="7CDCE76D" w14:textId="77777777"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hAnsi="Times New Roman" w:cs="Times New Roman"/>
          <w:bCs/>
          <w:color w:val="010000"/>
          <w:sz w:val="24"/>
          <w:szCs w:val="24"/>
        </w:rPr>
        <w:t xml:space="preserve">O halde kuruluş kanunlarının maddi anlamda içeriği, kamu yararını barındırmalıdır. Nitekim </w:t>
      </w:r>
      <w:r w:rsidRPr="001D190A">
        <w:rPr>
          <w:rFonts w:ascii="Times New Roman" w:eastAsia="Times New Roman" w:hAnsi="Times New Roman" w:cs="Times New Roman"/>
          <w:color w:val="010000"/>
          <w:sz w:val="24"/>
          <w:szCs w:val="24"/>
        </w:rPr>
        <w:t>Anayasa’nın 2’nci maddesindeki hukuk devleti ilkesi gereğince, yasama işlemlerinin kişisel yararları değil kamu yararını gerçekleştirmek amacıyla yapılması zorunludur (</w:t>
      </w:r>
      <w:r w:rsidRPr="001D190A">
        <w:rPr>
          <w:rFonts w:ascii="Times New Roman" w:eastAsia="Times New Roman" w:hAnsi="Times New Roman" w:cs="Times New Roman"/>
          <w:i/>
          <w:color w:val="010000"/>
          <w:sz w:val="24"/>
          <w:szCs w:val="24"/>
        </w:rPr>
        <w:t>Anayasa Mahkemesi’nin 17. 06. 2015 karar tarihli ve 2014/179 E.; 2015/54 K. sayılı Kararı</w:t>
      </w:r>
      <w:r w:rsidRPr="001D190A">
        <w:rPr>
          <w:rFonts w:ascii="Times New Roman" w:eastAsia="Times New Roman" w:hAnsi="Times New Roman" w:cs="Times New Roman"/>
          <w:color w:val="010000"/>
          <w:sz w:val="24"/>
          <w:szCs w:val="24"/>
        </w:rPr>
        <w:t>). Aynı yönde; “</w:t>
      </w:r>
      <w:r w:rsidRPr="001D190A">
        <w:rPr>
          <w:rFonts w:ascii="Times New Roman" w:eastAsia="Times New Roman" w:hAnsi="Times New Roman" w:cs="Times New Roman"/>
          <w:i/>
          <w:iCs/>
          <w:color w:val="010000"/>
          <w:sz w:val="24"/>
          <w:szCs w:val="24"/>
        </w:rPr>
        <w:t>Yasa koyucuya verilen düzenleme yetkisi, hiçbir şekilde kamu yararını ortadan kaldıracak veya engelleyecek... biçimde kullanılamaz …</w:t>
      </w:r>
      <w:r w:rsidRPr="001D190A">
        <w:rPr>
          <w:rFonts w:ascii="Times New Roman" w:eastAsia="Times New Roman" w:hAnsi="Times New Roman" w:cs="Times New Roman"/>
          <w:color w:val="010000"/>
          <w:sz w:val="24"/>
          <w:szCs w:val="24"/>
        </w:rPr>
        <w:t>” (</w:t>
      </w:r>
      <w:r w:rsidRPr="001D190A">
        <w:rPr>
          <w:rFonts w:ascii="Times New Roman" w:eastAsia="Times New Roman" w:hAnsi="Times New Roman" w:cs="Times New Roman"/>
          <w:i/>
          <w:color w:val="010000"/>
          <w:sz w:val="24"/>
          <w:szCs w:val="24"/>
        </w:rPr>
        <w:t>Anayasa Mahkemesi’nin 24.01.2008 tarihli ve 2007/76 E.; 2008/46 K. sayılı Kararı</w:t>
      </w:r>
      <w:r w:rsidRPr="001D190A">
        <w:rPr>
          <w:rFonts w:ascii="Times New Roman" w:eastAsia="Times New Roman" w:hAnsi="Times New Roman" w:cs="Times New Roman"/>
          <w:color w:val="010000"/>
          <w:sz w:val="24"/>
          <w:szCs w:val="24"/>
        </w:rPr>
        <w:t xml:space="preserve">). </w:t>
      </w:r>
    </w:p>
    <w:p w14:paraId="4671012F" w14:textId="392D9C62"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 xml:space="preserve">Ancak kanun koyucu, nüfusu 2.000’in altına düşen belediyelerin doğrudan köye </w:t>
      </w:r>
      <w:proofErr w:type="gramStart"/>
      <w:r w:rsidRPr="001D190A">
        <w:rPr>
          <w:rFonts w:ascii="Times New Roman" w:eastAsia="Times New Roman" w:hAnsi="Times New Roman" w:cs="Times New Roman"/>
          <w:color w:val="010000"/>
          <w:sz w:val="24"/>
          <w:szCs w:val="24"/>
        </w:rPr>
        <w:t>dönüştürüleceğini</w:t>
      </w:r>
      <w:proofErr w:type="gramEnd"/>
      <w:r w:rsidRPr="001D190A">
        <w:rPr>
          <w:rFonts w:ascii="Times New Roman" w:eastAsia="Times New Roman" w:hAnsi="Times New Roman" w:cs="Times New Roman"/>
          <w:color w:val="010000"/>
          <w:sz w:val="24"/>
          <w:szCs w:val="24"/>
        </w:rPr>
        <w:t xml:space="preserve"> kurala bağlamıştır. Elbette hem belediyeler hem de köyler, mahalli idarelerin bir parçasıdır. Ancak her ikisinin de ilgili mevzuatta (442 s. Köy K. ile 5393 s. Belediye K.) ayrı görev ve yetkileri bulunmaktadır. Bu durumda bir mahallin belediye yerine köy tüzel kişiliği ile yönetilmesi, uygulamada farklılıklar doğuracaktır. Bu nedenle bir mahalde nüfus sayımı yapılması ve nüfusun 2000’in altına düşmesi; bu dönüşümün haklı-meşru gerekçesi kabul edilemez.</w:t>
      </w:r>
    </w:p>
    <w:p w14:paraId="78474FEC" w14:textId="7297952E"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Şöyle ki nüfusunun bu eşiğe yaklaştığının tespit edildiği mahallerde; yasayla tanınan belirli süre içinde belediyece (merkezi</w:t>
      </w:r>
      <w:r w:rsidR="001D190A" w:rsidRPr="001D190A">
        <w:rPr>
          <w:rFonts w:ascii="Times New Roman" w:eastAsia="Times New Roman" w:hAnsi="Times New Roman" w:cs="Times New Roman"/>
          <w:color w:val="010000"/>
          <w:sz w:val="24"/>
          <w:szCs w:val="24"/>
        </w:rPr>
        <w:t xml:space="preserve"> </w:t>
      </w:r>
      <w:r w:rsidRPr="001D190A">
        <w:rPr>
          <w:rFonts w:ascii="Times New Roman" w:eastAsia="Times New Roman" w:hAnsi="Times New Roman" w:cs="Times New Roman"/>
          <w:color w:val="010000"/>
          <w:sz w:val="24"/>
          <w:szCs w:val="24"/>
        </w:rPr>
        <w:t>idarenin de katkısıyla) bu durumun çözümü üretilmeden (</w:t>
      </w:r>
      <w:r w:rsidRPr="001D190A">
        <w:rPr>
          <w:rFonts w:ascii="Times New Roman" w:eastAsia="Times New Roman" w:hAnsi="Times New Roman" w:cs="Times New Roman"/>
          <w:i/>
          <w:color w:val="010000"/>
          <w:sz w:val="24"/>
          <w:szCs w:val="24"/>
        </w:rPr>
        <w:t>söz gelimi yerel mali kaynak kapasitesinin artışı amacıyla merkezi bütçe gelirlerinden ayrılan payların yükseltilerek yatırım faaliyetlerine teşvik verilmesi, imar ve ruhsat uygulamaları gibi teknik hizmetlerin dijitalleşen dünyada kolaylaştırılması</w:t>
      </w:r>
      <w:r w:rsidRPr="001D190A">
        <w:rPr>
          <w:rFonts w:ascii="Times New Roman" w:eastAsia="Times New Roman" w:hAnsi="Times New Roman" w:cs="Times New Roman"/>
          <w:color w:val="010000"/>
          <w:sz w:val="24"/>
          <w:szCs w:val="24"/>
        </w:rPr>
        <w:t xml:space="preserve">) doğrudan hukuki kişilik değişikliğine gitmekte; bir kamu yararı bulunmamaktadır. Aksine doğrudan bir dönüşüm, bu bölgenin nüfus kaybını gittikçe hızlandırarak; büyükşehirler gibi daha kalabalık idari birimlerde nüfus yığılmasının önünü açacaktır. Başka bir anlatımla bir türden </w:t>
      </w:r>
      <w:proofErr w:type="spellStart"/>
      <w:r w:rsidRPr="001D190A">
        <w:rPr>
          <w:rFonts w:ascii="Times New Roman" w:eastAsia="Times New Roman" w:hAnsi="Times New Roman" w:cs="Times New Roman"/>
          <w:color w:val="010000"/>
          <w:sz w:val="24"/>
          <w:szCs w:val="24"/>
        </w:rPr>
        <w:t>depopülasyona</w:t>
      </w:r>
      <w:proofErr w:type="spellEnd"/>
      <w:r w:rsidRPr="001D190A">
        <w:rPr>
          <w:rFonts w:ascii="Times New Roman" w:eastAsia="Times New Roman" w:hAnsi="Times New Roman" w:cs="Times New Roman"/>
          <w:color w:val="010000"/>
          <w:sz w:val="24"/>
          <w:szCs w:val="24"/>
        </w:rPr>
        <w:t xml:space="preserve"> sebep olacak bu kural, Türkiye’de demografik yapının bozularak kırsaldan kente akışı hızlandıracaktır. Bununla birlikte orada yaşayan vatandaşların belediye seviyesinde yerel yönetime katılma hakkının ortadan kaldırılması da demokrasi ile bağdaşmaz. Dinamik bir yapıya sahip nüfus sayım sistemi </w:t>
      </w:r>
      <w:r w:rsidRPr="001D190A">
        <w:rPr>
          <w:rFonts w:ascii="Times New Roman" w:eastAsia="Times New Roman" w:hAnsi="Times New Roman" w:cs="Times New Roman"/>
          <w:color w:val="010000"/>
          <w:sz w:val="24"/>
          <w:szCs w:val="24"/>
        </w:rPr>
        <w:lastRenderedPageBreak/>
        <w:t xml:space="preserve">verilerine dayanmak, ani değişikliklerle idari yapıların dönüşümlerine sebep olacağından buradaki vatandaşların hukuki belirliliği ve güvenliği de zedelenecektir. Halbuki kanun koyucu, 2000 gibi kişi kriterinin yanı sıra bölgenin ekonomik-sosyal gelişmişlik düzeyinin de esas alınacağı bir formül benimseyebilirdi. </w:t>
      </w:r>
    </w:p>
    <w:p w14:paraId="2E76693B" w14:textId="25D51B5E"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 xml:space="preserve">Öte yandan Anayasa’nın 166’ncı maddesi gereğince ekonomik, sosyal ve kültürel kalkınmayı, özellikle sanayiin ve tarımın yurt düzeyinde dengeli ve uyumlu biçimde hızla gelişmesini, ülke kaynaklarının döküm ve değerlendirilmesini yaparak verimli şekilde kullanılmasını planlamak, bu amaçla gerekli teşkilatı kurmak Devletin görevidir. Anılan 166’ncı maddeye konu dengeli dağılım, nüfusun dengeli dağılımını da kapsamaktadır. Bu da yerel yönetimlerin teşkilatlanmasıyla doğrudan bağlantılıdır. O halde iptali talep edilen cümlenin Anayasa’nın 166’ncı maddesiyle Devlete yüklenen planlama görevi kapsamında da değerlendirmek gerekmektedir. 2000 nüfusun altında kalan bölgeleri, köye dönüştürmek; kentlere yoğun göç akışına neden </w:t>
      </w:r>
      <w:proofErr w:type="gramStart"/>
      <w:r w:rsidRPr="001D190A">
        <w:rPr>
          <w:rFonts w:ascii="Times New Roman" w:eastAsia="Times New Roman" w:hAnsi="Times New Roman" w:cs="Times New Roman"/>
          <w:color w:val="010000"/>
          <w:sz w:val="24"/>
          <w:szCs w:val="24"/>
        </w:rPr>
        <w:t>olacağından;</w:t>
      </w:r>
      <w:proofErr w:type="gramEnd"/>
      <w:r w:rsidRPr="001D190A">
        <w:rPr>
          <w:rFonts w:ascii="Times New Roman" w:eastAsia="Times New Roman" w:hAnsi="Times New Roman" w:cs="Times New Roman"/>
          <w:color w:val="010000"/>
          <w:sz w:val="24"/>
          <w:szCs w:val="24"/>
        </w:rPr>
        <w:t xml:space="preserve"> kentleşme-yerleşme planlamalarının </w:t>
      </w:r>
      <w:proofErr w:type="spellStart"/>
      <w:r w:rsidRPr="001D190A">
        <w:rPr>
          <w:rFonts w:ascii="Times New Roman" w:eastAsia="Times New Roman" w:hAnsi="Times New Roman" w:cs="Times New Roman"/>
          <w:color w:val="010000"/>
          <w:sz w:val="24"/>
          <w:szCs w:val="24"/>
        </w:rPr>
        <w:t>sürdürülemezliğine</w:t>
      </w:r>
      <w:proofErr w:type="spellEnd"/>
      <w:r w:rsidRPr="001D190A">
        <w:rPr>
          <w:rFonts w:ascii="Times New Roman" w:eastAsia="Times New Roman" w:hAnsi="Times New Roman" w:cs="Times New Roman"/>
          <w:color w:val="010000"/>
          <w:sz w:val="24"/>
          <w:szCs w:val="24"/>
        </w:rPr>
        <w:t xml:space="preserve"> sebep olacaktır. Bu mahallerde belediyelerin devamlılığını sağlayarak yerel ekonomilerin canlandırılması, kırsal alanların kalkındırılması yerine; rekabetçi-yarışmacı metropollerin ihtiyaç dışında büyümesine sebep olacak cümle, Anayasa’nın 166’ncı maddesinde temelini bulan dengeli planlamaya aykırıdır. </w:t>
      </w:r>
    </w:p>
    <w:p w14:paraId="0FAFCAF6" w14:textId="77777777"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 xml:space="preserve">İptali talep edilen cümle, Anayasa’nın 2’nci maddesine konu kamu yararını barındırmamak ve 166’ncı maddesini konu nüfusun dengeli dağılımını planlama görevini yerine getirmemek suretiyle; Anayasa’nın 127’nci maddesinde yer alan kanunilik ilkesini maddi anlamda sakatlamaktadır. </w:t>
      </w:r>
    </w:p>
    <w:p w14:paraId="28C70259" w14:textId="3383613F" w:rsidR="007F5063" w:rsidRPr="001D190A" w:rsidRDefault="007F5063" w:rsidP="001D190A">
      <w:pPr>
        <w:pStyle w:val="Gvde"/>
        <w:suppressAutoHyphens w:val="0"/>
        <w:spacing w:before="240" w:after="100" w:afterAutospacing="1" w:line="240" w:lineRule="auto"/>
        <w:jc w:val="both"/>
        <w:rPr>
          <w:rFonts w:ascii="Times New Roman" w:hAnsi="Times New Roman" w:cs="Times New Roman"/>
          <w:color w:val="010000"/>
          <w:sz w:val="24"/>
          <w:szCs w:val="24"/>
        </w:rPr>
      </w:pPr>
      <w:r w:rsidRPr="001D190A">
        <w:rPr>
          <w:rFonts w:ascii="Times New Roman" w:hAnsi="Times New Roman" w:cs="Times New Roman"/>
          <w:color w:val="010000"/>
          <w:sz w:val="24"/>
          <w:szCs w:val="24"/>
        </w:rPr>
        <w:t xml:space="preserve">Tüm bu nedenlerle, 7551 sayılı Kanun’un </w:t>
      </w:r>
      <w:r w:rsidRPr="001D190A">
        <w:rPr>
          <w:rFonts w:ascii="Times New Roman" w:hAnsi="Times New Roman" w:cs="Times New Roman"/>
          <w:bCs/>
          <w:color w:val="010000"/>
          <w:sz w:val="24"/>
          <w:szCs w:val="24"/>
        </w:rPr>
        <w:t>14’üncü maddesiyle 5393 sayılı Kanun’un 11’inci maddesinin ikinci fıkrasının yeniden düzenlenen birinci cümlesi</w:t>
      </w:r>
      <w:r w:rsidRPr="001D190A">
        <w:rPr>
          <w:rFonts w:ascii="Times New Roman" w:hAnsi="Times New Roman" w:cs="Times New Roman"/>
          <w:color w:val="010000"/>
          <w:sz w:val="24"/>
          <w:szCs w:val="24"/>
        </w:rPr>
        <w:t>, Anayasa’nın 2, 127 ve 166’ncı maddelerine aykırıdır; anılan cümlenin iptali gerekir.</w:t>
      </w:r>
    </w:p>
    <w:p w14:paraId="40F95F21" w14:textId="4EECB2E7" w:rsidR="007F5063" w:rsidRPr="001D190A" w:rsidRDefault="007F5063" w:rsidP="001D190A">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1D190A">
        <w:rPr>
          <w:rFonts w:ascii="Times New Roman" w:hAnsi="Times New Roman" w:cs="Times New Roman"/>
          <w:b/>
          <w:color w:val="010000"/>
          <w:sz w:val="24"/>
          <w:szCs w:val="24"/>
        </w:rPr>
        <w:t>YÜRÜRLÜĞÜ DURDURMA İSTEMİNİN GEREKÇESİ</w:t>
      </w:r>
    </w:p>
    <w:p w14:paraId="39C344F0" w14:textId="77777777"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hAnsi="Times New Roman" w:cs="Times New Roman"/>
          <w:color w:val="010000"/>
          <w:sz w:val="24"/>
          <w:szCs w:val="24"/>
        </w:rPr>
        <w:t xml:space="preserve">18.06.2025 tarihli ve 7551 sayılı Bazı Kanunlarda ve Kanun Hükmünde Kararnamelerde Değişiklik Yapılmasına Dair Kanun ile </w:t>
      </w:r>
      <w:r w:rsidRPr="001D190A">
        <w:rPr>
          <w:rFonts w:ascii="Times New Roman" w:eastAsia="Times New Roman" w:hAnsi="Times New Roman" w:cs="Times New Roman"/>
          <w:color w:val="010000"/>
          <w:sz w:val="24"/>
          <w:szCs w:val="24"/>
        </w:rPr>
        <w:t>getirilen iptali talep edilen düzenleme, hukuka aykırı yeniden düzenleme yapmaktadır. Kamu yararına aykırı olan, telafisi mümkün olmayacak sonuçlara yol açacak bu düzenlemelerin iptal davası sonuçlanana kadar yürürlüğünün durdurulması gerekmektedir.</w:t>
      </w:r>
    </w:p>
    <w:p w14:paraId="13387DC3" w14:textId="77777777"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70FE912" w14:textId="02B35719" w:rsidR="007F5063" w:rsidRPr="001D190A" w:rsidRDefault="007F5063" w:rsidP="001D190A">
      <w:pPr>
        <w:spacing w:before="240" w:after="100" w:afterAutospacing="1" w:line="240" w:lineRule="auto"/>
        <w:ind w:firstLine="709"/>
        <w:jc w:val="both"/>
        <w:rPr>
          <w:rFonts w:ascii="Times New Roman" w:eastAsia="Times New Roman" w:hAnsi="Times New Roman" w:cs="Times New Roman"/>
          <w:color w:val="010000"/>
          <w:sz w:val="24"/>
          <w:szCs w:val="24"/>
        </w:rPr>
      </w:pPr>
      <w:r w:rsidRPr="001D190A">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586D1F9E" w14:textId="42C04341" w:rsidR="007F5063" w:rsidRPr="001D190A" w:rsidRDefault="007F5063" w:rsidP="001D190A">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1D190A">
        <w:rPr>
          <w:rFonts w:ascii="Times New Roman" w:hAnsi="Times New Roman" w:cs="Times New Roman"/>
          <w:b/>
          <w:color w:val="010000"/>
          <w:sz w:val="24"/>
          <w:szCs w:val="24"/>
        </w:rPr>
        <w:t>SONUÇ VE İSTEM</w:t>
      </w:r>
    </w:p>
    <w:p w14:paraId="074F8FFF" w14:textId="62EB9089" w:rsidR="00743DA7" w:rsidRPr="001D190A" w:rsidRDefault="001D190A" w:rsidP="001D190A">
      <w:pPr>
        <w:pStyle w:val="Gvde"/>
        <w:suppressAutoHyphens w:val="0"/>
        <w:spacing w:before="240" w:after="100" w:afterAutospacing="1" w:line="240" w:lineRule="auto"/>
        <w:jc w:val="both"/>
        <w:rPr>
          <w:rFonts w:ascii="Times New Roman" w:hAnsi="Times New Roman" w:cs="Times New Roman"/>
          <w:b/>
          <w:bCs/>
          <w:color w:val="010000"/>
          <w:sz w:val="24"/>
          <w:szCs w:val="24"/>
        </w:rPr>
      </w:pPr>
      <w:r w:rsidRPr="001D190A">
        <w:rPr>
          <w:rFonts w:ascii="Times New Roman" w:hAnsi="Times New Roman" w:cs="Times New Roman"/>
          <w:color w:val="010000"/>
          <w:sz w:val="24"/>
          <w:szCs w:val="24"/>
        </w:rPr>
        <w:lastRenderedPageBreak/>
        <w:t xml:space="preserve"> </w:t>
      </w:r>
      <w:r w:rsidR="007F5063" w:rsidRPr="001D190A">
        <w:rPr>
          <w:rFonts w:ascii="Times New Roman" w:hAnsi="Times New Roman" w:cs="Times New Roman"/>
          <w:color w:val="010000"/>
          <w:sz w:val="24"/>
          <w:szCs w:val="24"/>
        </w:rPr>
        <w:t xml:space="preserve">18.06.2025 tarihli ve 7551 sayılı Bazı Kanunlarda ve Kanun Hükmünde Kararnamelerde Değişiklik Yapılmasına Dair Kanun’un </w:t>
      </w:r>
      <w:r w:rsidR="007F5063" w:rsidRPr="001D190A">
        <w:rPr>
          <w:rFonts w:ascii="Times New Roman" w:hAnsi="Times New Roman" w:cs="Times New Roman"/>
          <w:bCs/>
          <w:color w:val="010000"/>
          <w:sz w:val="24"/>
          <w:szCs w:val="24"/>
        </w:rPr>
        <w:t xml:space="preserve">14’üncü maddesiyle 5393 sayılı Kanun’un 11’inci maddesinin ikinci fıkrasının yeniden düzenlenen birinci cümlesi, Anayasa’nın </w:t>
      </w:r>
      <w:r w:rsidR="007F5063" w:rsidRPr="001D190A">
        <w:rPr>
          <w:rFonts w:ascii="Times New Roman" w:hAnsi="Times New Roman" w:cs="Times New Roman"/>
          <w:color w:val="010000"/>
          <w:sz w:val="24"/>
          <w:szCs w:val="24"/>
        </w:rPr>
        <w:t xml:space="preserve">2., 127. ve 166’ncı </w:t>
      </w:r>
      <w:r w:rsidR="007F5063" w:rsidRPr="001D190A">
        <w:rPr>
          <w:rFonts w:ascii="Times New Roman" w:hAnsi="Times New Roman" w:cs="Times New Roman"/>
          <w:bCs/>
          <w:color w:val="010000"/>
          <w:sz w:val="24"/>
          <w:szCs w:val="24"/>
        </w:rPr>
        <w:t xml:space="preserve">maddelerine </w:t>
      </w:r>
      <w:r w:rsidR="007F5063" w:rsidRPr="001D190A">
        <w:rPr>
          <w:rFonts w:ascii="Times New Roman" w:hAnsi="Times New Roman" w:cs="Times New Roman"/>
          <w:color w:val="010000"/>
          <w:sz w:val="24"/>
          <w:szCs w:val="24"/>
        </w:rPr>
        <w:t xml:space="preserve">aykırı olduğundan iptaline ve uygulanması halinde giderilmesi güç ya da olanaksız zarar ve durumlar olacağı için, iptal davası sonuçlanıncaya kadar yürürlüğünün durdurulmasına karar verilmesine ilişkin istemimizi saygı ile arz ederiz. </w:t>
      </w:r>
      <w:r w:rsidR="00860AB3" w:rsidRPr="001D190A">
        <w:rPr>
          <w:rFonts w:ascii="Times New Roman" w:hAnsi="Times New Roman" w:cs="Times New Roman"/>
          <w:color w:val="010000"/>
          <w:sz w:val="24"/>
          <w:szCs w:val="24"/>
        </w:rPr>
        <w:t>”</w:t>
      </w:r>
    </w:p>
    <w:sectPr w:rsidR="00743DA7" w:rsidRPr="001D190A" w:rsidSect="001D190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E83BD" w14:textId="77777777" w:rsidR="00F931EA" w:rsidRDefault="00F931EA" w:rsidP="006F3DAB">
      <w:pPr>
        <w:spacing w:after="0" w:line="240" w:lineRule="auto"/>
      </w:pPr>
      <w:r>
        <w:separator/>
      </w:r>
    </w:p>
  </w:endnote>
  <w:endnote w:type="continuationSeparator" w:id="0">
    <w:p w14:paraId="49612C11" w14:textId="77777777" w:rsidR="00F931EA" w:rsidRDefault="00F931E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2A03" w14:textId="77777777" w:rsidR="001D190A" w:rsidRDefault="001D190A" w:rsidP="00AF541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B4A5E6B" w14:textId="77777777" w:rsidR="001D190A" w:rsidRDefault="001D190A" w:rsidP="001D19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DC2F" w14:textId="12BB9A93" w:rsidR="001D190A" w:rsidRPr="001D190A" w:rsidRDefault="001D190A" w:rsidP="00AF5410">
    <w:pPr>
      <w:pStyle w:val="AltBilgi"/>
      <w:framePr w:wrap="around" w:vAnchor="text" w:hAnchor="margin" w:xAlign="right" w:y="1"/>
      <w:rPr>
        <w:rStyle w:val="SayfaNumaras"/>
        <w:rFonts w:ascii="Times New Roman" w:hAnsi="Times New Roman" w:cs="Times New Roman"/>
      </w:rPr>
    </w:pPr>
    <w:r w:rsidRPr="001D190A">
      <w:rPr>
        <w:rStyle w:val="SayfaNumaras"/>
        <w:rFonts w:ascii="Times New Roman" w:hAnsi="Times New Roman" w:cs="Times New Roman"/>
      </w:rPr>
      <w:fldChar w:fldCharType="begin"/>
    </w:r>
    <w:r w:rsidRPr="001D190A">
      <w:rPr>
        <w:rStyle w:val="SayfaNumaras"/>
        <w:rFonts w:ascii="Times New Roman" w:hAnsi="Times New Roman" w:cs="Times New Roman"/>
      </w:rPr>
      <w:instrText xml:space="preserve"> PAGE </w:instrText>
    </w:r>
    <w:r w:rsidRPr="001D190A">
      <w:rPr>
        <w:rStyle w:val="SayfaNumaras"/>
        <w:rFonts w:ascii="Times New Roman" w:hAnsi="Times New Roman" w:cs="Times New Roman"/>
      </w:rPr>
      <w:fldChar w:fldCharType="separate"/>
    </w:r>
    <w:r w:rsidRPr="001D190A">
      <w:rPr>
        <w:rStyle w:val="SayfaNumaras"/>
        <w:rFonts w:ascii="Times New Roman" w:hAnsi="Times New Roman" w:cs="Times New Roman"/>
        <w:noProof/>
      </w:rPr>
      <w:t>3</w:t>
    </w:r>
    <w:r w:rsidRPr="001D190A">
      <w:rPr>
        <w:rStyle w:val="SayfaNumaras"/>
        <w:rFonts w:ascii="Times New Roman" w:hAnsi="Times New Roman" w:cs="Times New Roman"/>
      </w:rPr>
      <w:fldChar w:fldCharType="end"/>
    </w:r>
  </w:p>
  <w:p w14:paraId="285A0729" w14:textId="2B07CBF7" w:rsidR="002975B8" w:rsidRPr="001D190A" w:rsidRDefault="002975B8" w:rsidP="001D190A">
    <w:pPr>
      <w:pStyle w:val="AltBilgi"/>
      <w:ind w:right="360"/>
      <w:jc w:val="right"/>
      <w:rPr>
        <w:rFonts w:ascii="Times New Roman" w:hAnsi="Times New Roman" w:cs="Times New Roman"/>
      </w:rPr>
    </w:pPr>
  </w:p>
  <w:p w14:paraId="46879A97" w14:textId="77777777" w:rsidR="002975B8" w:rsidRPr="001D190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C9BA0" w14:textId="77777777" w:rsidR="00F931EA" w:rsidRDefault="00F931EA" w:rsidP="006F3DAB">
      <w:pPr>
        <w:spacing w:after="0" w:line="240" w:lineRule="auto"/>
      </w:pPr>
      <w:r>
        <w:separator/>
      </w:r>
    </w:p>
  </w:footnote>
  <w:footnote w:type="continuationSeparator" w:id="0">
    <w:p w14:paraId="7E912D46" w14:textId="77777777" w:rsidR="00F931EA" w:rsidRDefault="00F931E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BC9A" w14:textId="77777777" w:rsidR="001D190A" w:rsidRDefault="001D190A" w:rsidP="001D190A">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5/182</w:t>
    </w:r>
  </w:p>
  <w:p w14:paraId="79B4532F" w14:textId="77777777" w:rsidR="001D190A" w:rsidRPr="00C6681C" w:rsidRDefault="001D190A" w:rsidP="001D190A">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6/9</w:t>
    </w:r>
  </w:p>
  <w:p w14:paraId="41A5225C" w14:textId="4936FDD5" w:rsidR="001D190A" w:rsidRPr="001D190A" w:rsidRDefault="001D190A" w:rsidP="001D19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9970F36"/>
    <w:multiLevelType w:val="hybridMultilevel"/>
    <w:tmpl w:val="91748728"/>
    <w:lvl w:ilvl="0" w:tplc="F7A87504">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30"/>
  </w:num>
  <w:num w:numId="13">
    <w:abstractNumId w:val="31"/>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190A"/>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5F1"/>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F5063"/>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96D"/>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F1F20"/>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931EA"/>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41D9-0C99-468B-AED9-F246E3A6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2026-04-06T05:34:00Z</dcterms:created>
  <dcterms:modified xsi:type="dcterms:W3CDTF">2026-04-06T05:34:00Z</dcterms:modified>
</cp:coreProperties>
</file>