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FE1" w:rsidRDefault="004C2246">
      <w:pPr>
        <w:pStyle w:val="GvdeMetni"/>
        <w:spacing w:after="100" w:line="264" w:lineRule="auto"/>
        <w:ind w:right="283"/>
        <w:jc w:val="center"/>
        <w:rPr>
          <w:rFonts w:ascii="Times New Roman" w:hAnsi="Times New Roman"/>
          <w:b/>
          <w:sz w:val="22"/>
        </w:rPr>
      </w:pPr>
      <w:r>
        <w:rPr>
          <w:rFonts w:ascii="Times New Roman" w:hAnsi="Times New Roman"/>
          <w:b/>
          <w:sz w:val="22"/>
        </w:rPr>
        <w:t>ANAYASA MAHKEMESİ KARARI</w:t>
      </w:r>
    </w:p>
    <w:p w:rsidR="00677FE1" w:rsidRDefault="004C2246">
      <w:pPr>
        <w:pStyle w:val="GvdeMetni"/>
        <w:spacing w:after="0" w:line="240" w:lineRule="auto"/>
        <w:rPr>
          <w:rFonts w:ascii="Times New Roman" w:hAnsi="Times New Roman"/>
          <w:b/>
          <w:sz w:val="22"/>
        </w:rPr>
      </w:pPr>
      <w:r>
        <w:rPr>
          <w:rFonts w:ascii="Times New Roman" w:hAnsi="Times New Roman"/>
          <w:b/>
          <w:sz w:val="22"/>
        </w:rPr>
        <w:t>Esas Sayısı:2025/102</w:t>
      </w:r>
    </w:p>
    <w:p w:rsidR="00677FE1" w:rsidRDefault="004C2246">
      <w:pPr>
        <w:pStyle w:val="GvdeMetni"/>
        <w:spacing w:after="0" w:line="240" w:lineRule="auto"/>
        <w:rPr>
          <w:rFonts w:ascii="Times New Roman" w:hAnsi="Times New Roman"/>
          <w:b/>
          <w:sz w:val="22"/>
        </w:rPr>
      </w:pPr>
      <w:r>
        <w:rPr>
          <w:rFonts w:ascii="Times New Roman" w:hAnsi="Times New Roman"/>
          <w:b/>
          <w:sz w:val="22"/>
        </w:rPr>
        <w:t>Karar Sayısı:2025/182</w:t>
      </w:r>
    </w:p>
    <w:p w:rsidR="00677FE1" w:rsidRDefault="004C2246">
      <w:pPr>
        <w:pStyle w:val="GvdeMetni"/>
        <w:spacing w:after="0" w:line="240" w:lineRule="auto"/>
        <w:rPr>
          <w:rFonts w:ascii="Times New Roman" w:hAnsi="Times New Roman"/>
          <w:b/>
          <w:sz w:val="22"/>
        </w:rPr>
      </w:pPr>
      <w:r>
        <w:rPr>
          <w:rFonts w:ascii="Times New Roman" w:hAnsi="Times New Roman"/>
          <w:b/>
          <w:sz w:val="22"/>
        </w:rPr>
        <w:t>Karar Tarihi:10/9/2025</w:t>
      </w:r>
    </w:p>
    <w:p w:rsidR="00677FE1" w:rsidRDefault="004C2246">
      <w:pPr>
        <w:pStyle w:val="GvdeMetni"/>
        <w:spacing w:after="200" w:line="240" w:lineRule="auto"/>
        <w:rPr>
          <w:rFonts w:ascii="Times New Roman" w:hAnsi="Times New Roman"/>
          <w:b/>
          <w:sz w:val="22"/>
        </w:rPr>
      </w:pPr>
      <w:r>
        <w:rPr>
          <w:rFonts w:ascii="Times New Roman" w:hAnsi="Times New Roman"/>
          <w:b/>
          <w:sz w:val="22"/>
        </w:rPr>
        <w:t>R.</w:t>
      </w:r>
      <w:proofErr w:type="gramStart"/>
      <w:r>
        <w:rPr>
          <w:rFonts w:ascii="Times New Roman" w:hAnsi="Times New Roman"/>
          <w:b/>
          <w:sz w:val="22"/>
        </w:rPr>
        <w:t>G.Tarih</w:t>
      </w:r>
      <w:proofErr w:type="gramEnd"/>
      <w:r>
        <w:rPr>
          <w:rFonts w:ascii="Times New Roman" w:hAnsi="Times New Roman"/>
          <w:b/>
          <w:sz w:val="22"/>
        </w:rPr>
        <w:t>-Sayı:23/12/2025-33116</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İTİRAZ YOLUNA BAŞVURAN:</w:t>
      </w:r>
      <w:r>
        <w:rPr>
          <w:rFonts w:ascii="Times New Roman" w:hAnsi="Times New Roman"/>
          <w:sz w:val="22"/>
        </w:rPr>
        <w:t xml:space="preserve"> Ankara 18. Aile Mahkemesi</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İTİRAZIN KONUSU:</w:t>
      </w:r>
      <w:r>
        <w:rPr>
          <w:rFonts w:ascii="Times New Roman" w:hAnsi="Times New Roman"/>
          <w:sz w:val="22"/>
        </w:rPr>
        <w:t xml:space="preserve"> 12/1/2011 tarihli ve 6100 sayılı Hukuk Muhakemeleri Kanunu’nun 140. maddesinin (4) numaralı fıkrasının Anayasa’nın 2., 5., 10. ve 36. maddelerine aykırılığı ileri sürülerek iptaline karar verilmesi talebidir.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OLAY:</w:t>
      </w:r>
      <w:r>
        <w:rPr>
          <w:rFonts w:ascii="Times New Roman" w:hAnsi="Times New Roman"/>
          <w:sz w:val="22"/>
        </w:rPr>
        <w:t xml:space="preserve"> Mal rejiminin tasfiyesine dayalı katılma alacağı davasında itiraz konusu kuralın Anayasa’ya aykırı olduğu kanısına varan Mahkeme, iptali için başvurmuştur.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 İPTALİ İSTENEN KANUN HÜKMÜ</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Kanun’un itiraz konusu kuralın da yer aldığı 140. maddesi şöyledir:</w:t>
      </w:r>
    </w:p>
    <w:p w:rsidR="00677FE1" w:rsidRDefault="004C2246">
      <w:pPr>
        <w:pStyle w:val="GvdeMetni"/>
        <w:spacing w:after="100" w:line="264" w:lineRule="auto"/>
        <w:ind w:right="283" w:firstLine="709"/>
        <w:jc w:val="both"/>
      </w:pPr>
      <w:r>
        <w:t>“</w:t>
      </w:r>
      <w:r>
        <w:rPr>
          <w:rFonts w:ascii="Times New Roman" w:hAnsi="Times New Roman"/>
          <w:i/>
          <w:sz w:val="22"/>
        </w:rPr>
        <w:t>Ön inceleme duruşması</w:t>
      </w:r>
    </w:p>
    <w:p w:rsidR="00677FE1" w:rsidRDefault="004C2246">
      <w:pPr>
        <w:pStyle w:val="GvdeMetni"/>
        <w:spacing w:after="100" w:line="264" w:lineRule="auto"/>
        <w:ind w:right="283" w:firstLine="709"/>
        <w:jc w:val="both"/>
        <w:rPr>
          <w:rFonts w:ascii="Times New Roman" w:hAnsi="Times New Roman"/>
          <w:i/>
          <w:sz w:val="22"/>
        </w:rPr>
      </w:pPr>
      <w:r>
        <w:rPr>
          <w:rFonts w:ascii="Times New Roman" w:hAnsi="Times New Roman"/>
          <w:i/>
          <w:sz w:val="22"/>
        </w:rPr>
        <w:t xml:space="preserve">MADDE 140- (1) Hâkim, ön inceleme duruşmasında, dava şartları ve ilk itirazlar hakkında karar verebilmek için gerekli görürse tarafları dinler; daha sonra, tarafların iddia ve savunmaları çerçevesinde, anlaştıkları ve anlaşamadıkları hususları tek tek tespit eder.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i/>
          <w:sz w:val="22"/>
        </w:rPr>
        <w:t xml:space="preserve">(2) Uyuşmazlık konularının tespitinden sonra hâkim, tarafları sulh ve arabuluculuğun esasları, süreci ve hukuki sonuçları hakkında aydınlatarak </w:t>
      </w:r>
      <w:proofErr w:type="spellStart"/>
      <w:r>
        <w:rPr>
          <w:rFonts w:ascii="Times New Roman" w:hAnsi="Times New Roman"/>
          <w:i/>
          <w:sz w:val="22"/>
        </w:rPr>
        <w:t>sulhe</w:t>
      </w:r>
      <w:proofErr w:type="spellEnd"/>
      <w:r>
        <w:rPr>
          <w:rFonts w:ascii="Times New Roman" w:hAnsi="Times New Roman"/>
          <w:sz w:val="22"/>
        </w:rPr>
        <w:t xml:space="preserve"> </w:t>
      </w:r>
      <w:r>
        <w:rPr>
          <w:rFonts w:ascii="Times New Roman" w:hAnsi="Times New Roman"/>
          <w:i/>
          <w:sz w:val="22"/>
        </w:rPr>
        <w:t xml:space="preserve">veya arabuluculuğa teşvik eder; bu konuda sonuç alınacağı kanaatine varırsa, bir defaya mahsus olmak üzere yeni bir duruşma günü tayin eder. </w:t>
      </w:r>
    </w:p>
    <w:p w:rsidR="00677FE1" w:rsidRDefault="004C2246">
      <w:pPr>
        <w:pStyle w:val="GvdeMetni"/>
        <w:spacing w:after="100" w:line="264" w:lineRule="auto"/>
        <w:ind w:right="283" w:firstLine="709"/>
        <w:jc w:val="both"/>
        <w:rPr>
          <w:rFonts w:ascii="Times New Roman" w:hAnsi="Times New Roman"/>
          <w:i/>
          <w:sz w:val="22"/>
        </w:rPr>
      </w:pPr>
      <w:r>
        <w:rPr>
          <w:rFonts w:ascii="Times New Roman" w:hAnsi="Times New Roman"/>
          <w:i/>
          <w:sz w:val="22"/>
        </w:rPr>
        <w:t>(3) Ön inceleme duruşmasının sonunda, tarafların sulh veya arabuluculuk faaliyetinden bir sonuç alıp almadıkları, sonuç alamadıkları takdirde anlaşamadıkları hususların nelerden ibaret olduğu tutanakla tespit edilir. Bu tutanağın altı, duruşmada hazır bulunan taraflarca imzalanır. Tahkikat bu tutanak esas alınmak suretiyle yürütülür.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i/>
          <w:sz w:val="22"/>
          <w:u w:val="single"/>
        </w:rPr>
        <w:t>(4)</w:t>
      </w:r>
      <w:r>
        <w:rPr>
          <w:rFonts w:ascii="Times New Roman" w:hAnsi="Times New Roman"/>
          <w:sz w:val="22"/>
          <w:u w:val="single"/>
        </w:rPr>
        <w:t xml:space="preserve"> </w:t>
      </w:r>
      <w:r>
        <w:rPr>
          <w:rFonts w:ascii="Times New Roman" w:hAnsi="Times New Roman"/>
          <w:b/>
          <w:i/>
          <w:sz w:val="22"/>
          <w:u w:val="single"/>
        </w:rPr>
        <w:t>Ön inceleme tek duruşmada tamamlanır. Zorunlu olan hâllerde bir defaya mahsus olmak üzere yeni bir duruşma günü tayin edilir</w:t>
      </w:r>
      <w:r>
        <w:rPr>
          <w:rFonts w:ascii="Times New Roman" w:hAnsi="Times New Roman"/>
          <w:i/>
          <w:sz w:val="22"/>
        </w:rPr>
        <w:t xml:space="preserve">.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i/>
          <w:sz w:val="22"/>
        </w:rPr>
        <w:t xml:space="preserve">(5) (Değişik:22/7/2020-7251/14 </w:t>
      </w:r>
      <w:proofErr w:type="spellStart"/>
      <w:r>
        <w:rPr>
          <w:rFonts w:ascii="Times New Roman" w:hAnsi="Times New Roman"/>
          <w:i/>
          <w:sz w:val="22"/>
        </w:rPr>
        <w:t>md.</w:t>
      </w:r>
      <w:proofErr w:type="spellEnd"/>
      <w:r>
        <w:rPr>
          <w:rFonts w:ascii="Times New Roman" w:hAnsi="Times New Roman"/>
          <w:i/>
          <w:sz w:val="22"/>
        </w:rPr>
        <w:t>) 139 uncu madde uyarınca yapılan ihtara rağmen dilekçelerinde gösterdikleri belgeleri sunmayan veya belgelerin getirtilmesi için gerekli açıklamayı yapmayan tarafın bu delillere dayanmaktan vazgeçmiş sayılmasına karar verilir.”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II. İLK İNCELEME</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 Anayasa Mahkemesi İçtüzüğü hükümleri uyarınca Kadir ÖZKAYA, Hasan Tahsin GÖKCAN, Basri BAĞCI, Engin YILDIRIM, Rıdvan GÜLEÇ, Recai AKYEL, Yıldız SEFERİNOĞLU, Selahaddin MENTEŞ, İrfan FİDAN, Kenan YAŞAR, Yılmaz AKÇİL, Ömer ÇINAR ve Metin </w:t>
      </w:r>
      <w:proofErr w:type="spellStart"/>
      <w:r>
        <w:rPr>
          <w:rFonts w:ascii="Times New Roman" w:hAnsi="Times New Roman"/>
          <w:sz w:val="22"/>
        </w:rPr>
        <w:t>KIRATLI’nın</w:t>
      </w:r>
      <w:proofErr w:type="spellEnd"/>
      <w:r>
        <w:rPr>
          <w:rFonts w:ascii="Times New Roman" w:hAnsi="Times New Roman"/>
          <w:sz w:val="22"/>
        </w:rPr>
        <w:t xml:space="preserve"> katılımlarıyla 22/4/2025 tarihinde yapılan ilk inceleme toplantısında öncelikle başvurunun yöntemine uygunluğu sorunu görüşülmüştür.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 30/3/2011 tarihli ve 6216 sayılı Anayasa Mahkemesinin Kuruluşu ve Yargılama Usulleri Hakkında Kanun'un “</w:t>
      </w:r>
      <w:r>
        <w:rPr>
          <w:rFonts w:ascii="Times New Roman" w:hAnsi="Times New Roman"/>
          <w:i/>
          <w:sz w:val="22"/>
        </w:rPr>
        <w:t>Anayasaya aykırılığın mahkemelerce ileri sürülmesi</w:t>
      </w:r>
      <w:r>
        <w:rPr>
          <w:rFonts w:ascii="Times New Roman" w:hAnsi="Times New Roman"/>
          <w:sz w:val="22"/>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Anayasa Mahkemesine göndereceği belirtilmiş; fıkranın (a) bendinde “</w:t>
      </w:r>
      <w:r>
        <w:rPr>
          <w:rFonts w:ascii="Times New Roman" w:hAnsi="Times New Roman"/>
          <w:i/>
          <w:sz w:val="22"/>
        </w:rPr>
        <w:t>İptali istenen kuralların Anayasanın hangi maddelerine aykırı olduklarını açıklayan gerekçeli başvuru kararının aslı</w:t>
      </w:r>
      <w:r>
        <w:rPr>
          <w:rFonts w:ascii="Times New Roman" w:hAnsi="Times New Roman"/>
          <w:sz w:val="22"/>
        </w:rPr>
        <w:t xml:space="preserve">”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w:t>
      </w:r>
      <w:r>
        <w:rPr>
          <w:rFonts w:ascii="Times New Roman" w:hAnsi="Times New Roman"/>
          <w:sz w:val="22"/>
        </w:rPr>
        <w:lastRenderedPageBreak/>
        <w:t>bağlanmıştır.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3. Anılan </w:t>
      </w:r>
      <w:proofErr w:type="spellStart"/>
      <w:r>
        <w:rPr>
          <w:rFonts w:ascii="Times New Roman" w:hAnsi="Times New Roman"/>
          <w:sz w:val="22"/>
        </w:rPr>
        <w:t>İçtüzük’ün</w:t>
      </w:r>
      <w:proofErr w:type="spellEnd"/>
      <w:r>
        <w:rPr>
          <w:rFonts w:ascii="Times New Roman" w:hAnsi="Times New Roman"/>
          <w:sz w:val="22"/>
        </w:rPr>
        <w:t xml:space="preserve"> 46. maddesinin (1) numaralı fıkrasının (a) bendinde itiraz yoluna başvuran mahkemenin gerekçeli kararında Anayasa’ya aykırılığı ileri sürülen hükümlerin her birinin Anayasa’nın hangi maddelerine hangi nedenlerle aykırı olduğunun ayrı ayrı ve gerekçeleriyle birlikte açıkça gösterilmesi gerektiği ifade edilmiştir.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4. </w:t>
      </w:r>
      <w:proofErr w:type="spellStart"/>
      <w:r>
        <w:rPr>
          <w:rFonts w:ascii="Times New Roman" w:hAnsi="Times New Roman"/>
          <w:sz w:val="22"/>
        </w:rPr>
        <w:t>İçtüzük’ün</w:t>
      </w:r>
      <w:proofErr w:type="spellEnd"/>
      <w:r>
        <w:rPr>
          <w:rFonts w:ascii="Times New Roman" w:hAnsi="Times New Roman"/>
          <w:sz w:val="22"/>
        </w:rPr>
        <w:t xml:space="preserve"> 49. maddesinin (1) numaralı fıkrasının (b) bendinde de Anayasa Mahkemesince yapılan ilk incelemede başvuruda eksikliklerin bulunduğu tespit edilirse itiraz yoluna ilişkin işlerde esas incelemeye geçilmeksizin başvurunun reddine karar verileceği belirtilmiştir.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5. İtiraz yoluna başvuran Mahkeme, 6100 sayılı Kanun’un 140. maddesinin (4) numaralı fıkrasının iptalini talep etmiştir. Anılan fıkranın birinci cümlesi ön inceleme aşamasının tek duruşmada tamamlanmasını, ikinci cümlesi ise zorunlu hâllerde ön inceleme duruşmasının bir defaya mahsus olmak üzere ertelenebileceğini öngörmektedir.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6. Yapılan incelemede gerekçeli başvuru kararında fıkranın birinci cümlesinin Anayasa’nın hangi maddelerine, hangi nedenlerle aykırı olduğunun ayrı ayrı ve gerekçeleriyle birlikte açıkça gösterilmediği anlaşılmaktadır. Bu itibarla anılan cümleye ilişkin başvurunun yöntemine uygun olmadığından reddi gerekir.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7. Açıklanan nedenle 12/1/2011 tarihli ve 6100 sayılı Hukuk Muhakemeleri Kanunu’nun 140. maddesinin (4) numaralı fıkrasının;</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A</w:t>
      </w:r>
      <w:r>
        <w:rPr>
          <w:rFonts w:ascii="Times New Roman" w:hAnsi="Times New Roman"/>
          <w:sz w:val="22"/>
        </w:rPr>
        <w:t>. Birinci cümlesinin iptaline karar verilmesi talebiyle yapılan itiraz başvurusunun 30/3/2011 tarihli ve 6216 sayılı Anayasa Mahkemesinin Kuruluşu ve Yargılama Usulleri Hakkında Kanun’un 40. maddesinin (4) numaralı fıkrası gereğince yöntemine uygun olmadığından REDDİNE,</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B.</w:t>
      </w:r>
      <w:r>
        <w:rPr>
          <w:rFonts w:ascii="Times New Roman" w:hAnsi="Times New Roman"/>
          <w:sz w:val="22"/>
        </w:rPr>
        <w:t xml:space="preserve"> İkinci cümlesinin esasının incelenmesine,</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OYBİRLİĞİYLE karar verilmiştir.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III. ESASIN İNCELENMESİ</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8. Başvuru kararı ve ekleri, Raportör Elif ÇELİKDEMİR ANKITCI tarafından hazırlanan işin esasına ilişkin rapor, itiraz konusu kanun hükmü, dayanılan ve ilgili görülen Anayasa kuralları ve bunların gerekçeleri ile diğer yasama belgeleri okunup incelendikten sonra gereği görüşülüp düşünüldü:</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A. Anlam ve Kapsam</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9. 6100 sayılı Kanun’da yargılama usulü olarak öngörülen basit ve yazılı yargılama usulünde dava, dilekçeler aşamasıyla başlamakta olup ön inceleme aşamasıyla devam etmektedir. Ön inceleme aşaması yazılı yargılama usulüne tabi davalarda anılan Kanun’un 137 ilâ 142. maddeleri arasında, basit yargılama usulüne tabi davalarda ise 320. maddesinde düzenlenmiştir.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10. Kanun’un 137. maddesinin (1) numaralı fıkrasında ön incelemenin dilekçeler aşamasının tamamlanmasının ardından yapılacağı, mahkemenin ön incelemede dava şartlarını ve ilk itirazları inceleyeceği, uyuşmazlık konusunu belirleyeceği, gerekli görürse sulh veya arabuluculuğa ilişkin işlemlerin yapılacağı belirtilmiştir.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11. 138. maddeye göre yazılı yargılama usulüne tabi davalarda mahkeme, dava şartları ve ilk itirazlar hakkında dosya üzerinden karar verir; gerektiği takdirde kararını vermeden önce bu konuda tarafları ön inceleme duruşmasında dinleyebilir. Dolayısıyla dava şartları ve ilk itirazlar hakkında tarafların dinlenilip dinlenilmemesi hâkimin takdirindedir. Mahkemece dava şartları ve ilk itirazlar hakkında ilgili dosya üzerinden inceleme yapılarak karar verebilirse de ön inceleme aşamasındaki diğer usul işlemleri için duruşma açılması gerekmektedir (benzer yönde Yargıtay Hukuk Genel Kurulu E. 2012/14-802, 2013/347, 13/3/2013).</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12. 139. maddede mahkemenin dilekçelerin karşılıklı verilmesinden ve 137. ve 138. maddeler gereğince dava şartları ve ilk itirazlar hakkındaki incelemeyi tamamladıktan sonra ön inceleme için bir </w:t>
      </w:r>
      <w:r>
        <w:rPr>
          <w:rFonts w:ascii="Times New Roman" w:hAnsi="Times New Roman"/>
          <w:sz w:val="22"/>
        </w:rPr>
        <w:lastRenderedPageBreak/>
        <w:t xml:space="preserve">duruşma günü tespit ederek taraflara bildireceği öngörülmüştür. Ayrıca 139. maddede çıkarılacak davetiyede duruşma davetiyesine ve sonuçlarına ilişkin diğer hususlar ile tarafların sulh için gerekli hazırlığı yapmaları, duruşmaya sadece taraflardan birinin gelmesi ve yargılamaya devam etmek istemesi durumunda gelmeyen tarafın yokluğunda yapılan işlemlere itiraz edemeyeceği, davetiyenin tebliğinden itibaren iki haftalık kesin süre içinde tarafların dilekçelerinde gösterdikleri ancak henüz sunmadıkları belgeleri mahkemeye sunmaları veya başka yerden getirtilecek belgelerin getirtilebilmesi amacıyla gereken açıklamayı yapmaları, bu hususların verilen süre içinde yerine getirilmemesi hâlinde o delile dayanmaktan vazgeçmiş sayılacaklarına karar verileceği hususlarının ihtar edileceği belirtilmiştir.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13. 140. maddenin (4) numaralı fıkrasının birinci cümlesinde ön incelemenin tek duruşmada tamamlanacağı belirtilmiştir. Anılan fıkranın itiraz konusu ikinci cümlesinde ise zorunlu olan hâllerde bir defaya mahsus olmak üzere yeni bir duruşma gününün tayin edileceği hükme bağlanmıştır.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14. Kurala konu </w:t>
      </w:r>
      <w:r>
        <w:rPr>
          <w:rFonts w:ascii="Times New Roman" w:hAnsi="Times New Roman"/>
          <w:i/>
          <w:sz w:val="22"/>
        </w:rPr>
        <w:t>zorunlu hâller</w:t>
      </w:r>
      <w:r>
        <w:rPr>
          <w:rFonts w:ascii="Times New Roman" w:hAnsi="Times New Roman"/>
          <w:sz w:val="22"/>
        </w:rPr>
        <w:t xml:space="preserve"> sayılmamakla birlikte bu hususta hâkime geniş bir takdir yetkisi verilmektedir. Tarafların veya vekillerinin haklı mazeretlerinin, mahkeme hâkiminden veya üçüncü kişilerden kaynaklanan sebeplerin zorunlu hâl kapsamında görülmesi mümkündür. Diğer yandan anılan maddenin (2) numaralı fıkrasında tarafların sulh veya arabuluculuk konusunda sonuç alınacağı kanaatine varılırsa bir defaya mahsus olmak üzere yeni bir duruşma gününün tayin edileceği düzenlenmiştir. Bu itibarla kuralda yer alan </w:t>
      </w:r>
      <w:r>
        <w:rPr>
          <w:rFonts w:ascii="Times New Roman" w:hAnsi="Times New Roman"/>
          <w:i/>
          <w:sz w:val="22"/>
        </w:rPr>
        <w:t>zorunlu hâller</w:t>
      </w:r>
      <w:r>
        <w:rPr>
          <w:rFonts w:ascii="Times New Roman" w:hAnsi="Times New Roman"/>
          <w:sz w:val="22"/>
        </w:rPr>
        <w:t xml:space="preserve"> kavramının sulh veya arabuluculuğa ilişkin işlemler dışındaki durumlar olduğu anlaşılmaktadır.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15. Öte yandan 322. maddenin (1) numaralı fıkrası gereğince bu Kanun ve diğer kanunlarda basit yargılama usulü hakkında hüküm bulunmayan hâllerde, yazılı yargılama usulüne ilişkin hükümler uygulanır. Basit yargılama usulüne tabi davalarda ön inceleme aşaması 320. maddenin (1) ve (2) numaralı fıkralarında düzenlenmiştir. Anılan maddenin (1) numaralı fıkrasında mahkemenin mümkün olan hâllerde tarafları duruşmaya davet etmeden dosya üzerinden karar vereceği düzenlenmiştir.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16. Maddenin (2) numaralı fıkrasında ise daha önce karar verilemeyen hâllerde mahkemenin ilk duruşmada dava şartları ve ilk itirazlarla hak düşürücü süre ve zamanaşımı hakkında tarafları dinleyeceği, daha sonra tarafların iddia ve savunmaları çerçevesinde anlaştıkları ve anlaşamadıkları hususları tek tek tespit edeceği, uyuşmazlık konularının tespitinden sonra hâkimin tarafları </w:t>
      </w:r>
      <w:proofErr w:type="spellStart"/>
      <w:r>
        <w:rPr>
          <w:rFonts w:ascii="Times New Roman" w:hAnsi="Times New Roman"/>
          <w:sz w:val="22"/>
        </w:rPr>
        <w:t>sulhe</w:t>
      </w:r>
      <w:proofErr w:type="spellEnd"/>
      <w:r>
        <w:rPr>
          <w:rFonts w:ascii="Times New Roman" w:hAnsi="Times New Roman"/>
          <w:sz w:val="22"/>
        </w:rPr>
        <w:t xml:space="preserve"> veya arabuluculuğa teşvik edeceği, tarafların sulh olup olmadıkları, sulh olmadıkları takdirde anlaşamadıkları hususların nelerden ibaret olduğunun tutanağa yazılacağı, tutanağın altının hazır bulunan taraflarca imzalanacağı ve tahkikatın bu tutanak esas alınmak suretiyle yürütüleceği belirtilmiştir.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17. Basit yargılama usulüne tabi davalarda ön inceleme duruşmasının ertelenemeyeceğine ilişkin olarak Kanun’da hüküm bulunmamakla birlikte 320. maddenin (3) numaralı fıkrasında tüm yargılamanın ön inceleme duruşması hariç iki duruşmada tamamlanacağı belirtilmiştir. Dolayısıyla 322. maddenin (1) numaralı fıkrası uyarınca yazılı yargılama usulüne ilişkin olan itiraz konusu kuralın basit yargılama usulüne tabi davalarda da uygulanmasına bir engel bulunmamakla birlikte basit yargılama usulüne ilişkin tahkikat aşamasının iki duruşmayla sınırlandığı anlaşılmaktadır.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B. İtirazın Gerekçesi</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18. Başvuru kararında özetle; teknik anlamda duruşma olmamasına rağmen uygulamada duruşma hâlini alan ön incelemenin itiraz konusu kural kapsamında taraflardan birinin katılmadığı veya mazeret bildirdiği durumlarda duruşmanın ertelenmesi nedeniyle yargılamanın uzadığı, ön inceleme duruşmasının ertelenmesine sebep olan zorunlu hâller kapsamında görülen taraf avukatlarının başka dava duruşmalarının bulunması nedeniyle söz konusu aşamanın tamamlanamadığı, bu durumun duruşmada hazır olan taraf açısından hak kaybına neden olduğu belirtilerek kuralın Anayasa’nın 2., 5., 10. ve 36. maddelerine aykırı olduğu ileri sürülmüştür.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C. Anayasa’ya Aykırılık Sorunu</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19. 6216 sayılı Kanun’un 43. maddesi uyarınca kural, ilgisi nedeniyle Anayasa’nın 141. ve 142. maddeleri yönünden de incelenmiştir.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lastRenderedPageBreak/>
        <w:t>20. Anayasa’nın 36. maddesinin birinci fıkrasında “</w:t>
      </w:r>
      <w:r>
        <w:rPr>
          <w:rFonts w:ascii="Times New Roman" w:hAnsi="Times New Roman"/>
          <w:i/>
          <w:sz w:val="22"/>
        </w:rPr>
        <w:t>Herkes, meşru vasıta ve yollardan faydalanmak suretiyle yargı mercileri önünde davacı veya davalı olarak iddia ve savunma ile adil yargılanma hakkına sahiptir.</w:t>
      </w:r>
      <w:r>
        <w:rPr>
          <w:rFonts w:ascii="Times New Roman" w:hAnsi="Times New Roman"/>
          <w:sz w:val="22"/>
        </w:rPr>
        <w:t>” denilerek yargı organlarına davacı ve davalı olarak başvurabilme hakkı ve bunun doğal sonucu olarak da iddia, savunma ve adil yargılanma hakkı güvence altına alınmıştır.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21. Anayasa’nın anılan maddesinde güvenceye bağlanan adil yargılanma hakkının önemli unsurlarından biri de makul sürede yargılanma hakkıdır. Anayasa’nın 141. maddesinin dördüncü fıkrasında da “</w:t>
      </w:r>
      <w:r>
        <w:rPr>
          <w:rFonts w:ascii="Times New Roman" w:hAnsi="Times New Roman"/>
          <w:i/>
          <w:sz w:val="22"/>
        </w:rPr>
        <w:t>Davaların en az giderle ve mümkün olan süratle sonuçlandırılması, yargının görevidir.</w:t>
      </w:r>
      <w:r>
        <w:rPr>
          <w:rFonts w:ascii="Times New Roman" w:hAnsi="Times New Roman"/>
          <w:sz w:val="22"/>
        </w:rPr>
        <w:t>” denilmek suretiyle davaların makul bir süre içinde bitirilmesi gerekliliği açıkça ifade edilmiştir. Bu hak gereğince devlet, yargılamaların gereksiz yere uzamasını engelleyecek etkin çareler oluşturmak zorundadır. Bu bağlamda hukuk sisteminin ve özellikle yargılama usulünün yargılamaların makul süre içinde bitirilmesini mümkün kılacak şekilde düzenlenmesi ile mahkemelerin nicelik ve nitelik bakımından yeterli miktarda insan kaynağı, araç ve gereçlerle donatılması makul sürede yargılanma ilkesinin bir gereğidir.</w:t>
      </w:r>
    </w:p>
    <w:p w:rsidR="00677FE1" w:rsidRDefault="004C2246">
      <w:pPr>
        <w:pStyle w:val="GvdeMetni"/>
        <w:spacing w:after="100" w:line="264" w:lineRule="auto"/>
        <w:ind w:right="283" w:firstLine="709"/>
        <w:jc w:val="both"/>
      </w:pPr>
      <w:r>
        <w:rPr>
          <w:rFonts w:ascii="Times New Roman" w:hAnsi="Times New Roman"/>
          <w:sz w:val="22"/>
        </w:rPr>
        <w:t>22. Hak arama özgürlüğü açısından devletin gerçekleştirmesi gereken pozitif yükümlülükleri bulunmaktadır. Bu kapsamda devletin bir yargı teşkilatı kurması gerektiği gibi mahkemelerin bağımsızlığını ve tarafsızlığını, silahların eşitliği, çelişmeli yargılama, aleni yargılama gibi maddi gerçeğe ulaşmak için gerekli usule ilişkin güvenceleri, davaların makul bir sürede ve usul ekonomisini gözeterek sonuçlandırılmasını da sağlaması gerekir (AYM, E.</w:t>
      </w:r>
      <w:hyperlink r:id="rId6" w:tgtFrame="_blank">
        <w:r>
          <w:rPr>
            <w:rStyle w:val="Kpr"/>
            <w:rFonts w:ascii="Times New Roman" w:hAnsi="Times New Roman"/>
            <w:sz w:val="22"/>
          </w:rPr>
          <w:t>2022/89</w:t>
        </w:r>
      </w:hyperlink>
      <w:r>
        <w:rPr>
          <w:rFonts w:ascii="Times New Roman" w:hAnsi="Times New Roman"/>
          <w:sz w:val="22"/>
        </w:rPr>
        <w:t>, K.2022/129, 26/10/2022, § 24).</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23. Anayasa’nın 142. maddesinde ise “</w:t>
      </w:r>
      <w:r>
        <w:rPr>
          <w:rFonts w:ascii="Times New Roman" w:hAnsi="Times New Roman"/>
          <w:i/>
          <w:sz w:val="22"/>
        </w:rPr>
        <w:t>Mahkemelerin kuruluşu, görev ve yetkileri, işleyişi ve yargılama usulleri kanunla düzenlenir.</w:t>
      </w:r>
      <w:r>
        <w:rPr>
          <w:rFonts w:ascii="Times New Roman" w:hAnsi="Times New Roman"/>
          <w:sz w:val="22"/>
        </w:rPr>
        <w:t>” hükmüne yer verilmiştir. Hukuk devletinde kanun koyucu, Anayasa’nın temel ilkelerine ve Anayasa’da öngörülen kurallara bağlı kalmak koşuluyla, yargılama usullerinin belirlenmesi konusunda takdir yetkisine sahiptir.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24. Davaların mümkün olan süratle sonuçlandırılmasını öngören Anayasa’nın 141. maddesi ile mahkemelerin kuruluşu, görev ve yetkileri, işleyişi ve yargılama usullerinin kanunla düzenleneceğini öngören Anayasa’nın 142. maddesinin Anayasa’nın 36. maddesiyle güvence altına alınan hak arama özgürlüğü ve adil yargılanma hakkının kapsamının belirlenmesinde gözetilmesi gerektiği açıktır. Anayasa’nın tüm maddeleri aynı etki ve değerde olup aralarında bir üstünlük sıralaması bulunmadığından uygulamada bunlardan birine öncelik tanımak mümkün değildir. Bu nedenle Anayasa’da ye alan aynı konuya ilişkin farklı düzenlemelerin, bunların birlikte uygulanmasını sağlayacak şekilde yorumlanması gerekir. </w:t>
      </w:r>
    </w:p>
    <w:p w:rsidR="00677FE1" w:rsidRDefault="004C2246">
      <w:pPr>
        <w:pStyle w:val="GvdeMetni"/>
        <w:spacing w:after="100" w:line="264" w:lineRule="auto"/>
        <w:ind w:right="283" w:firstLine="709"/>
        <w:jc w:val="both"/>
      </w:pPr>
      <w:r>
        <w:rPr>
          <w:rFonts w:ascii="Times New Roman" w:hAnsi="Times New Roman"/>
          <w:sz w:val="22"/>
        </w:rPr>
        <w:t>25. Bu bağlamda hukuk sisteminin ve özellikle yargılama usulünün yargılamaların makul süre içinde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olarak adil ve hakkaniyete uygun bir karar verilmesine engel oluşturmaması gerekir (AYM, E.</w:t>
      </w:r>
      <w:hyperlink r:id="rId7" w:tgtFrame="_blank">
        <w:r>
          <w:rPr>
            <w:rStyle w:val="Kpr"/>
            <w:rFonts w:ascii="Times New Roman" w:hAnsi="Times New Roman"/>
            <w:sz w:val="22"/>
          </w:rPr>
          <w:t>2017/120</w:t>
        </w:r>
      </w:hyperlink>
      <w:r>
        <w:rPr>
          <w:rFonts w:ascii="Times New Roman" w:hAnsi="Times New Roman"/>
          <w:sz w:val="22"/>
        </w:rPr>
        <w:t>, K.2018/33, 28/3/2018, § 20; E.</w:t>
      </w:r>
      <w:hyperlink r:id="rId8" w:tgtFrame="_blank">
        <w:r>
          <w:rPr>
            <w:rStyle w:val="Kpr"/>
            <w:rFonts w:ascii="Times New Roman" w:hAnsi="Times New Roman"/>
            <w:sz w:val="22"/>
          </w:rPr>
          <w:t>2023/60</w:t>
        </w:r>
      </w:hyperlink>
      <w:r>
        <w:rPr>
          <w:rFonts w:ascii="Times New Roman" w:hAnsi="Times New Roman"/>
          <w:sz w:val="22"/>
        </w:rPr>
        <w:t>, K.2023/176, 11/10/20</w:t>
      </w:r>
      <w:bookmarkStart w:id="0" w:name="_GoBack"/>
      <w:bookmarkEnd w:id="0"/>
      <w:r>
        <w:rPr>
          <w:rFonts w:ascii="Times New Roman" w:hAnsi="Times New Roman"/>
          <w:sz w:val="22"/>
        </w:rPr>
        <w:t>23, § 18).</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26. Ön inceleme aşamasıyla ilgili olarak 6100 sayılı Kanun’un genel gerekçesinde ifade edildiği üzere bu aşama, tahkikat aşamasından önce mahkemenin taraflar arasındaki uyuşmazlık noktalarını tespit etmek suretiyle tahkikatın sadece uyuşmazlığın ve uyuşmazlığa ilişkin delillerin incelendiği ve tartışıldığı bir aşama hâline getirilmesine; dosya için gerekli olan tüm delillerin toplanmasına, usule ilişkin dava şartları ve ilk itirazlar hakkında tahkikattan önce değerlendirme yapılmasına, tarafların sulh olmaları ya da alternatif uyuşmazlık çözüm yoluna başvurmalarına imkân tanımaktadır. Hukuk yargılamalarında ön inceleme, tahkikat aşamasının etkili ve düzenli bir şekilde yürütülmesini sağlayan </w:t>
      </w:r>
      <w:proofErr w:type="spellStart"/>
      <w:r>
        <w:rPr>
          <w:rFonts w:ascii="Times New Roman" w:hAnsi="Times New Roman"/>
          <w:sz w:val="22"/>
        </w:rPr>
        <w:t>usuli</w:t>
      </w:r>
      <w:proofErr w:type="spellEnd"/>
      <w:r>
        <w:rPr>
          <w:rFonts w:ascii="Times New Roman" w:hAnsi="Times New Roman"/>
          <w:sz w:val="22"/>
        </w:rPr>
        <w:t xml:space="preserve"> bir aşamadır. Söz konusu aşamada dava şartları ve ilk itirazlar değerlendirilerek yargılama sonuçlandırılabileceği gibi tarafların sulh veya arabuluculuk yoluyla da uyuşmazlığı sona erdirmeleri mümkün olabilecektir.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27. Yazılı yargılama usulüne tabi davalarda ön inceleme duruşmasında taraflara gönderilecek davetiyede duruşmaya sadece taraflardan birinin gelmesi ve yargılamaya devam etmek istemesi durumunda gelmeyen tarafın yokluğunda yapılan işlemlere itiraz edemeyeceği açıkça diğer tarafa bildirilecektir. Dolayısıyla ön inceleme duruşmasına taraflardan birinin mazeretsiz katılmaması hâlinde duruşmaya devam </w:t>
      </w:r>
      <w:r>
        <w:rPr>
          <w:rFonts w:ascii="Times New Roman" w:hAnsi="Times New Roman"/>
          <w:sz w:val="22"/>
        </w:rPr>
        <w:lastRenderedPageBreak/>
        <w:t xml:space="preserve">edilebileceği ve yargılamanın bu sebeple uzamayacağı açıktır. Tarafların mazeret göstermesi veya taraflardan kaynaklanmayan farklı nedenlerin zorunlu hâl kapsamında kalıp kalmayacağı mahkeme tarafından değerlendirilecektir. Sonuç olarak ön inceleme aşamasında dava ve ilk itirazlar hususunda tarafların dinlenip dinlenilmemesi veya ön incelemenin tek duruşmada tamamlanıp tamamlanmaması hâkimin takdirine bırakılmıştır. Söz konusu takdirin makul sürede yargılanma hakkını etkileyecek biçimde kullanılması somut olayın koşullarına göre değerlendirilecek hususlardan olup bu durumun kuraldan kaynaklanmadığı açıktır.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28. Anılan Kanun’un genel gerekçesinde de belirtildiği üzere ön inceleme aşamasının uyuşmazlığın esasının incelendiği tahkikat aşamasındaki faaliyetlerin etkili ve verimli bir şekilde yürütülmesine katkı sunduğu, tahkikat aşamasının ve uyuşmazlığın kısa sürede çözülmesi amacına hizmet ettiği gözetildiğinde kural kapsamında ön inceleme duruşmasının ancak zorunlu hâllerde bir defaya mahsus olmak üzere ertelenmesine imkân tanınmasının kanun koyucunun takdir yetkisi kapsamında yargılama usulüne ilişkin olarak öngördüğü hususlardan olduğu anlaşılmaktadır. Dolayısıyla ön inceleme duruşmasının ancak zorunlu hâllerde bir defaya mahsus olarak ertelenmesine imkân tanıyan kuralın yargılama sürecinin uzamasına neden olacağı söylenemez.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29. Açıklanan nedenlerle kural, Anayasa’nın 36., 141. ve 142. maddelerine aykırı değildir. İtirazın reddi gerekir.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Kuralın Anayasa’nın 2. ve 5. maddelerine de aykırı olduğu ileri sürülmüş ise de bu bağlamda belirtilen hususların Anayasa’nın 36., 141. ve 142. maddeleri yönünden yapılan değerlendirmeler kapsamında ele alınmış olması nedeniyle Anayasa’nın 2. ve 5. maddeleri yönünden ayrıca bir inceleme yapılmasına gerek görülmemiştir.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Kuralın Anayasa’nın 10. maddesiyle ilgisi görülmemiştir.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IV. HÜKÜM</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12/1/2011 tarihli ve 6100 sayılı Hukuk Muhakemeleri Kanunu’nun 140. maddesinin (4) numaralı fıkrasının ikinci cümlesinin Anayasa’ya aykırı olmadığına ve itirazın REDDİNE 10/9/2025 tarihinde OYBİRLİĞİYLE karar verildi.</w:t>
      </w:r>
    </w:p>
    <w:p w:rsidR="00677FE1" w:rsidRDefault="004C2246">
      <w:pPr>
        <w:pStyle w:val="GvdeMetni"/>
        <w:spacing w:line="240" w:lineRule="atLeast"/>
      </w:pPr>
      <w:r>
        <w:t>​</w:t>
      </w:r>
    </w:p>
    <w:tbl>
      <w:tblPr>
        <w:tblW w:w="5000" w:type="pct"/>
        <w:tblLayout w:type="fixed"/>
        <w:tblCellMar>
          <w:left w:w="0" w:type="dxa"/>
          <w:right w:w="0" w:type="dxa"/>
        </w:tblCellMar>
        <w:tblLook w:val="04A0" w:firstRow="1" w:lastRow="0" w:firstColumn="1" w:lastColumn="0" w:noHBand="0" w:noVBand="1"/>
      </w:tblPr>
      <w:tblGrid>
        <w:gridCol w:w="9638"/>
      </w:tblGrid>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Başkan</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Kadir ÖZKAYA</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Başkanvekili</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Hasan Tahsin GÖKCAN</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Başkanvekili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Basri BAĞCI</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Üye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Engin YILDIRIM</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Rıdvan GÜLEÇ</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Recai AKYEL</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Üye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Yusuf Şevki HAKYEMEZ</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Yıldız SEFERİNOĞLU</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Selahaddin MENTEŞ</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Üye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İrfan FİDAN</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Kenan YAŞAR</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Muhterem İNCE</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lastRenderedPageBreak/>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4819"/>
              <w:gridCol w:w="4819"/>
            </w:tblGrid>
            <w:tr w:rsidR="00677FE1">
              <w:trPr>
                <w:cantSplit/>
              </w:trPr>
              <w:tc>
                <w:tcPr>
                  <w:tcW w:w="2500"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Yılmaz AKÇİL</w:t>
                  </w:r>
                </w:p>
              </w:tc>
              <w:tc>
                <w:tcPr>
                  <w:tcW w:w="2500"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Ömer ÇINAR</w:t>
                  </w:r>
                </w:p>
              </w:tc>
            </w:tr>
          </w:tbl>
          <w:p w:rsidR="00677FE1" w:rsidRDefault="00677FE1">
            <w:pPr>
              <w:pStyle w:val="TableContents"/>
              <w:rPr>
                <w:sz w:val="4"/>
                <w:szCs w:val="4"/>
              </w:rPr>
            </w:pPr>
          </w:p>
        </w:tc>
      </w:tr>
    </w:tbl>
    <w:p w:rsidR="00677FE1" w:rsidRDefault="00677FE1">
      <w:pPr>
        <w:pStyle w:val="GvdeMetni"/>
      </w:pPr>
    </w:p>
    <w:sectPr w:rsidR="00677FE1">
      <w:headerReference w:type="default" r:id="rId9"/>
      <w:headerReference w:type="first" r:id="rId10"/>
      <w:pgSz w:w="11906" w:h="16838"/>
      <w:pgMar w:top="1134" w:right="1134" w:bottom="1134" w:left="1134" w:header="0"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39" w:rsidRDefault="00917139">
      <w:pPr>
        <w:spacing w:line="240" w:lineRule="auto"/>
      </w:pPr>
      <w:r>
        <w:separator/>
      </w:r>
    </w:p>
  </w:endnote>
  <w:endnote w:type="continuationSeparator" w:id="0">
    <w:p w:rsidR="00917139" w:rsidRDefault="00917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Liberation Sans Unicode MS">
    <w:charset w:val="01"/>
    <w:family w:val="auto"/>
    <w:pitch w:val="variable"/>
  </w:font>
  <w:font w:name="Liberation Sans">
    <w:altName w:val="Arial"/>
    <w:charset w:val="01"/>
    <w:family w:val="swiss"/>
    <w:pitch w:val="variable"/>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39" w:rsidRDefault="00917139">
      <w:pPr>
        <w:spacing w:line="240" w:lineRule="auto"/>
      </w:pPr>
      <w:r>
        <w:separator/>
      </w:r>
    </w:p>
  </w:footnote>
  <w:footnote w:type="continuationSeparator" w:id="0">
    <w:p w:rsidR="00917139" w:rsidRDefault="009171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E1" w:rsidRDefault="004C2246">
    <w:pPr>
      <w:spacing w:before="400" w:after="400"/>
    </w:pPr>
    <w:r>
      <w:rPr>
        <w:rFonts w:ascii="Times New Roman" w:hAnsi="Times New Roman"/>
      </w:rPr>
      <w:t xml:space="preserve">Esas </w:t>
    </w:r>
    <w:proofErr w:type="gramStart"/>
    <w:r>
      <w:rPr>
        <w:rFonts w:ascii="Times New Roman" w:hAnsi="Times New Roman"/>
      </w:rPr>
      <w:t>No  :</w:t>
    </w:r>
    <w:proofErr w:type="gramEnd"/>
    <w:r>
      <w:rPr>
        <w:rFonts w:ascii="Times New Roman" w:hAnsi="Times New Roman"/>
      </w:rPr>
      <w:t xml:space="preserve"> 2025/102</w:t>
    </w:r>
    <w:r>
      <w:rPr>
        <w:rFonts w:ascii="Times New Roman" w:hAnsi="Times New Roman"/>
      </w:rPr>
      <w:br/>
      <w:t>Karar No : 2025/182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E1" w:rsidRDefault="00677F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E1"/>
    <w:rsid w:val="004C2246"/>
    <w:rsid w:val="00677FE1"/>
    <w:rsid w:val="00917139"/>
    <w:rsid w:val="00B86A60"/>
    <w:rsid w:val="00FC2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DDDAB-5359-48FF-965F-F426BB47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tr-T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60" w:lineRule="auto"/>
    </w:pPr>
    <w:rPr>
      <w:rFonts w:ascii="Times New Roman;serif" w:eastAsia="Times New Roman;serif" w:hAnsi="Times New Roman;serif" w:cs="Times New Roman;serif"/>
      <w:color w:val="000000"/>
    </w:rPr>
  </w:style>
  <w:style w:type="paragraph" w:styleId="Balk1">
    <w:name w:val="heading 1"/>
    <w:basedOn w:val="Heading"/>
    <w:next w:val="GvdeMetni"/>
    <w:uiPriority w:val="9"/>
    <w:qFormat/>
    <w:pPr>
      <w:outlineLvl w:val="0"/>
    </w:pPr>
    <w:rPr>
      <w:rFonts w:ascii="Liberation Sans Unicode MS" w:hAnsi="Liberation Sans Unicode MS"/>
      <w:b/>
      <w:bCs/>
      <w:sz w:val="48"/>
      <w:szCs w:val="4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Kpr">
    <w:name w:val="Hyperlink"/>
    <w:rPr>
      <w:color w:val="000080"/>
      <w:u w:val="single"/>
    </w:rPr>
  </w:style>
  <w:style w:type="character" w:styleId="Gl">
    <w:name w:val="Strong"/>
    <w:qFormat/>
    <w:rPr>
      <w:b/>
      <w:bCs/>
    </w:rPr>
  </w:style>
  <w:style w:type="paragraph" w:customStyle="1" w:styleId="HorizontalLine">
    <w:name w:val="Horizontal Line"/>
    <w:basedOn w:val="Normal"/>
    <w:next w:val="GvdeMetni"/>
    <w:qFormat/>
    <w:pPr>
      <w:pBdr>
        <w:bottom w:val="double" w:sz="2" w:space="0" w:color="808080"/>
      </w:pBdr>
      <w:spacing w:after="283"/>
    </w:pPr>
    <w:rPr>
      <w:sz w:val="12"/>
    </w:rPr>
  </w:style>
  <w:style w:type="paragraph" w:styleId="ZarfDn">
    <w:name w:val="envelope return"/>
    <w:basedOn w:val="Normal"/>
    <w:rPr>
      <w:i/>
    </w:rPr>
  </w:style>
  <w:style w:type="paragraph" w:customStyle="1" w:styleId="TableContents">
    <w:name w:val="Table Contents"/>
    <w:basedOn w:val="GvdeMetni"/>
    <w:qFormat/>
  </w:style>
  <w:style w:type="paragraph" w:styleId="AltBilgi">
    <w:name w:val="footer"/>
    <w:basedOn w:val="Normal"/>
    <w:pPr>
      <w:suppressLineNumbers/>
      <w:tabs>
        <w:tab w:val="center" w:pos="4818"/>
        <w:tab w:val="right" w:pos="9637"/>
      </w:tabs>
    </w:pPr>
  </w:style>
  <w:style w:type="paragraph" w:styleId="stBilgi">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ResimYazs">
    <w:name w:val="caption"/>
    <w:basedOn w:val="Normal"/>
    <w:qFormat/>
    <w:pPr>
      <w:suppressLineNumbers/>
      <w:spacing w:before="120" w:after="120"/>
    </w:pPr>
    <w:rPr>
      <w:i/>
      <w:iCs/>
    </w:rPr>
  </w:style>
  <w:style w:type="paragraph" w:styleId="Liste">
    <w:name w:val="List"/>
    <w:basedOn w:val="GvdeMetni"/>
  </w:style>
  <w:style w:type="paragraph" w:styleId="GvdeMetni">
    <w:name w:val="Body Text"/>
    <w:basedOn w:val="Normal"/>
    <w:pPr>
      <w:spacing w:after="283" w:line="348" w:lineRule="auto"/>
    </w:pPr>
  </w:style>
  <w:style w:type="paragraph" w:customStyle="1" w:styleId="Heading">
    <w:name w:val="Heading"/>
    <w:basedOn w:val="Normal"/>
    <w:next w:val="GvdeMetni"/>
    <w:qFormat/>
    <w:pPr>
      <w:keepNext/>
      <w:spacing w:before="240" w:after="283"/>
    </w:pPr>
    <w:rPr>
      <w:rFonts w:ascii="Liberation Sans" w:hAnsi="Liberation Sans"/>
      <w:sz w:val="28"/>
      <w:szCs w:val="28"/>
    </w:rPr>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bbtest1.anayasa.gov.tr/kbb/pages/search/Tumu?id=a2JiOjRhOTBjM2Y3LWMyNzUtYjYwOC00N2YyLTg1MmVkMjM3OWI0OQ&amp;type=NormDenetimi" TargetMode="External"/><Relationship Id="rId3" Type="http://schemas.openxmlformats.org/officeDocument/2006/relationships/webSettings" Target="webSettings.xml"/><Relationship Id="rId7" Type="http://schemas.openxmlformats.org/officeDocument/2006/relationships/hyperlink" Target="https://kbbtest1.anayasa.gov.tr/kbb/pages/search/Tumu?id=a2JiOmFkMjhlMDM3LTA1ZjItNjQzYS1jYjgxLTAwYzdmYjNmZjhhNg&amp;type=NormDenetim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bbtest1.anayasa.gov.tr/kbb/pages/search/Tumu?id=a2JiOjAzMTVkNzQzLTVkNjAtNzg2Yi1iZWFlLWZjZDJhN2RiYjEzYQ&amp;type=NormDenetim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2801</Words>
  <Characters>15969</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Nilüfer SUCU</dc:creator>
  <cp:lastModifiedBy>Nilüfer SUCU</cp:lastModifiedBy>
  <cp:revision>2</cp:revision>
  <dcterms:created xsi:type="dcterms:W3CDTF">2026-04-02T13:14:00Z</dcterms:created>
  <dcterms:modified xsi:type="dcterms:W3CDTF">2026-04-02T13:14:00Z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