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1BA3" w14:textId="77777777" w:rsidR="004F695D" w:rsidRPr="004D3DA9" w:rsidRDefault="00860AB3"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w:t>
      </w:r>
      <w:r w:rsidR="004F695D" w:rsidRPr="004D3DA9">
        <w:rPr>
          <w:rFonts w:ascii="Times New Roman" w:hAnsi="Times New Roman" w:cs="Times New Roman"/>
          <w:color w:val="010000"/>
          <w:sz w:val="24"/>
          <w:szCs w:val="24"/>
        </w:rPr>
        <w:t>Mahkeme kararlarının hukuka uygunluğunun bir üst mahkemece denetlenmesi, anayasal bir gerekliliktir. “Anayasa ile güvence altına alınan hukukî korunma hakkı (Anayasa m. 36), sadece şeklî olarak bir yargılama yapılmasını değil, aynı zamanda adil ve doğru bir yargılamayı gerektirmektedir. Adil yargılanmanın teminatlarından biri de kanun yollarıdır.”</w:t>
      </w:r>
    </w:p>
    <w:p w14:paraId="1DC3584F" w14:textId="08B5E063"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İlk derece mahkemelerinin kararlarının hukuka uygunluğunun bir üst mahkemece yapılması şeklindeki iki dereceli sistem aslında Anayasa’nın bir gereğidir. Çünkü yargı yerlerinin verdikleri kararlarda gerek yanılma gerekse başka şekilde yorumlama sonucu ortaya çıkabilecek ve olağan sayılması gereken hukuka aykırılıkların zamanında giderilmesi amacıyla öngörülen </w:t>
      </w:r>
      <w:proofErr w:type="spellStart"/>
      <w:r w:rsidRPr="004D3DA9">
        <w:rPr>
          <w:rFonts w:ascii="Times New Roman" w:hAnsi="Times New Roman" w:cs="Times New Roman"/>
          <w:color w:val="010000"/>
          <w:sz w:val="24"/>
          <w:szCs w:val="24"/>
        </w:rPr>
        <w:t>methodlardan</w:t>
      </w:r>
      <w:proofErr w:type="spellEnd"/>
      <w:r w:rsidRPr="004D3DA9">
        <w:rPr>
          <w:rFonts w:ascii="Times New Roman" w:hAnsi="Times New Roman" w:cs="Times New Roman"/>
          <w:color w:val="010000"/>
          <w:sz w:val="24"/>
          <w:szCs w:val="24"/>
        </w:rPr>
        <w:t xml:space="preserve"> biri de iki dereceli yargılamadır ve kanun yollarına başvurabilme imkânının kişiye ve topluma güvence sağlaması açısından Anayasa’ya uygun ve hukuk devletinin bir gereği olduğu açıktır.</w:t>
      </w:r>
    </w:p>
    <w:p w14:paraId="6A1F99A0" w14:textId="245C6C5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İstinaf mahkemelerinin yeniden esas hakkında karar vermeler gerekliliğinin, istinaf mahkemeleri bakımından </w:t>
      </w:r>
      <w:proofErr w:type="spellStart"/>
      <w:r w:rsidRPr="004D3DA9">
        <w:rPr>
          <w:rFonts w:ascii="Times New Roman" w:hAnsi="Times New Roman" w:cs="Times New Roman"/>
          <w:color w:val="010000"/>
          <w:sz w:val="24"/>
          <w:szCs w:val="24"/>
        </w:rPr>
        <w:t>takdiren</w:t>
      </w:r>
      <w:proofErr w:type="spellEnd"/>
      <w:r w:rsidRPr="004D3DA9">
        <w:rPr>
          <w:rFonts w:ascii="Times New Roman" w:hAnsi="Times New Roman" w:cs="Times New Roman"/>
          <w:color w:val="010000"/>
          <w:sz w:val="24"/>
          <w:szCs w:val="24"/>
        </w:rPr>
        <w:t xml:space="preserve"> kullanılacak bir hak değil, yasadan ve istinaf yasa yolunun anlam ve amacından kaynaklanan bir görev olduğunun altı çizilmelidir. [4]</w:t>
      </w:r>
    </w:p>
    <w:p w14:paraId="405772FC" w14:textId="08D9BE0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...uygulamada istinaf mahkemelerinin esasen bir ayrık durum olarak öngörülen HMK m. 353/1-a/6’daki hükmün arkasına gizlenerek, yeniden esas hakkında karar vermekten kaçınmaları, küçük/minyatür bir temyiz mahkemesi refleks ile hareket etmeleri sorunlar yaratmaktadır. (Akkaya, “İstinaf incelemesi," 176-7) (Murat Fatih Ülkü, "İstinaf Mahkemelerinin Yeniden Karar Vermekten Kaçınmasının Yarattığı Sorunlar Üzerine" s.536). İtirazın konusu da tam olarak bu husustur.</w:t>
      </w:r>
    </w:p>
    <w:p w14:paraId="75E2FDF1"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 dönemde, tam da beklendiği gibi, istinaf mahkemeleri kendilerini küçük/minyatür bir temyiz mahkemesi gibi görerek, HMK m. 353/1-a/6’yı içerik ve amacı dışında yorumlayan/yeniden karar vermemek amacıyla kullanan ve “kaldırma” kararını “bozma” kararı gibi kullanan bir yaklaşım sergilemişlerdir. (Murat Fatih Ülkü, "İstinaf Mahkemelerinin Yeniden Karar Vermekten Kaçınmasının Yarattığı Sorunlar Üzerine" s.538) [9] [10]</w:t>
      </w:r>
    </w:p>
    <w:p w14:paraId="2CBE5262" w14:textId="28F2E22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Uygulamada istinaf mahkemesince kolayca tamamlanabilecek/düzeltilebilecek eksiklerde dahi, “kaldırma ve esas hakkında yeniden karar verme” yerine sadece “kaldırma ve HMK m. 353/1-a/6 hükmü gerekçe gösterilerek ilk derece mahkemesine gönderme” kararı ile yetinilmiştir.</w:t>
      </w:r>
    </w:p>
    <w:p w14:paraId="595C2B07" w14:textId="3234A6E1"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Yasa koyucu bununla yetinmeyip 7251 sayılı kanunla HMK m. 353/1-a/6’yı </w:t>
      </w:r>
      <w:proofErr w:type="gramStart"/>
      <w:r w:rsidRPr="004D3DA9">
        <w:rPr>
          <w:rFonts w:ascii="Times New Roman" w:hAnsi="Times New Roman" w:cs="Times New Roman"/>
          <w:color w:val="010000"/>
          <w:sz w:val="24"/>
          <w:szCs w:val="24"/>
        </w:rPr>
        <w:t>değiştirmiştir</w:t>
      </w:r>
      <w:proofErr w:type="gramEnd"/>
      <w:r w:rsidRPr="004D3DA9">
        <w:rPr>
          <w:rFonts w:ascii="Times New Roman" w:hAnsi="Times New Roman" w:cs="Times New Roman"/>
          <w:color w:val="010000"/>
          <w:sz w:val="24"/>
          <w:szCs w:val="24"/>
        </w:rPr>
        <w:t>. Bu değişikliğe göre HMK m. 353/1-a/6 şu biçimi almıştır: “Mahkemece, uyuşmazlığın çözümünde etkili olabilecek ölçüde önemli delillerin toplanmamış veya değerlendirilmemiş olması ya da talebin önemli bir kısmı hakkında karar verilmemiş olması” Bölge adliye mahkemelerinin istinaf yasa yolunun anlam ve amacı ile bağdaşmayan ve HMK m. 353/1-a/6’nın ilk haline tamamen aykırı yorumlarını cesaretlendirecek nitelikteki bu değişiklik, öğretide eleştirilmiştir. [14]</w:t>
      </w:r>
    </w:p>
    <w:p w14:paraId="3FEB9172"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Gerçekten, yasanın ilk halinde, istinafın “düzeltici yasa yolu” niteliğinden hareketle, </w:t>
      </w:r>
      <w:proofErr w:type="spellStart"/>
      <w:r w:rsidRPr="004D3DA9">
        <w:rPr>
          <w:rFonts w:ascii="Times New Roman" w:hAnsi="Times New Roman" w:cs="Times New Roman"/>
          <w:color w:val="010000"/>
          <w:sz w:val="24"/>
          <w:szCs w:val="24"/>
        </w:rPr>
        <w:t>istnaf</w:t>
      </w:r>
      <w:proofErr w:type="spellEnd"/>
      <w:r w:rsidRPr="004D3DA9">
        <w:rPr>
          <w:rFonts w:ascii="Times New Roman" w:hAnsi="Times New Roman" w:cs="Times New Roman"/>
          <w:color w:val="010000"/>
          <w:sz w:val="24"/>
          <w:szCs w:val="24"/>
        </w:rPr>
        <w:t xml:space="preserve"> aşamasında, ilk derece mahkemesi kararı kaldırıldıktan sonra ilkesel olarak esas hakkında yeniden karar verilmesi yaklaşımına uygun bir hüküm dahi, uygulamada bölge adliye mahkemelerince yeniden karar vermekten kaçınmak amaçlı kullanılır iken; bu yasa değişikliğinden sonra, “uyuşmazlığın çözümünde </w:t>
      </w:r>
      <w:proofErr w:type="spellStart"/>
      <w:r w:rsidRPr="004D3DA9">
        <w:rPr>
          <w:rFonts w:ascii="Times New Roman" w:hAnsi="Times New Roman" w:cs="Times New Roman"/>
          <w:color w:val="010000"/>
          <w:sz w:val="24"/>
          <w:szCs w:val="24"/>
        </w:rPr>
        <w:t>etkli</w:t>
      </w:r>
      <w:proofErr w:type="spellEnd"/>
      <w:r w:rsidRPr="004D3DA9">
        <w:rPr>
          <w:rFonts w:ascii="Times New Roman" w:hAnsi="Times New Roman" w:cs="Times New Roman"/>
          <w:color w:val="010000"/>
          <w:sz w:val="24"/>
          <w:szCs w:val="24"/>
        </w:rPr>
        <w:t xml:space="preserve"> olabilecek ölçüde” gibi yoruma açık bir </w:t>
      </w:r>
      <w:r w:rsidRPr="004D3DA9">
        <w:rPr>
          <w:rFonts w:ascii="Times New Roman" w:hAnsi="Times New Roman" w:cs="Times New Roman"/>
          <w:color w:val="010000"/>
          <w:sz w:val="24"/>
          <w:szCs w:val="24"/>
        </w:rPr>
        <w:lastRenderedPageBreak/>
        <w:t>ifadenin, bölge adliye mahkemelerinin istinaf yasa yolunun amacı ile bağdaşmayan yaklaşımlarını daha da artıracağı açıktır.</w:t>
      </w:r>
    </w:p>
    <w:p w14:paraId="4B379D74"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İlk derece mahkemesi hükmünü maddî hukukun doğru uygulanıp uygulanmadığı ve yapılan tespitlerin doğruluğu noktasında denetlemek ve olası hataları ortadan kaldırmaktır.</w:t>
      </w:r>
    </w:p>
    <w:p w14:paraId="2FA03938"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Yapılan değişikliklerle, ayrıca, istinaf incelemesinin vakıa değerlendirmesi görevi sınırlandırılmıştır.</w:t>
      </w:r>
    </w:p>
    <w:p w14:paraId="30BFD729"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Bölge Adliye Mahkemesi kararlarına direnme yolunun açılması gerektiğinin birçok sebebi vardır. İlk olarak hukuki belirsizlikler giderilecektir. Bölge adliye mahkemeleri, bazı durumlarda önceki içtihatlardan veya başka dairelerden farklı kararlar verebilmektedir. Bu durum, hukuk uygulayıcıları arasında belirsizlik yaratmakta ve yargının öngörülebilirliğini zedelemektedir. İkinci olarak adaletin tecellisi sağlanmış olacaktır. Yargılamanın tarafları veya hakimler bölge adliye mahkemesi kararlarının adil olmadığını düşünerek, bu kararlara direnebilecek ve üst yargı organlarına başvurabilecektir. Üçüncü olarak ise yargı hataları giderilmiş olacaktır. Yerel mahkemelerce hata yapılabildiği gibi Bölge adliye mahkemelerince de hata yapılabilmektedir. Direnme yolunun açılması ile bu hataların giderilmesi sağlanacaktır. Söz konusu olumsuz durum, açık şekilde hak arama özgürlüğüne aykırıdır ve savunma hakkının ihlalidir.</w:t>
      </w:r>
    </w:p>
    <w:p w14:paraId="4AAE141D" w14:textId="7271285E"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Bölge adliye mahkemesinin gönderme kararı sadece m. 353/f.1- a kapsamında </w:t>
      </w:r>
      <w:proofErr w:type="spellStart"/>
      <w:r w:rsidRPr="004D3DA9">
        <w:rPr>
          <w:rFonts w:ascii="Times New Roman" w:hAnsi="Times New Roman" w:cs="Times New Roman"/>
          <w:color w:val="010000"/>
          <w:sz w:val="24"/>
          <w:szCs w:val="24"/>
        </w:rPr>
        <w:t>usûlî</w:t>
      </w:r>
      <w:proofErr w:type="spellEnd"/>
      <w:r w:rsidRPr="004D3DA9">
        <w:rPr>
          <w:rFonts w:ascii="Times New Roman" w:hAnsi="Times New Roman" w:cs="Times New Roman"/>
          <w:color w:val="010000"/>
          <w:sz w:val="24"/>
          <w:szCs w:val="24"/>
        </w:rPr>
        <w:t xml:space="preserve"> gerekçelerle verilebilecek olup, bu kararlar kesin verilmekle dosya kendisine gönderilen mahkeme karar doğrultusunda hareket etmek zorundadır. İstinaf incelemesi sonucu uyuşmazlığın esasına ilişkin ulaştığı sonuçlar hakkında bölge adliye mahkemesi kendisi karar vermek zorundadır. Bu karar ya istinaf başvurusunun esastan reddi şeklinde ya da esasa ilişkin hüküm vermek şeklinde olacaktır. Bu nedenle esasa ilişkin verilen kararlara karşı başvuru mümkünse (m. 361, 362) temyiz kanun yoluna başvurulabilecektir. Bölge adliye mahkemesinin uyuşmazlığın esasına ilişkin değerlendirme yaparak bu hususta verilecek kararı ilk derece mahkemesine göndererek ona bırakması istinaf sistemine aykırıdır. Üstelik öngörülmemiş bu husus hakkında gönderme kararlarının m. 353 f.</w:t>
      </w:r>
      <w:proofErr w:type="gramStart"/>
      <w:r w:rsidRPr="004D3DA9">
        <w:rPr>
          <w:rFonts w:ascii="Times New Roman" w:hAnsi="Times New Roman" w:cs="Times New Roman"/>
          <w:color w:val="010000"/>
          <w:sz w:val="24"/>
          <w:szCs w:val="24"/>
        </w:rPr>
        <w:t>1 a</w:t>
      </w:r>
      <w:proofErr w:type="gramEnd"/>
      <w:r w:rsidRPr="004D3DA9">
        <w:rPr>
          <w:rFonts w:ascii="Times New Roman" w:hAnsi="Times New Roman" w:cs="Times New Roman"/>
          <w:color w:val="010000"/>
          <w:sz w:val="24"/>
          <w:szCs w:val="24"/>
        </w:rPr>
        <w:t xml:space="preserve"> belirtilerek kesin şekilde verilerek gönderilmesi ve ilk derece mahkemesinin bu kararlara karşı direnme gibi bir hukuki yola başvurmasının da mümkün olamaması bölge adliye mahkemelerinin temyiz rolünü üstlenerek rol çaldıklarını göstermektedir. (Cenk Akil, İstinaf Kavramı, Ankara 2010, s. 217)</w:t>
      </w:r>
    </w:p>
    <w:p w14:paraId="5F423E11" w14:textId="2FCA7B1C"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proofErr w:type="spellStart"/>
      <w:r w:rsidRPr="004D3DA9">
        <w:rPr>
          <w:rFonts w:ascii="Times New Roman" w:hAnsi="Times New Roman" w:cs="Times New Roman"/>
          <w:color w:val="010000"/>
          <w:sz w:val="24"/>
          <w:szCs w:val="24"/>
        </w:rPr>
        <w:t>HMK’nın</w:t>
      </w:r>
      <w:proofErr w:type="spellEnd"/>
      <w:r w:rsidRPr="004D3DA9">
        <w:rPr>
          <w:rFonts w:ascii="Times New Roman" w:hAnsi="Times New Roman" w:cs="Times New Roman"/>
          <w:color w:val="010000"/>
          <w:sz w:val="24"/>
          <w:szCs w:val="24"/>
        </w:rPr>
        <w:t xml:space="preserve"> 373. maddesinde Yargıtay’ın bozma kararına karşı kararı ilk derece mahkemesinin veya bölge adliye mahkemesinin direnebileceği hüküm altına alınmıştır. Temyiz kanun yolu, istinaf kanun yolundan farklı olarak sadece hukuka uygunluk denetimi yapmakta olup, verdiği bozma kararına ilk derece mahkemesi direnebilmektedir. Oysaki istinaf incelemesi sonucunda istinaf başvurusunun haklı bulunarak ilk derece mahkemesi kararının kaldırılması sonucu uyuşmazlığın esası incelenerek verilen gönderme kararına bu türden bir gönderme kararının verilebileceği kanunda düzenlenmemiş olduğundan ilk derece mahkemesi direnme kararı veremeyerek gönderme kararına uygun işlem yapmak zorunda kalmaktadır. Bu sebeple istinaf başvurusunun kabulü üzerine uyuşmazlığı esas bakımdan inceleyen bölge adliye mahkemesinin bu hususta gönderme kararı vermesi ve dayatması sonucunda ilk derece mahkemesinin direnememesi, inanmadığı bir hükme imza atması savunma hakkının ve hâkimlerin vicdani kanaate göre karar vermesi gerektiğine dair Anayasadaki amir hükmün çiğnenmesidir. (Prof. Dr. Nedim MERİÇ, Doç. Dr. Ahmet Cahit İYİLİKLİ, "Hükmün Dikte Edilmesi" s.21)</w:t>
      </w:r>
    </w:p>
    <w:p w14:paraId="5E6440D2" w14:textId="5CF4983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lastRenderedPageBreak/>
        <w:t>Hukuk Muhakemeleri Kanunu’nda istinaf incelemesi hukuka uygunluk denetiminden ibaret değildir, istinafta aynı zamanda vakıaya uygun şekilde karar verilip verilmediği de incelenmektedir. (</w:t>
      </w:r>
      <w:proofErr w:type="spellStart"/>
      <w:r w:rsidRPr="004D3DA9">
        <w:rPr>
          <w:rFonts w:ascii="Times New Roman" w:hAnsi="Times New Roman" w:cs="Times New Roman"/>
          <w:color w:val="010000"/>
          <w:sz w:val="24"/>
          <w:szCs w:val="24"/>
        </w:rPr>
        <w:t>Öztek</w:t>
      </w:r>
      <w:proofErr w:type="spellEnd"/>
      <w:r w:rsidRPr="004D3DA9">
        <w:rPr>
          <w:rFonts w:ascii="Times New Roman" w:hAnsi="Times New Roman" w:cs="Times New Roman"/>
          <w:color w:val="010000"/>
          <w:sz w:val="24"/>
          <w:szCs w:val="24"/>
        </w:rPr>
        <w:t>, İstinaf, s. 68; Akil, İstinaf, s. 205)21</w:t>
      </w:r>
    </w:p>
    <w:p w14:paraId="6CC02CBA" w14:textId="418ACF49"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 minvalde istinaf kanun yolunda istinaf başvurusunun kabulü üzerine bölge adliye mahkemesinin ilk derece mahkemesinin kararını ortadan kaldırarak kendi kanaati doğrultusunda karar vermesi için dosyayı ilk derece mahkemesine göndermesi usul kurallarının ve yargılama ilkelerinin açıkça bertaraf edilmesidir.</w:t>
      </w:r>
    </w:p>
    <w:p w14:paraId="1D040027" w14:textId="57B122A4"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Uygulamada birden fazla üst mahkemenin olması içtihat birliğini bozmaktadır. Bu ise hukukî bütünlüğü zedelemektedir. Ayrıca ülkede yasalar tek olsa da bölgelere göre uygulama farklılığı olduğundan farklı yönetim bölgeleri varmışçasına farklı kararların çıkmasına sebebiyet vermektedir. Bu durumdan sadece hak arama gayesinde olan vatandaş ve hüküm veren yerel mahkemeler değil, istinaf hakimleri de </w:t>
      </w:r>
      <w:proofErr w:type="spellStart"/>
      <w:r w:rsidRPr="004D3DA9">
        <w:rPr>
          <w:rFonts w:ascii="Times New Roman" w:hAnsi="Times New Roman" w:cs="Times New Roman"/>
          <w:color w:val="010000"/>
          <w:sz w:val="24"/>
          <w:szCs w:val="24"/>
        </w:rPr>
        <w:t>müzdariptir</w:t>
      </w:r>
      <w:proofErr w:type="spellEnd"/>
      <w:r w:rsidRPr="004D3DA9">
        <w:rPr>
          <w:rFonts w:ascii="Times New Roman" w:hAnsi="Times New Roman" w:cs="Times New Roman"/>
          <w:color w:val="010000"/>
          <w:sz w:val="24"/>
          <w:szCs w:val="24"/>
        </w:rPr>
        <w:t>.</w:t>
      </w:r>
    </w:p>
    <w:p w14:paraId="3D8688B9"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Gayemiz bölge adliye mahkemelerindeki yargı mensuplarını eleştirmek veya verdikleri kararları vasıfsız olarak nitelemek değildir. Katiyen bu istikamette bir düşünceye müsaade etmemekteyiz. Gayemiz ortada herkesçe dile getirilen, herkesin yakındığı bir soruna çözüm metodu geliştirmektir. Hukuk kurallarının herkesçe aynı şekilde yorumlanmasının </w:t>
      </w:r>
      <w:proofErr w:type="gramStart"/>
      <w:r w:rsidRPr="004D3DA9">
        <w:rPr>
          <w:rFonts w:ascii="Times New Roman" w:hAnsi="Times New Roman" w:cs="Times New Roman"/>
          <w:color w:val="010000"/>
          <w:sz w:val="24"/>
          <w:szCs w:val="24"/>
        </w:rPr>
        <w:t>imkansız</w:t>
      </w:r>
      <w:proofErr w:type="gramEnd"/>
      <w:r w:rsidRPr="004D3DA9">
        <w:rPr>
          <w:rFonts w:ascii="Times New Roman" w:hAnsi="Times New Roman" w:cs="Times New Roman"/>
          <w:color w:val="010000"/>
          <w:sz w:val="24"/>
          <w:szCs w:val="24"/>
        </w:rPr>
        <w:t xml:space="preserve"> olduğunun bilincinde olarak uygulamada yeknesaklığı sağlama gayesiyle bu itiraz davası açılmıştır. </w:t>
      </w:r>
      <w:proofErr w:type="spellStart"/>
      <w:r w:rsidRPr="004D3DA9">
        <w:rPr>
          <w:rFonts w:ascii="Times New Roman" w:hAnsi="Times New Roman" w:cs="Times New Roman"/>
          <w:color w:val="010000"/>
          <w:sz w:val="24"/>
          <w:szCs w:val="24"/>
        </w:rPr>
        <w:t>Bamlar</w:t>
      </w:r>
      <w:proofErr w:type="spellEnd"/>
      <w:r w:rsidRPr="004D3DA9">
        <w:rPr>
          <w:rFonts w:ascii="Times New Roman" w:hAnsi="Times New Roman" w:cs="Times New Roman"/>
          <w:color w:val="010000"/>
          <w:sz w:val="24"/>
          <w:szCs w:val="24"/>
        </w:rPr>
        <w:t xml:space="preserve"> arasındaki uygulama farklılığı bir yana dursun aynı </w:t>
      </w:r>
      <w:proofErr w:type="spellStart"/>
      <w:r w:rsidRPr="004D3DA9">
        <w:rPr>
          <w:rFonts w:ascii="Times New Roman" w:hAnsi="Times New Roman" w:cs="Times New Roman"/>
          <w:color w:val="010000"/>
          <w:sz w:val="24"/>
          <w:szCs w:val="24"/>
        </w:rPr>
        <w:t>bamın</w:t>
      </w:r>
      <w:proofErr w:type="spellEnd"/>
      <w:r w:rsidRPr="004D3DA9">
        <w:rPr>
          <w:rFonts w:ascii="Times New Roman" w:hAnsi="Times New Roman" w:cs="Times New Roman"/>
          <w:color w:val="010000"/>
          <w:sz w:val="24"/>
          <w:szCs w:val="24"/>
        </w:rPr>
        <w:t xml:space="preserve"> farklı daireleri arasında dahi farklı uygulamalar söz konusu olabilmektedir. Hatta bir adım ilerisini söylemek gerekirse aynı neviden dosyalarda aynı bam dairesinde dönemsel olarak değişen görüşe göre farklı kararlar verilebildiği gibi kesin olan kararlar ile temyiz yolu açık olan kararlar arasında dahi farklılık oluşabilmektedir. Deyim yerindeyse bazı dava türlerinde dava açtığınız şehir, dosyanın incelendiği bam dairesinin görüşü ve uygulaması gözetildiğinde hakkın tamamen şans üzerine tecelli ettiği ve böylece vatandaşın hukukta öngörülebilirlik güvencesinin çiğnendiği, adalete güvenin azaldığı, farklı uygulamalar nedeniyle eşitlik ilkesine aykırı uygulamalar sebep olunduğu anlaşılacaktır. Bu içtihat zenginliği gibi anlaşılsa da uygulamada </w:t>
      </w:r>
      <w:proofErr w:type="spellStart"/>
      <w:r w:rsidRPr="004D3DA9">
        <w:rPr>
          <w:rFonts w:ascii="Times New Roman" w:hAnsi="Times New Roman" w:cs="Times New Roman"/>
          <w:color w:val="010000"/>
          <w:sz w:val="24"/>
          <w:szCs w:val="24"/>
        </w:rPr>
        <w:t>çokbaşlılık</w:t>
      </w:r>
      <w:proofErr w:type="spellEnd"/>
      <w:r w:rsidRPr="004D3DA9">
        <w:rPr>
          <w:rFonts w:ascii="Times New Roman" w:hAnsi="Times New Roman" w:cs="Times New Roman"/>
          <w:color w:val="010000"/>
          <w:sz w:val="24"/>
          <w:szCs w:val="24"/>
        </w:rPr>
        <w:t xml:space="preserve">, keyfilikten öte değildir. Uygulamada hâlihazırda </w:t>
      </w:r>
      <w:proofErr w:type="spellStart"/>
      <w:r w:rsidRPr="004D3DA9">
        <w:rPr>
          <w:rFonts w:ascii="Times New Roman" w:hAnsi="Times New Roman" w:cs="Times New Roman"/>
          <w:color w:val="010000"/>
          <w:sz w:val="24"/>
          <w:szCs w:val="24"/>
        </w:rPr>
        <w:t>BAM’ın</w:t>
      </w:r>
      <w:proofErr w:type="spellEnd"/>
      <w:r w:rsidRPr="004D3DA9">
        <w:rPr>
          <w:rFonts w:ascii="Times New Roman" w:hAnsi="Times New Roman" w:cs="Times New Roman"/>
          <w:color w:val="010000"/>
          <w:sz w:val="24"/>
          <w:szCs w:val="24"/>
        </w:rPr>
        <w:t xml:space="preserve"> farklı daireleri arasında görüş ayrılıklarının bulunması, kanun yolu aşamasında dahi içtihat birliğinin oluşmadığı anlamına gelmektedir ve istinaf yargılamasında verilen karara duyulan güveni sarsmaktadır.</w:t>
      </w:r>
    </w:p>
    <w:p w14:paraId="3A00A3C2" w14:textId="344F0CF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Yine bilindiği gibi, istinaf yasa yolunun, yurttaşların yargıya güvenlerinin azalmasında önemli etkenlerden olan yargının yavaş işlemesi sorununa çözüm getireceği yönündeki 1990’ların sonundan itibaren yoğunlaşan söylem önemli bir beklenti yaratmış; istinaf yasa yolu, ülkemizde kangren haline gelmiş davaların uzaması, adaletin gecikmesine önemli bir çözüm olduğu </w:t>
      </w:r>
      <w:proofErr w:type="spellStart"/>
      <w:r w:rsidRPr="004D3DA9">
        <w:rPr>
          <w:rFonts w:ascii="Times New Roman" w:hAnsi="Times New Roman" w:cs="Times New Roman"/>
          <w:color w:val="010000"/>
          <w:sz w:val="24"/>
          <w:szCs w:val="24"/>
        </w:rPr>
        <w:t>iddası</w:t>
      </w:r>
      <w:proofErr w:type="spellEnd"/>
      <w:r w:rsidRPr="004D3DA9">
        <w:rPr>
          <w:rFonts w:ascii="Times New Roman" w:hAnsi="Times New Roman" w:cs="Times New Roman"/>
          <w:color w:val="010000"/>
          <w:sz w:val="24"/>
          <w:szCs w:val="24"/>
        </w:rPr>
        <w:t xml:space="preserve"> ile yargı sistemimize getirilmiştir. Ayrıca istinaf yasa yolunun, temyiz aşamasındaki iş yoğunluğunu azaltarak, Yargıtay’ı gerçek işlev olan “içtihat mahkemesi” konumuna taşımak, gerçek bir temyiz mahkemesi olmasını sağlamak gibi </w:t>
      </w:r>
      <w:proofErr w:type="spellStart"/>
      <w:r w:rsidRPr="004D3DA9">
        <w:rPr>
          <w:rFonts w:ascii="Times New Roman" w:hAnsi="Times New Roman" w:cs="Times New Roman"/>
          <w:color w:val="010000"/>
          <w:sz w:val="24"/>
          <w:szCs w:val="24"/>
        </w:rPr>
        <w:t>iddalı</w:t>
      </w:r>
      <w:proofErr w:type="spellEnd"/>
      <w:r w:rsidRPr="004D3DA9">
        <w:rPr>
          <w:rFonts w:ascii="Times New Roman" w:hAnsi="Times New Roman" w:cs="Times New Roman"/>
          <w:color w:val="010000"/>
          <w:sz w:val="24"/>
          <w:szCs w:val="24"/>
        </w:rPr>
        <w:t xml:space="preserve"> bir gerekçesi daha vardır. Ama gelinen aşamada istinaf yasa yolu, hukuk yargılamasını hızlandırmak şöyle dursun, direnememe nedeniyle yerel mahkemelerle bölge adliye mahkemeleri arasında mekik dokumasından ötürü yargılamayı daha da uzatan ve yavaşlatan bir sonuç yaratmaya başlamış, hukuk sistemimizde yeni bir sorun yaratmak dışında pek bir işlev olmamıştır. (Murat Fatih ÜLKÜ, İstinaf Mahkemelerinin Yeniden Karar Vermekten Kaçınmasının Yarattığı Sorunlar Üzerine, s.534)</w:t>
      </w:r>
    </w:p>
    <w:p w14:paraId="45970B57"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İstinaf kanun yolu incelemesi sonucunda istinaf başvurusunu kabulü, başvuran tarafın haklı olduğunu ve ilk derece mahkemesinin kararının isabetsiz olduğunun tevsikidir. Bölge adliye mahkemesinin ortadan kaldırdığı karar, ilk derece mahkemesinin esasa ilişkin hükmüne </w:t>
      </w:r>
      <w:r w:rsidRPr="004D3DA9">
        <w:rPr>
          <w:rFonts w:ascii="Times New Roman" w:hAnsi="Times New Roman" w:cs="Times New Roman"/>
          <w:color w:val="010000"/>
          <w:sz w:val="24"/>
          <w:szCs w:val="24"/>
        </w:rPr>
        <w:lastRenderedPageBreak/>
        <w:t>matuf ise bölge adliye mahkemesi, ortadan kaldırmış olduğu ilk derece mahkemesi kararının aksi yönde karar vermesi için dosyayı ilk derece mahkemesine gönderdiği sıklıkla tecrübe edilmektedir. Yeniden yargılamaya ihtiyaç duyulmayan hâllerde bölge adliye mahkemesi istinaf başvurusunun kabulü üzerine isabetsiz gördüğü ilk derece mahkeme kararını kaldırarak ilk derece mahkemesinin ilk kararındaki esasa dair kabul ya da ret (kısmi kabul/ret) kararının tersi yönünde karar vermesi için dosyayı ilk derece mahkemesine göndermektedir. Hukuk Muhakemeleri Kanunumuza göre ilk derece mahkemesi bu karara karşı direnme hakkına sahip değildir. Bu hususiyet evvela ilk derece mahkemesinin Yargıtay kararına karşı direnebilmesine rağmen bölge adliye mahkemesine direnememesi evleviyet kuralına aykırıdır. Nitekim bir hüküm, mahkemenin yargılama sonunda edinmiş olduğu bir kanaattir. Oysaki bölge adliye mahkemesi kendi oluşturduğu kanaati ilk derece mahkemesine dikta etmektedir. Saniyen Anayasanın, "Hâkimler Anayasa, kanun ve hukuka uygun oluşan vicdani kanaatlerine göre karar verir." hükmünü açıkça çiğnemektir. Nitekim hükümlerin gerekçeli olması da Anayasanın amir hükmüdür. Gerekçe bir mahkemenin yargılama sonunda ulaşmış olduğu sonucun hukuki ve mantıki izahıdır. Dolayısıyla istinaf incelemesi sonucunda bölge adliye mahkemelerinin yargılama yapılmasına gerek görmediği ihtimalde istinaf başvurusunun esastan kabulü üzerine ilk derece mahkemesinin ulaşmış olduğu hükmün tersi yönde karar vermesi için dosyayı yeniden ilk derece mahkemesine göndermesi sonucu kaldırma gerekçesiyle uyuşmazlık tekrardan önüne gelen ilk derece mahkemesinin evvelden vardığı kanaatin aksine kendisinin karar vermek zorunda kalması ilk derece mahkemesinin bölge adliye mahkemesi karşısında bağımsızlığına müdahaledir. İlk derece mahkemesinin bölge adliye mahkemesinin esasa ilişkin ortadan kaldırdığı karara karşı direnme yolunun bulunmaması, ikna olmadığı hususa bağlı kalarak karar vermesi veya inanmadığı kararı doğrudan vermesinin istenmesi doğru değildir. Bu durumda istinaf incelemesi sonucunda bölge adliye mahkemesi, ilk derece mahkemesinin esasa dair kararını ortadan kaldırarak yeniden kendisinin belirlediği hükmün tesisi için dosyayı ilk derece mahkemesine göndermesi yerine uyuşmazlığı esastan çözen yeni bir kararı bizzat kendisi vermelidir ve kaldırma kararlarına karşı direnme yolunun açılması gerekmektedir.</w:t>
      </w:r>
    </w:p>
    <w:p w14:paraId="218084C0" w14:textId="4A9283D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Yargıtay kararlarına karşı dahi direnme kararı verebilen ilk derece mahkemelerinin bölge adliye mahkemesinin bozma kararlarına karşı direnme yetkisinin bulunmayışının bir çelişki olduğu, hukuk mantığıyla bağdaşmadığı, adalet ve eşitlik ilkelerine aykırı olduğu, direnme kararı verilememesi nedeniyle ilk derece mahkemelerinin yargılama görev ve yetkisinin ortadan kaldırıldığı, ilk derece mahkemelerinin bölge adliye mahkemelerinin emir ve talimatlarını yerine getiren idari bir birim hâline getirildiği, direnme yasağının varlığı nedeniyle ilk derece mahkemeleri ile bölge adliye mahkemeleri arasında çıkabilecek hukuki ihtilafların bir merci tarafından çözümüne imkân tanınmadığı, bu durumun ise yargılama neticesinde adil ve isabetli bir karara ulaşma olasılığını azalttığı ve bölge adliye mahkemelerinin kararlarının yargısal denetimini imkânsız kıldığı, ilk derece mahkemesi hâkiminin vicdani kanaati doğrultusunda vermiş olduğu kararın bölge adliye mahkemesince bozulması hâlinde bu bozma kararına karşı direnme kararı verilememesi nedeniyle ilk derece mahkemesi hâkiminin vicdani kanaatine aykırı şekilde hüküm kurmak zorunda bırakıldığı, ilk derece mahkemesinin bozma kararı doğrultusunda yeniden yargılama yapıp yine vicdani kanaati doğrultusunda karar vermesi hâlinde ise yargılamanın gereksiz yere uzayacağı ve yargılama giderlerinin artacağı, direnme kararı verilememesi nedeniyle bölge adliye mahkemeleri arasında içtihat birliğinin sağlanamayacağı hususları nedeniyle direnme yolunun açılabilmesi göz ardı edilemeyecek bir ihtiyaçtır. Her ne kadar daha önceden ceza muhakemesi kanununda yer alan benzer maddeye ilişkin başvurular reddedilmişse de gelinen aşamada bu maddenin iptali artık zorunludur. Sayın </w:t>
      </w:r>
      <w:proofErr w:type="spellStart"/>
      <w:r w:rsidRPr="004D3DA9">
        <w:rPr>
          <w:rFonts w:ascii="Times New Roman" w:hAnsi="Times New Roman" w:cs="Times New Roman"/>
          <w:color w:val="010000"/>
          <w:sz w:val="24"/>
          <w:szCs w:val="24"/>
        </w:rPr>
        <w:t>AYM'nin</w:t>
      </w:r>
      <w:proofErr w:type="spellEnd"/>
      <w:r w:rsidRPr="004D3DA9">
        <w:rPr>
          <w:rFonts w:ascii="Times New Roman" w:hAnsi="Times New Roman" w:cs="Times New Roman"/>
          <w:color w:val="010000"/>
          <w:sz w:val="24"/>
          <w:szCs w:val="24"/>
        </w:rPr>
        <w:t xml:space="preserve"> iptal kararı vermesi halinde benzer mahiyette ceza muhakemesinde de düzenlemeye yapılacağı hususu gözetildiğinde bu iptal gelinen aşamada çağın bir gereği, hukukun vazgeçilmez bir ihtiyacıdır. Sayın Anayasa Mahkemesince </w:t>
      </w:r>
      <w:r w:rsidRPr="004D3DA9">
        <w:rPr>
          <w:rFonts w:ascii="Times New Roman" w:hAnsi="Times New Roman" w:cs="Times New Roman"/>
          <w:color w:val="010000"/>
          <w:sz w:val="24"/>
          <w:szCs w:val="24"/>
        </w:rPr>
        <w:lastRenderedPageBreak/>
        <w:t xml:space="preserve">her ne kadar 7 yıl önce ceza muhakemesi açısından </w:t>
      </w:r>
      <w:proofErr w:type="spellStart"/>
      <w:r w:rsidRPr="004D3DA9">
        <w:rPr>
          <w:rFonts w:ascii="Times New Roman" w:hAnsi="Times New Roman" w:cs="Times New Roman"/>
          <w:color w:val="010000"/>
          <w:sz w:val="24"/>
          <w:szCs w:val="24"/>
        </w:rPr>
        <w:t>red</w:t>
      </w:r>
      <w:proofErr w:type="spellEnd"/>
      <w:r w:rsidRPr="004D3DA9">
        <w:rPr>
          <w:rFonts w:ascii="Times New Roman" w:hAnsi="Times New Roman" w:cs="Times New Roman"/>
          <w:color w:val="010000"/>
          <w:sz w:val="24"/>
          <w:szCs w:val="24"/>
        </w:rPr>
        <w:t xml:space="preserve"> kararı vermişse </w:t>
      </w:r>
      <w:proofErr w:type="gramStart"/>
      <w:r w:rsidRPr="004D3DA9">
        <w:rPr>
          <w:rFonts w:ascii="Times New Roman" w:hAnsi="Times New Roman" w:cs="Times New Roman"/>
          <w:color w:val="010000"/>
          <w:sz w:val="24"/>
          <w:szCs w:val="24"/>
        </w:rPr>
        <w:t>de,</w:t>
      </w:r>
      <w:proofErr w:type="gramEnd"/>
      <w:r w:rsidRPr="004D3DA9">
        <w:rPr>
          <w:rFonts w:ascii="Times New Roman" w:hAnsi="Times New Roman" w:cs="Times New Roman"/>
          <w:color w:val="010000"/>
          <w:sz w:val="24"/>
          <w:szCs w:val="24"/>
        </w:rPr>
        <w:t xml:space="preserve"> </w:t>
      </w:r>
      <w:proofErr w:type="spellStart"/>
      <w:r w:rsidRPr="004D3DA9">
        <w:rPr>
          <w:rFonts w:ascii="Times New Roman" w:hAnsi="Times New Roman" w:cs="Times New Roman"/>
          <w:color w:val="010000"/>
          <w:sz w:val="24"/>
          <w:szCs w:val="24"/>
        </w:rPr>
        <w:t>red</w:t>
      </w:r>
      <w:proofErr w:type="spellEnd"/>
      <w:r w:rsidRPr="004D3DA9">
        <w:rPr>
          <w:rFonts w:ascii="Times New Roman" w:hAnsi="Times New Roman" w:cs="Times New Roman"/>
          <w:color w:val="010000"/>
          <w:sz w:val="24"/>
          <w:szCs w:val="24"/>
        </w:rPr>
        <w:t xml:space="preserve"> kararının verildiği dönemde yasanın tazeliği, uygulamanın tam olarak oturmamış olması hususları gözetildiğinde bugün önceki kararları ile çelişmemek adına aynı kararı vermeme düşüncesinde olmaksızın farklı bir bakış açısı ile değerlendirmesi gerekmektedir. Son olarak şunu belirtmek gerekir ki </w:t>
      </w:r>
      <w:proofErr w:type="spellStart"/>
      <w:r w:rsidRPr="004D3DA9">
        <w:rPr>
          <w:rFonts w:ascii="Times New Roman" w:hAnsi="Times New Roman" w:cs="Times New Roman"/>
          <w:color w:val="010000"/>
          <w:sz w:val="24"/>
          <w:szCs w:val="24"/>
        </w:rPr>
        <w:t>Pre-sokratik</w:t>
      </w:r>
      <w:proofErr w:type="spellEnd"/>
      <w:r w:rsidRPr="004D3DA9">
        <w:rPr>
          <w:rFonts w:ascii="Times New Roman" w:hAnsi="Times New Roman" w:cs="Times New Roman"/>
          <w:color w:val="010000"/>
          <w:sz w:val="24"/>
          <w:szCs w:val="24"/>
        </w:rPr>
        <w:t xml:space="preserve"> Antik Yunan filozofu </w:t>
      </w:r>
      <w:proofErr w:type="spellStart"/>
      <w:r w:rsidRPr="004D3DA9">
        <w:rPr>
          <w:rFonts w:ascii="Times New Roman" w:hAnsi="Times New Roman" w:cs="Times New Roman"/>
          <w:color w:val="010000"/>
          <w:sz w:val="24"/>
          <w:szCs w:val="24"/>
        </w:rPr>
        <w:t>Herakleitos'un</w:t>
      </w:r>
      <w:proofErr w:type="spellEnd"/>
      <w:r w:rsidRPr="004D3DA9">
        <w:rPr>
          <w:rFonts w:ascii="Times New Roman" w:hAnsi="Times New Roman" w:cs="Times New Roman"/>
          <w:color w:val="010000"/>
          <w:sz w:val="24"/>
          <w:szCs w:val="24"/>
        </w:rPr>
        <w:t xml:space="preserve"> dediği gibi; "Değişmeyen tek şey değişimin kendisidir."</w:t>
      </w:r>
    </w:p>
    <w:p w14:paraId="4F6C19BB" w14:textId="5B0FEE4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İPTALİ İSTENEN KANUN MADDESİNİN </w:t>
      </w:r>
      <w:proofErr w:type="spellStart"/>
      <w:r w:rsidRPr="004D3DA9">
        <w:rPr>
          <w:rFonts w:ascii="Times New Roman" w:hAnsi="Times New Roman" w:cs="Times New Roman"/>
          <w:color w:val="010000"/>
          <w:sz w:val="24"/>
          <w:szCs w:val="24"/>
        </w:rPr>
        <w:t>ANAYASA'ya</w:t>
      </w:r>
      <w:proofErr w:type="spellEnd"/>
      <w:r w:rsidRPr="004D3DA9">
        <w:rPr>
          <w:rFonts w:ascii="Times New Roman" w:hAnsi="Times New Roman" w:cs="Times New Roman"/>
          <w:color w:val="010000"/>
          <w:sz w:val="24"/>
          <w:szCs w:val="24"/>
        </w:rPr>
        <w:t xml:space="preserve"> ve AİHS'ye AYKIRILIĞI VE HUKUKİ </w:t>
      </w:r>
      <w:proofErr w:type="gramStart"/>
      <w:r w:rsidRPr="004D3DA9">
        <w:rPr>
          <w:rFonts w:ascii="Times New Roman" w:hAnsi="Times New Roman" w:cs="Times New Roman"/>
          <w:color w:val="010000"/>
          <w:sz w:val="24"/>
          <w:szCs w:val="24"/>
        </w:rPr>
        <w:t>GEREKÇESİ</w:t>
      </w:r>
      <w:r w:rsidR="004D3DA9" w:rsidRPr="004D3DA9">
        <w:rPr>
          <w:rFonts w:ascii="Times New Roman" w:hAnsi="Times New Roman" w:cs="Times New Roman"/>
          <w:color w:val="010000"/>
          <w:sz w:val="24"/>
          <w:szCs w:val="24"/>
        </w:rPr>
        <w:t xml:space="preserve"> </w:t>
      </w:r>
      <w:r w:rsidRPr="004D3DA9">
        <w:rPr>
          <w:rFonts w:ascii="Times New Roman" w:hAnsi="Times New Roman" w:cs="Times New Roman"/>
          <w:color w:val="010000"/>
          <w:sz w:val="24"/>
          <w:szCs w:val="24"/>
        </w:rPr>
        <w:t>:</w:t>
      </w:r>
      <w:proofErr w:type="gramEnd"/>
    </w:p>
    <w:p w14:paraId="0123EAA9" w14:textId="3C9A22CF"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2.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(Cumhuriyetin nitelikleri-Hukuk devleti) uyarınca yapılan değerlendirmede;</w:t>
      </w:r>
    </w:p>
    <w:p w14:paraId="59EE130F"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Hukuk devleti: “Her eylem ve işlemi hukuka uygun, insan haklarına saygı gösteren, bu hak ve özgürlükleri koruyup güçlendiren, her alanda adaletli bir hukuk düzeni kurup bunu geliştirerek sürdüren, Anayasa’ya aykırı durum ve tutumlarından kaçınan, hukuku tüm devlet organlarına egemen kılan, Anayasa ve hukukun üstün kurallarıyla kendini bağlı sayıp yargı denetimine açık olan, yasaların üstünde </w:t>
      </w:r>
      <w:proofErr w:type="spellStart"/>
      <w:r w:rsidRPr="004D3DA9">
        <w:rPr>
          <w:rFonts w:ascii="Times New Roman" w:hAnsi="Times New Roman" w:cs="Times New Roman"/>
          <w:color w:val="010000"/>
          <w:sz w:val="24"/>
          <w:szCs w:val="24"/>
        </w:rPr>
        <w:t>yasakoyucunun</w:t>
      </w:r>
      <w:proofErr w:type="spellEnd"/>
      <w:r w:rsidRPr="004D3DA9">
        <w:rPr>
          <w:rFonts w:ascii="Times New Roman" w:hAnsi="Times New Roman" w:cs="Times New Roman"/>
          <w:color w:val="010000"/>
          <w:sz w:val="24"/>
          <w:szCs w:val="24"/>
        </w:rPr>
        <w:t xml:space="preserve"> da bozamayacağı temel hukuk ilkeleri ve Anayasa bulunduğu bilincinden uzaklaştığında geçersiz kalacağım bilen devlettir” şeklinde tanımlanmıştır.(AYM, E.2023/161, K.2024/53, 22/02/2024, § …) (AYM, E.2017/48, K.2017/129, 26/07/2017, § …) Buna göre;</w:t>
      </w:r>
    </w:p>
    <w:p w14:paraId="3D0F738F" w14:textId="7916156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-Devletin faaliyetlerinde hukuk kurallarıyla bağlı olması,</w:t>
      </w:r>
    </w:p>
    <w:p w14:paraId="14D107BF"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-Hukuk önünde eşitlik ve devletin tarafsızlığı,</w:t>
      </w:r>
    </w:p>
    <w:p w14:paraId="3222F936"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-Temel hakların güvence altına alınması,</w:t>
      </w:r>
    </w:p>
    <w:p w14:paraId="02BF69C2"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-Devletin yargısal denetimi, </w:t>
      </w:r>
      <w:proofErr w:type="gramStart"/>
      <w:r w:rsidRPr="004D3DA9">
        <w:rPr>
          <w:rFonts w:ascii="Times New Roman" w:hAnsi="Times New Roman" w:cs="Times New Roman"/>
          <w:color w:val="010000"/>
          <w:sz w:val="24"/>
          <w:szCs w:val="24"/>
        </w:rPr>
        <w:t>hakim</w:t>
      </w:r>
      <w:proofErr w:type="gramEnd"/>
      <w:r w:rsidRPr="004D3DA9">
        <w:rPr>
          <w:rFonts w:ascii="Times New Roman" w:hAnsi="Times New Roman" w:cs="Times New Roman"/>
          <w:color w:val="010000"/>
          <w:sz w:val="24"/>
          <w:szCs w:val="24"/>
        </w:rPr>
        <w:t xml:space="preserve"> ve yargı bağımsızlığı hukuk devletinin temel ilkeleri olarak kabul edilmektedir.</w:t>
      </w:r>
    </w:p>
    <w:p w14:paraId="0448E27D"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Devletin faaliyetlerinde hukuk kurallarıyla bağlı olması, hukuk önünde eşitlik ve devletin tarafsızlığı, temel hakların güvence altına alınması ancak ve ancak Devletin yargısal denetimi, </w:t>
      </w:r>
      <w:proofErr w:type="gramStart"/>
      <w:r w:rsidRPr="004D3DA9">
        <w:rPr>
          <w:rFonts w:ascii="Times New Roman" w:hAnsi="Times New Roman" w:cs="Times New Roman"/>
          <w:color w:val="010000"/>
          <w:sz w:val="24"/>
          <w:szCs w:val="24"/>
        </w:rPr>
        <w:t>hakim</w:t>
      </w:r>
      <w:proofErr w:type="gramEnd"/>
      <w:r w:rsidRPr="004D3DA9">
        <w:rPr>
          <w:rFonts w:ascii="Times New Roman" w:hAnsi="Times New Roman" w:cs="Times New Roman"/>
          <w:color w:val="010000"/>
          <w:sz w:val="24"/>
          <w:szCs w:val="24"/>
        </w:rPr>
        <w:t xml:space="preserve"> ve yargı bağımsızlığı ile mümkündür.</w:t>
      </w:r>
    </w:p>
    <w:p w14:paraId="7B2592ED" w14:textId="3EE52DA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6B8283CC" w14:textId="46E79FA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090727D1"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lastRenderedPageBreak/>
        <w:t xml:space="preserve">Bu bağlamda yerel mahkeme hakimlerinin, bölge adliye mahkemesi kararlarına direnememesi hukuk devleti ilkesinde hak arama özgürlüğüne ölçüsüz bir sınırlama getirmiş olup bu düzenleme aynı zamanda kamu yararıyla da çıkarılmamış, kanun koyucunun </w:t>
      </w:r>
      <w:proofErr w:type="spellStart"/>
      <w:r w:rsidRPr="004D3DA9">
        <w:rPr>
          <w:rFonts w:ascii="Times New Roman" w:hAnsi="Times New Roman" w:cs="Times New Roman"/>
          <w:color w:val="010000"/>
          <w:sz w:val="24"/>
          <w:szCs w:val="24"/>
        </w:rPr>
        <w:t>saikinde</w:t>
      </w:r>
      <w:proofErr w:type="spellEnd"/>
      <w:r w:rsidRPr="004D3DA9">
        <w:rPr>
          <w:rFonts w:ascii="Times New Roman" w:hAnsi="Times New Roman" w:cs="Times New Roman"/>
          <w:color w:val="010000"/>
          <w:sz w:val="24"/>
          <w:szCs w:val="24"/>
        </w:rPr>
        <w:t xml:space="preserve"> Yargıtay'ın iş yükünün artmasının engellenmesi amaçlandığı düşünülse de dosyaların ilk derece mahkemeleri ile bölge adliye mahkemeleri arasında gidip gelmesi nedeniyle uygulamada tam aksi yönde bir hal almıştır.</w:t>
      </w:r>
    </w:p>
    <w:p w14:paraId="7B26A6BE" w14:textId="5F40A653"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4D3DA9">
        <w:rPr>
          <w:rFonts w:ascii="Times New Roman" w:hAnsi="Times New Roman" w:cs="Times New Roman"/>
          <w:color w:val="010000"/>
          <w:sz w:val="24"/>
          <w:szCs w:val="24"/>
        </w:rPr>
        <w:t>Karlis</w:t>
      </w:r>
      <w:proofErr w:type="spellEnd"/>
      <w:r w:rsidRPr="004D3DA9">
        <w:rPr>
          <w:rFonts w:ascii="Times New Roman" w:hAnsi="Times New Roman" w:cs="Times New Roman"/>
          <w:color w:val="010000"/>
          <w:sz w:val="24"/>
          <w:szCs w:val="24"/>
        </w:rPr>
        <w:t xml:space="preserve"> A.Ş., § 34). AYM, E.2020/80, K.2021/34, 29/4/2021, § 25; E.2022/9, K.2022/80, 21/6/2022, § 11).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4D3DA9">
        <w:rPr>
          <w:rFonts w:ascii="Times New Roman" w:hAnsi="Times New Roman" w:cs="Times New Roman"/>
          <w:color w:val="010000"/>
          <w:sz w:val="24"/>
          <w:szCs w:val="24"/>
        </w:rPr>
        <w:t>Karlis</w:t>
      </w:r>
      <w:proofErr w:type="spellEnd"/>
      <w:r w:rsidRPr="004D3DA9">
        <w:rPr>
          <w:rFonts w:ascii="Times New Roman" w:hAnsi="Times New Roman" w:cs="Times New Roman"/>
          <w:color w:val="010000"/>
          <w:sz w:val="24"/>
          <w:szCs w:val="24"/>
        </w:rPr>
        <w:t xml:space="preserve"> A.Ş., § 34).</w:t>
      </w:r>
    </w:p>
    <w:p w14:paraId="318D75A7" w14:textId="11E6F252"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proofErr w:type="spellStart"/>
      <w:r w:rsidRPr="004D3DA9">
        <w:rPr>
          <w:rFonts w:ascii="Times New Roman" w:hAnsi="Times New Roman" w:cs="Times New Roman"/>
          <w:color w:val="010000"/>
          <w:sz w:val="24"/>
          <w:szCs w:val="24"/>
        </w:rPr>
        <w:t>AİHM’e</w:t>
      </w:r>
      <w:proofErr w:type="spellEnd"/>
      <w:r w:rsidRPr="004D3DA9">
        <w:rPr>
          <w:rFonts w:ascii="Times New Roman" w:hAnsi="Times New Roman" w:cs="Times New Roman"/>
          <w:color w:val="010000"/>
          <w:sz w:val="24"/>
          <w:szCs w:val="24"/>
        </w:rPr>
        <w:t xml:space="preserve"> göre öngörülebilirlik kavramının kapsamı; kuralın anlamı, uygulanacak kişilerin sayısı ve statüsüne bağlı olup yasa kuralına yönelik olarak birden fazla yorumunun yapılabiliyor olması kuralın tek başına, Sözleşme'nin aradığı anlamda öngörülebilirlik şartını karşılamada başarısız olduğu anlamına gelmez. Mahkemelerin görevi, günlük yaşamdaki uygulamaları dikkate alarak kuralın yorumuna dair şüpheleri kesin olarak ortadan kaldırmaktır (</w:t>
      </w:r>
      <w:proofErr w:type="spellStart"/>
      <w:r w:rsidRPr="004D3DA9">
        <w:rPr>
          <w:rFonts w:ascii="Times New Roman" w:hAnsi="Times New Roman" w:cs="Times New Roman"/>
          <w:color w:val="010000"/>
          <w:sz w:val="24"/>
          <w:szCs w:val="24"/>
        </w:rPr>
        <w:t>Gorzelik</w:t>
      </w:r>
      <w:proofErr w:type="spellEnd"/>
      <w:r w:rsidRPr="004D3DA9">
        <w:rPr>
          <w:rFonts w:ascii="Times New Roman" w:hAnsi="Times New Roman" w:cs="Times New Roman"/>
          <w:color w:val="010000"/>
          <w:sz w:val="24"/>
          <w:szCs w:val="24"/>
        </w:rPr>
        <w:t xml:space="preserve"> ve diğerleri/Polonya, B. No: 44158/98, 17/2/2004, § 65). Diğer taraftan yasanın tutarlı bir şekilde uygulanmasında yüksek mahkemelerin güvence olduğu da </w:t>
      </w:r>
      <w:proofErr w:type="spellStart"/>
      <w:r w:rsidRPr="004D3DA9">
        <w:rPr>
          <w:rFonts w:ascii="Times New Roman" w:hAnsi="Times New Roman" w:cs="Times New Roman"/>
          <w:color w:val="010000"/>
          <w:sz w:val="24"/>
          <w:szCs w:val="24"/>
        </w:rPr>
        <w:t>gözardı</w:t>
      </w:r>
      <w:proofErr w:type="spellEnd"/>
      <w:r w:rsidRPr="004D3DA9">
        <w:rPr>
          <w:rFonts w:ascii="Times New Roman" w:hAnsi="Times New Roman" w:cs="Times New Roman"/>
          <w:color w:val="010000"/>
          <w:sz w:val="24"/>
          <w:szCs w:val="24"/>
        </w:rPr>
        <w:t xml:space="preserve"> edilmemelidir (</w:t>
      </w:r>
      <w:proofErr w:type="spellStart"/>
      <w:r w:rsidRPr="004D3DA9">
        <w:rPr>
          <w:rFonts w:ascii="Times New Roman" w:hAnsi="Times New Roman" w:cs="Times New Roman"/>
          <w:color w:val="010000"/>
          <w:sz w:val="24"/>
          <w:szCs w:val="24"/>
        </w:rPr>
        <w:t>Tudor</w:t>
      </w:r>
      <w:proofErr w:type="spellEnd"/>
      <w:r w:rsidRPr="004D3DA9">
        <w:rPr>
          <w:rFonts w:ascii="Times New Roman" w:hAnsi="Times New Roman" w:cs="Times New Roman"/>
          <w:color w:val="010000"/>
          <w:sz w:val="24"/>
          <w:szCs w:val="24"/>
        </w:rPr>
        <w:t xml:space="preserve"> </w:t>
      </w:r>
      <w:proofErr w:type="spellStart"/>
      <w:r w:rsidRPr="004D3DA9">
        <w:rPr>
          <w:rFonts w:ascii="Times New Roman" w:hAnsi="Times New Roman" w:cs="Times New Roman"/>
          <w:color w:val="010000"/>
          <w:sz w:val="24"/>
          <w:szCs w:val="24"/>
        </w:rPr>
        <w:t>Tudor</w:t>
      </w:r>
      <w:proofErr w:type="spellEnd"/>
      <w:r w:rsidRPr="004D3DA9">
        <w:rPr>
          <w:rFonts w:ascii="Times New Roman" w:hAnsi="Times New Roman" w:cs="Times New Roman"/>
          <w:color w:val="010000"/>
          <w:sz w:val="24"/>
          <w:szCs w:val="24"/>
        </w:rPr>
        <w:t xml:space="preserve">/Romanya, B. No: 21911/03, 24/3/2009, §§ 29, 30; </w:t>
      </w:r>
      <w:proofErr w:type="spellStart"/>
      <w:r w:rsidRPr="004D3DA9">
        <w:rPr>
          <w:rFonts w:ascii="Times New Roman" w:hAnsi="Times New Roman" w:cs="Times New Roman"/>
          <w:color w:val="010000"/>
          <w:sz w:val="24"/>
          <w:szCs w:val="24"/>
        </w:rPr>
        <w:t>Ştefănică</w:t>
      </w:r>
      <w:proofErr w:type="spellEnd"/>
      <w:r w:rsidRPr="004D3DA9">
        <w:rPr>
          <w:rFonts w:ascii="Times New Roman" w:hAnsi="Times New Roman" w:cs="Times New Roman"/>
          <w:color w:val="010000"/>
          <w:sz w:val="24"/>
          <w:szCs w:val="24"/>
        </w:rPr>
        <w:t xml:space="preserve"> ve diğerleri/Romanya, B. No:38155/02, 2/11/2010, §§ 36, 37).</w:t>
      </w:r>
    </w:p>
    <w:p w14:paraId="7355B051" w14:textId="7C24268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Avrupa İnsan Hakları Mahkemesi (AİHM) ise hukuki güvenlik ilkesini şu şekilde belirtmiştir; "...Hukuki güvenlik ilkesi bilhassa, hukuki durumlarda belli bir istikrarın sağlanmasını ve toplumun adalete olan güvenini desteklemeyi amaçlamaktadır. Birbirinden farklı yargı kararlarının devamlılık arz etmesi, toplumun yargısal sisteme olan güveninin hukuk devletinin temel unsurlarından biri olmasına rağmen, bu güveni azaltacak nitelikte bir hukuki belirsizlik durumu yaratabilecektir... Birbiriyle uyuşmayan mahkeme kararlarının sürüp gitmesi, yargı sistemine güveni azaltarak, yargısal bir belirsizliğe yol açabilir" (AYM, Türkan Bal Başvurusu, Başvuru </w:t>
      </w:r>
      <w:proofErr w:type="spellStart"/>
      <w:r w:rsidRPr="004D3DA9">
        <w:rPr>
          <w:rFonts w:ascii="Times New Roman" w:hAnsi="Times New Roman" w:cs="Times New Roman"/>
          <w:color w:val="010000"/>
          <w:sz w:val="24"/>
          <w:szCs w:val="24"/>
        </w:rPr>
        <w:t>no</w:t>
      </w:r>
      <w:proofErr w:type="spellEnd"/>
      <w:r w:rsidRPr="004D3DA9">
        <w:rPr>
          <w:rFonts w:ascii="Times New Roman" w:hAnsi="Times New Roman" w:cs="Times New Roman"/>
          <w:color w:val="010000"/>
          <w:sz w:val="24"/>
          <w:szCs w:val="24"/>
        </w:rPr>
        <w:t>. 2013/6932, Karar tarihi: 06.01.2015, R.G. Tarih-sayı: 09.05.2015-29350, para. 51-52)</w:t>
      </w:r>
    </w:p>
    <w:p w14:paraId="4C939D22" w14:textId="3890625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Tüm bu kapsamda yapılan değerlendirmede; devletin yasal düzenlemeler ile istinaf yasa yoluna karşı kanun yolunun kapalı olması şeklindeki düzenlemesi yargıya olan güveni zedelemektedir. Yerel mahkemede verilen karar istinaftan hatalı olarak kaldırıldığında direnme söz konusu olamayacağından bu karar nedeniyle vatandaşın güven duygusu kırılmaktadır. </w:t>
      </w:r>
      <w:r w:rsidRPr="004D3DA9">
        <w:rPr>
          <w:rFonts w:ascii="Times New Roman" w:hAnsi="Times New Roman" w:cs="Times New Roman"/>
          <w:color w:val="010000"/>
          <w:sz w:val="24"/>
          <w:szCs w:val="24"/>
        </w:rPr>
        <w:lastRenderedPageBreak/>
        <w:t>Ayrıca bölge adliye mahkemeleri arasında farklı uygulamalar söz konusu olduğundan yüksek mahkemelerin güvence olduğu düşüncesi ortadan kalkmakta ve ne karar çıkacağı şansa bağlı olduğundan öngörülebilirlik ilkesi zedelenmektedir.</w:t>
      </w:r>
    </w:p>
    <w:p w14:paraId="55FFFF50" w14:textId="2B856C16"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58F2715C"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67F3B355" w14:textId="6D97A12E"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578F5DFF" w14:textId="26E656A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Tüm bu kapsamda yapılan değerlendirmede; hukuk devletinin gereği olarak vatandaşın hak arama yolunda üst mahkemelere başvuru imkanının olması hukuk devletinin olmazsa olmazıdır. Yine bu doğrultuda hakimlerin verdiği kararların üst mahkemelerce kaldırılmasına karşılık hakimlerin direnme kararı verebilmesi devleti hukuk devleti olarak niteleyip hakimlere hukuk yolunda direnememe yönünde sınırlamalar getirmek kendi içinde çelişki barındırmaktadır. Bu hali ile maddenin itiraz konusu edilen kısmı Hukuk Devleti ilkesine tamamen aykırıdır.</w:t>
      </w:r>
    </w:p>
    <w:p w14:paraId="3215DD39" w14:textId="39C436F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10.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(Kanun Önünde Eşitlik) uyarınca yapılan değerlendirmede;</w:t>
      </w:r>
    </w:p>
    <w:p w14:paraId="78520E31" w14:textId="4148F4D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4D3DA9">
        <w:rPr>
          <w:rFonts w:ascii="Times New Roman" w:hAnsi="Times New Roman" w:cs="Times New Roman"/>
          <w:color w:val="010000"/>
          <w:sz w:val="24"/>
          <w:szCs w:val="24"/>
        </w:rPr>
        <w:t>eşittir./</w:t>
      </w:r>
      <w:proofErr w:type="gramEnd"/>
      <w:r w:rsidRPr="004D3DA9">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4D3DA9">
        <w:rPr>
          <w:rFonts w:ascii="Times New Roman" w:hAnsi="Times New Roman" w:cs="Times New Roman"/>
          <w:color w:val="010000"/>
          <w:sz w:val="24"/>
          <w:szCs w:val="24"/>
        </w:rPr>
        <w:t>yorumlanamaz./</w:t>
      </w:r>
      <w:proofErr w:type="gramEnd"/>
      <w:r w:rsidRPr="004D3DA9">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6BA7A09B" w14:textId="511C2F21"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w:t>
      </w:r>
      <w:r w:rsidRPr="004D3DA9">
        <w:rPr>
          <w:rFonts w:ascii="Times New Roman" w:hAnsi="Times New Roman" w:cs="Times New Roman"/>
          <w:color w:val="010000"/>
          <w:sz w:val="24"/>
          <w:szCs w:val="24"/>
        </w:rPr>
        <w:lastRenderedPageBreak/>
        <w:t>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7FAAC505" w14:textId="485DCA06"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Eşitlik ilkesi sadece kişilerin değil kurumların da eşitliğini kapsamaktadır. Bu hali ile yüksek mahkeme olan ve oldukça sınırlı inceleme yetkisi bulunan </w:t>
      </w:r>
      <w:proofErr w:type="spellStart"/>
      <w:r w:rsidRPr="004D3DA9">
        <w:rPr>
          <w:rFonts w:ascii="Times New Roman" w:hAnsi="Times New Roman" w:cs="Times New Roman"/>
          <w:color w:val="010000"/>
          <w:sz w:val="24"/>
          <w:szCs w:val="24"/>
        </w:rPr>
        <w:t>Yargıtaya</w:t>
      </w:r>
      <w:proofErr w:type="spellEnd"/>
      <w:r w:rsidRPr="004D3DA9">
        <w:rPr>
          <w:rFonts w:ascii="Times New Roman" w:hAnsi="Times New Roman" w:cs="Times New Roman"/>
          <w:color w:val="010000"/>
          <w:sz w:val="24"/>
          <w:szCs w:val="24"/>
        </w:rPr>
        <w:t xml:space="preserve"> direnme mümkün iken kapsamlı inceleme yapma yetkisini haiz üst derece mahkemesi olan Bölge Adliye Mahkemelerine direnememek yargı makamları arasında eşitsizliğe neden olmaktadır. Ayrıca aynı dava konusu hakkında farklı dairelerce ve farklı Bölge Adliye Mahkemelerince farklı kararların verilmesi de eşitsizliğe neden olmaktadır.</w:t>
      </w:r>
    </w:p>
    <w:p w14:paraId="453D1CB3" w14:textId="0595CD0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13.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(Temel hak ve hürriyetlerin sınırlanması) uyarınca yapılan değerlendirmede;</w:t>
      </w:r>
    </w:p>
    <w:p w14:paraId="5482CEE6"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23B9B5B9" w14:textId="576D495F"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267D3CF8"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14:paraId="2D98C9DD" w14:textId="6985CF56"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5E5CC162" w14:textId="28015D84"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lastRenderedPageBreak/>
        <w:t xml:space="preserve">Bu kapsamda yapılan değerlendirmede yerel mahkemelerin istinaf kararlarına direnememesi, itirazın gerekçesi kısmında detaylı açıkladığımız üzere </w:t>
      </w:r>
      <w:proofErr w:type="spellStart"/>
      <w:r w:rsidRPr="004D3DA9">
        <w:rPr>
          <w:rFonts w:ascii="Times New Roman" w:hAnsi="Times New Roman" w:cs="Times New Roman"/>
          <w:color w:val="010000"/>
          <w:sz w:val="24"/>
          <w:szCs w:val="24"/>
        </w:rPr>
        <w:t>Yargıtaydaki</w:t>
      </w:r>
      <w:proofErr w:type="spellEnd"/>
      <w:r w:rsidRPr="004D3DA9">
        <w:rPr>
          <w:rFonts w:ascii="Times New Roman" w:hAnsi="Times New Roman" w:cs="Times New Roman"/>
          <w:color w:val="010000"/>
          <w:sz w:val="24"/>
          <w:szCs w:val="24"/>
        </w:rPr>
        <w:t xml:space="preserve"> dosya sayısının artmasına engel olmaya veya yargılamanın kısa sürede nihayete erdirilmesine elverişli bir kısıtlama değildir. Zorunlu bir sınırlama değildir. Ayrıca sınırlama ile amaç arasında makul bir denge gözetmemekte olup orantısız bir sınırlama söz konusudur. Yine aynı doğrultuda, getirilen sınırlama farklı kararların oluşması nedeniyle devlete güven duygusunu da zedelemektedir.</w:t>
      </w:r>
    </w:p>
    <w:p w14:paraId="2773A2D9" w14:textId="5EB854FE"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36.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(Hak Arama Hürriyeti-adil yargılanma hakkı) uyarınca yapılan değerlendirmede;</w:t>
      </w:r>
    </w:p>
    <w:p w14:paraId="1A3B14EF"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Anayasa’nın 36. maddesinde “Herkes, meşru vasıta ve yollardan faydalanmak suretiyle yargı mercileri önünde davacı veya davalı olarak iddia ve savunma ile adil yargılanma hakkına </w:t>
      </w:r>
      <w:proofErr w:type="gramStart"/>
      <w:r w:rsidRPr="004D3DA9">
        <w:rPr>
          <w:rFonts w:ascii="Times New Roman" w:hAnsi="Times New Roman" w:cs="Times New Roman"/>
          <w:color w:val="010000"/>
          <w:sz w:val="24"/>
          <w:szCs w:val="24"/>
        </w:rPr>
        <w:t>sahiptir./</w:t>
      </w:r>
      <w:proofErr w:type="gramEnd"/>
      <w:r w:rsidRPr="004D3DA9">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679ECDD8"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524BBA13" w14:textId="630847D8"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 Mahkemesi; bireysel başvuru kapsamında yaptığı değerlendirmelerde kişinin mahkemeye başvurmasını engelleyen veya mahkeme kararını anlamsız hâle getiren, bir başka anlatımla mahkeme kararını önemli ölçüde etkisizleştiren sınırlamaların mahkemeye erişim hakkını ihlal edebileceğini ifade etmiştir (Özkan Şen, § 52</w:t>
      </w:r>
      <w:proofErr w:type="gramStart"/>
      <w:r w:rsidRPr="004D3DA9">
        <w:rPr>
          <w:rFonts w:ascii="Times New Roman" w:hAnsi="Times New Roman" w:cs="Times New Roman"/>
          <w:color w:val="010000"/>
          <w:sz w:val="24"/>
          <w:szCs w:val="24"/>
        </w:rPr>
        <w:t>).(</w:t>
      </w:r>
      <w:proofErr w:type="gramEnd"/>
      <w:r w:rsidRPr="004D3DA9">
        <w:rPr>
          <w:rFonts w:ascii="Times New Roman" w:hAnsi="Times New Roman" w:cs="Times New Roman"/>
          <w:color w:val="010000"/>
          <w:sz w:val="24"/>
          <w:szCs w:val="24"/>
        </w:rPr>
        <w:t xml:space="preserve">Ayşe </w:t>
      </w:r>
      <w:proofErr w:type="spellStart"/>
      <w:r w:rsidRPr="004D3DA9">
        <w:rPr>
          <w:rFonts w:ascii="Times New Roman" w:hAnsi="Times New Roman" w:cs="Times New Roman"/>
          <w:color w:val="010000"/>
          <w:sz w:val="24"/>
          <w:szCs w:val="24"/>
        </w:rPr>
        <w:t>Durucan</w:t>
      </w:r>
      <w:proofErr w:type="spellEnd"/>
      <w:r w:rsidRPr="004D3DA9">
        <w:rPr>
          <w:rFonts w:ascii="Times New Roman" w:hAnsi="Times New Roman" w:cs="Times New Roman"/>
          <w:color w:val="010000"/>
          <w:sz w:val="24"/>
          <w:szCs w:val="24"/>
        </w:rPr>
        <w:t xml:space="preserve"> Saygı ve diğerleri [GK], B. No: 2020/17478, 29/11/2023, § …)</w:t>
      </w:r>
    </w:p>
    <w:p w14:paraId="3E2E463E"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Mahkemeye erişim hakkını sınırlayan kanunun şeklen var olması yeterli olmayıp yasal kuralların </w:t>
      </w:r>
      <w:proofErr w:type="spellStart"/>
      <w:r w:rsidRPr="004D3DA9">
        <w:rPr>
          <w:rFonts w:ascii="Times New Roman" w:hAnsi="Times New Roman" w:cs="Times New Roman"/>
          <w:color w:val="010000"/>
          <w:sz w:val="24"/>
          <w:szCs w:val="24"/>
        </w:rPr>
        <w:t>keyfîliğe</w:t>
      </w:r>
      <w:proofErr w:type="spellEnd"/>
      <w:r w:rsidRPr="004D3DA9">
        <w:rPr>
          <w:rFonts w:ascii="Times New Roman" w:hAnsi="Times New Roman" w:cs="Times New Roman"/>
          <w:color w:val="010000"/>
          <w:sz w:val="24"/>
          <w:szCs w:val="24"/>
        </w:rPr>
        <w:t xml:space="preserve"> izin vermeyecek şekilde belirli, ulaşılabilir ve öngörülebilir düzenlemeler niteliğinde olması gerekir.</w:t>
      </w:r>
    </w:p>
    <w:p w14:paraId="10497C1D"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6E2B11DD"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proofErr w:type="spellStart"/>
      <w:r w:rsidRPr="004D3DA9">
        <w:rPr>
          <w:rFonts w:ascii="Times New Roman" w:hAnsi="Times New Roman" w:cs="Times New Roman"/>
          <w:color w:val="010000"/>
          <w:sz w:val="24"/>
          <w:szCs w:val="24"/>
        </w:rPr>
        <w:lastRenderedPageBreak/>
        <w:t>Sözleşme’de</w:t>
      </w:r>
      <w:proofErr w:type="spellEnd"/>
      <w:r w:rsidRPr="004D3DA9">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4D3DA9">
        <w:rPr>
          <w:rFonts w:ascii="Times New Roman" w:hAnsi="Times New Roman" w:cs="Times New Roman"/>
          <w:color w:val="010000"/>
          <w:sz w:val="24"/>
          <w:szCs w:val="24"/>
        </w:rPr>
        <w:t>Roche</w:t>
      </w:r>
      <w:proofErr w:type="spellEnd"/>
      <w:r w:rsidRPr="004D3DA9">
        <w:rPr>
          <w:rFonts w:ascii="Times New Roman" w:hAnsi="Times New Roman" w:cs="Times New Roman"/>
          <w:color w:val="010000"/>
          <w:sz w:val="24"/>
          <w:szCs w:val="24"/>
        </w:rPr>
        <w:t xml:space="preserve">/Birleşik Krallık [BD], B. No: 32555/96, 19/10/2005, § 117; </w:t>
      </w:r>
      <w:proofErr w:type="spellStart"/>
      <w:r w:rsidRPr="004D3DA9">
        <w:rPr>
          <w:rFonts w:ascii="Times New Roman" w:hAnsi="Times New Roman" w:cs="Times New Roman"/>
          <w:color w:val="010000"/>
          <w:sz w:val="24"/>
          <w:szCs w:val="24"/>
        </w:rPr>
        <w:t>Stanev</w:t>
      </w:r>
      <w:proofErr w:type="spellEnd"/>
      <w:r w:rsidRPr="004D3DA9">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4D3DA9">
        <w:rPr>
          <w:rFonts w:ascii="Times New Roman" w:hAnsi="Times New Roman" w:cs="Times New Roman"/>
          <w:color w:val="010000"/>
          <w:sz w:val="24"/>
          <w:szCs w:val="24"/>
        </w:rPr>
        <w:t>Golder</w:t>
      </w:r>
      <w:proofErr w:type="spellEnd"/>
      <w:r w:rsidRPr="004D3DA9">
        <w:rPr>
          <w:rFonts w:ascii="Times New Roman" w:hAnsi="Times New Roman" w:cs="Times New Roman"/>
          <w:color w:val="010000"/>
          <w:sz w:val="24"/>
          <w:szCs w:val="24"/>
        </w:rPr>
        <w:t>/Birleşik Krallık [GK], B. No: 4451/70, 21/2/1975, § 36).</w:t>
      </w:r>
    </w:p>
    <w:p w14:paraId="4D13B332" w14:textId="038532FA"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 kapsamda yapılan değerlendirmede istinaf kararlarına direnilememesi yargı mercileri önünde dava hakkını sınırlama getirmektedir. Yargıtay Hukuk Dairelerine tanınmayan bu yetkinin istinaf mahkemelerine tanınmış olması, istinaf mahkemesi kararlarının tartışmalı hale getirebileceği gibi, ilk derece mahkemesince yeniden yapılan yargılama sonucunda önceki kararın aynısının verilmesi halinde kısır bir döngüye girilerek, yargılamanın gereksiz şekilde uzamasına, zaman ve masraf kaybına neden olacağı ve bu şekilde Anayasanın 36. maddesi ve Avrupa İnsan Hakları Sözleşmesinin 6. maddesiyle tanınan ve Hukuk devleti kavramının en önemli ilkelerinden biri olan ‘Adil Yargılanma Hakkı’nın ihlal edilmiş olacağı aşikardır. İlk derece mahkemelerine ısrar hakkının tanınması, ‘yargılama sürecini uzatır’ gibi gözükse de, asıl amacın, sağlıklı ve adil bir yargılama faaliyetini gerçekleştirmek olduğu düşünüldüğünde, ilk derece mahkemeleri ile istinaf mahkemeleri arasında doğacak bu türden bir uyuşmazlığın bir başka mahkemeye veya Yargıtay’a taşınması ve etkin bir hukuki denetim yoluyla daha isabetli bir sonuca ulaşılmasını, dolayısıyla hak arayan kişilerin hak ettikleri ve arzuladıktan sonucu bir an önce elde etmelerini sağlayacağı ve bu şekilde Anayasa ve Avrupa İnsan haklan Sözleşmesinin 6. maddesiyle tanınan ‘Adil Yargılanma Hakkı’nın da sağlanmış olacağı muhakkaktır. Gönderme kararının kesin verildiği, ilk derece mahkemesinin verilen karar doğrultusunda gerekçe oluşturup hüküm vermek zorunda olduğu dikkate alındığında ilk derece mahkemesine yapılacak gönderme kararı bir talimat niteliğinde olacak ve bu durum iddialarının ve delillerinin istenildiği hızla karşılanmaması durumuyla karşılaşan kişilerin hukuka olan güvenlerini de sarsacaktır.</w:t>
      </w:r>
    </w:p>
    <w:p w14:paraId="07CE5B09" w14:textId="02440C12"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40.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(Temel Hak Ve Hürriyetlerin Korunması) uyarınca yapılan değerlendirmede;</w:t>
      </w:r>
    </w:p>
    <w:p w14:paraId="128721E4"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652BF574"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215CAEF6" w14:textId="1B04001E"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Bu kapsamda yapılan değerlendirmede yerel mahkemelerce, bölge adliye mahkemesi kararlarına direnme yetkisinin verilmesi halinde davanın taraflarının hak ve hürriyetlerine </w:t>
      </w:r>
      <w:r w:rsidRPr="004D3DA9">
        <w:rPr>
          <w:rFonts w:ascii="Times New Roman" w:hAnsi="Times New Roman" w:cs="Times New Roman"/>
          <w:color w:val="010000"/>
          <w:sz w:val="24"/>
          <w:szCs w:val="24"/>
        </w:rPr>
        <w:lastRenderedPageBreak/>
        <w:t>koruma tanınmış olacaktır. Bu minvalde devletin gerekli ve yeterli mekanizmaları oluşturarak uygun koşulları sağlama yükümlülüğü bulunmaktadır.</w:t>
      </w:r>
    </w:p>
    <w:p w14:paraId="7BB0CAE3" w14:textId="3226D8B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138.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 xml:space="preserve">addesi (Mahkemelerin Bağımsızlığı- Hiçbir </w:t>
      </w:r>
      <w:proofErr w:type="gramStart"/>
      <w:r w:rsidRPr="004D3DA9">
        <w:rPr>
          <w:rFonts w:ascii="Times New Roman" w:hAnsi="Times New Roman" w:cs="Times New Roman"/>
          <w:color w:val="010000"/>
          <w:sz w:val="24"/>
          <w:szCs w:val="24"/>
        </w:rPr>
        <w:t>organ,...</w:t>
      </w:r>
      <w:proofErr w:type="gramEnd"/>
      <w:r w:rsidRPr="004D3DA9">
        <w:rPr>
          <w:rFonts w:ascii="Times New Roman" w:hAnsi="Times New Roman" w:cs="Times New Roman"/>
          <w:color w:val="010000"/>
          <w:sz w:val="24"/>
          <w:szCs w:val="24"/>
        </w:rPr>
        <w:t xml:space="preserve"> mahkemelere ve hakimlere ... tavsiye ve telkinde bulunamaz) uyarınca yapılan değerlendirmede;</w:t>
      </w:r>
    </w:p>
    <w:p w14:paraId="48645728"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
    <w:p w14:paraId="121AC8C5" w14:textId="74EF4A58"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Bununla birlikte Anayasa'nın 138. maddesi, kanun yollarına başvurmayı ve bir mahkeme kararının başka bir hâkim veya mahkemece incelenmesini engelleyici bir hüküm koymuş değildir. Bu maddenin öngördüğü bağımsızlığın amacı, herhangi bir işi veya davayı tek bir hâkime veya tek bir mahkemeye gördürüp yalnızca o hâkim veya o mahkemenin kanısına göre hükme bağlatmak olmayıp yargı işlerinin dışarıdan gelecek etkilerden uzak ve yalnız hukuki ölçülere göre değerlendirilip hükme bağlanmasını sağlamaktır. Bu bakımdan verilen kararların veya hükümlerin Anayasa'ya, kanuna ve hukuka uygunluğunu güvence altına almak üzere bir işin veya davanın, başka bir hâkim veya mahkemeye incelettirilmesini ve o hâkim veya mahkemenin kararının ilk hâkim veya mahkeme için bağlayıcı olmasını öngören bir kanun hükmü, Anayasa'nın sözü edilen maddesindeki bağımsızlık ilkesine aykırılık oluşturmaz.</w:t>
      </w:r>
    </w:p>
    <w:p w14:paraId="2894FAF8"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Bu kapsamda yerel mahkemece verilen kararların bölge adliye mahkemelerince kaldırılması halinde direnme neticesinde Yargıtay tarafından da incelenmesinde bir mahsur bulunmamaktadır. Aksine ilk derece mahkemesince verilen kararın istinaf yoluna gitmesi neticesinde verilen bozma kararına karşı direnememesi halinde ilk derece mahkemesince daha evvel yapılan yargılama neticesinde ulaşılan kanaatin aksinin ve netice itibariyle mahkemede oluşan vicdani kanaatin tersi bir uygulama zorunluluğu doğmaktadır. Bu da Anayasa m. 138'de düzenlenen hakimlerin anayasaya kanuna ve hukuka uygun olarak vicdani kanaatlerine göre hüküm vereceklerine ilişkin düzenlemesine aykırılık oluşturacaktır. Ayrıca istinaf incelemesinin uyuşmazlığın esasına ilişkin yapıldığı durumda davanın görüldüğü mahkeme artık ilk derece mahkemesi değildir. Bölge adliye mahkemesinin esasa ilişkin yaptığı tespitlere göre gerekçe oluşturması, bu hususta tahkikatı kendisinin yapması kanunî hâkim güvencesi ile uyumlu olacaktır. İstinaf mahkemesinin bu durumda ilk derece mahkemesine yapması gereken görevi gönderme kararı ile nakletmesi kanunî hâkim güvencesinin ihlâli olarak kabul edilmelidir. Bu karar haklı olarak öğretide idare hukuku anlamında ‘fonksiyon gaspına’ benzetilmiştir. İlk derece mahkemesinin bölge adliye mahkemesinin gönderme kararı ile yetkilendirilerek inanmadığı kanaatin aksine hükme zorlanması kanunî hâkim güvencesine aykırılık dolayısıyla bir Anayasa ihlâlidir.</w:t>
      </w:r>
    </w:p>
    <w:p w14:paraId="4D6B37B5" w14:textId="6777AB3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Bağımsızlık yasal düzenlemeler ile sağlanabilecek bir unsurdur. Yasal düzenlemelerin hakimlerin bağımsızlığını sağlayacak nitelikte olması gerekirken bunun aksine bölge adliye mahkemelerinin kararlarına direnilemeyeceğine ilişkin bir düzenleme yapılarak ilk derece hakimlerini başka hakimlerin takdir yetkisi ve hukuki değerlendirmesiyle bağlamak hakimlerin bağımsızlığı ilkesine açıkça aykırıdır. Bölge Adliye Mahkemesi kararları Yargıtay İçtihadı Birleştirme Kararı niteliğinde olmayıp temyiz denetimine tabi kararlardır. Bölge Adliye Mahkemeleri kendileri de yargılama yapabilen merciler olup </w:t>
      </w:r>
      <w:proofErr w:type="spellStart"/>
      <w:r w:rsidRPr="004D3DA9">
        <w:rPr>
          <w:rFonts w:ascii="Times New Roman" w:hAnsi="Times New Roman" w:cs="Times New Roman"/>
          <w:color w:val="010000"/>
          <w:sz w:val="24"/>
          <w:szCs w:val="24"/>
        </w:rPr>
        <w:t>usuli</w:t>
      </w:r>
      <w:proofErr w:type="spellEnd"/>
      <w:r w:rsidRPr="004D3DA9">
        <w:rPr>
          <w:rFonts w:ascii="Times New Roman" w:hAnsi="Times New Roman" w:cs="Times New Roman"/>
          <w:color w:val="010000"/>
          <w:sz w:val="24"/>
          <w:szCs w:val="24"/>
        </w:rPr>
        <w:t xml:space="preserve"> eksiklikler dışında ilk derece </w:t>
      </w:r>
      <w:r w:rsidRPr="004D3DA9">
        <w:rPr>
          <w:rFonts w:ascii="Times New Roman" w:hAnsi="Times New Roman" w:cs="Times New Roman"/>
          <w:color w:val="010000"/>
          <w:sz w:val="24"/>
          <w:szCs w:val="24"/>
        </w:rPr>
        <w:lastRenderedPageBreak/>
        <w:t>mahkemesi kararını kaldıramayıp kendilerinin yargılama yapması gerekmektedir. Ancak Bölge Adliye Mahkemeleri uygulamada, verdikleri kararlara direnilemeyeceğine ilişkin iptalini istediğimiz maddeden yararlanarak kendi inceleme yetkilerini aşıp ilk derece mahkemesi hakimlerinin yerine geçerek değerlendirme yapmakta kendi hukuki değerlendirme ve nitelendirmelerini ilk derece mahkemesi hakimlerine dayatarak kanunda sayılan kaldırma şartlarını yorum yoluyla genişletmektedirler. Bölge Adliye Mahkemesi’nin esasa ilişkin değerlendirmeleri ilk derece mahkemelerine emir, talimat verme, telkinde bulunma niteliğinde olup Anayasal hükümlere açıkça aykırıdır. Bölge Adliye Mahkemesi kararlarına direnilememesi açıkça ilk derece mahkemelerine ve bu mahkemelerin hakimlerine emir ve talimat verildiği anlamına gelmekte olup mahkemelerin bağımsız şekilde çalışmasını engellemekte mahkeme ve hakimler üzerinde baskı yaratmakta olup bu maddenin iptal edilmesi gerekmektedir.</w:t>
      </w:r>
    </w:p>
    <w:p w14:paraId="2544F7F7" w14:textId="24EB5578"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141.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 (Duruşmaların Acık Ve Kararların Gerekçeli Olması-Davaların en az giderle ve mümkün olan süratle sonuçlandırılması) uyarınca yapılan değerlendirmede;</w:t>
      </w:r>
    </w:p>
    <w:p w14:paraId="61E99712"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3D4EDBB2" w14:textId="76279478"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154F0266"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 Öte yandan Anayasanın 14l/son maddesinde lafzını bulan davaların en az giderle ve mümkün olan süratle sonuçlandırılmasının yargının görevi olduğuna ilişkin düzenleme doğrultusunda bölge adliye mahkemelerince verilen bozma kararlarına direnilememesi </w:t>
      </w:r>
      <w:r w:rsidRPr="004D3DA9">
        <w:rPr>
          <w:rFonts w:ascii="Times New Roman" w:hAnsi="Times New Roman" w:cs="Times New Roman"/>
          <w:color w:val="010000"/>
          <w:sz w:val="24"/>
          <w:szCs w:val="24"/>
        </w:rPr>
        <w:lastRenderedPageBreak/>
        <w:t>sonucunda yeniden yargılama yapılması daha evvel kanaati oluşmuş olan ilk derece mahkemesinde aynı kanaati doğrultusunda verilecek kararın yeniden bölge adliye mahkemesi önüne gitmesi ile yargısal süreç uzayacak gereksiz yargılama gideri yapılmasına neden olacaktır.</w:t>
      </w:r>
    </w:p>
    <w:p w14:paraId="2BE8320B" w14:textId="6A57D3A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Bölge Adliye Mahkemesinin kendisinin karara bağlayacağı uyuşmazlığın kendisinin belirlediği kapsamda ilk derece mahkemesinin karara bağlaması amacıyla gönderme kararı vermesi </w:t>
      </w:r>
      <w:proofErr w:type="spellStart"/>
      <w:r w:rsidRPr="004D3DA9">
        <w:rPr>
          <w:rFonts w:ascii="Times New Roman" w:hAnsi="Times New Roman" w:cs="Times New Roman"/>
          <w:color w:val="010000"/>
          <w:sz w:val="24"/>
          <w:szCs w:val="24"/>
        </w:rPr>
        <w:t>usûl</w:t>
      </w:r>
      <w:proofErr w:type="spellEnd"/>
      <w:r w:rsidRPr="004D3DA9">
        <w:rPr>
          <w:rFonts w:ascii="Times New Roman" w:hAnsi="Times New Roman" w:cs="Times New Roman"/>
          <w:color w:val="010000"/>
          <w:sz w:val="24"/>
          <w:szCs w:val="24"/>
        </w:rPr>
        <w:t xml:space="preserve"> ekonomisi ilkesinin ihlâlidir.</w:t>
      </w:r>
    </w:p>
    <w:p w14:paraId="05D48B6B"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Netice itibariyle bölge adliye mahkemesi kararlarına direnilememesi Yargıtay kararlarına karşı dahi direnme kararı verebilen ilk derece mahkemelerinin bölge adliye mahkemesinin bozma kararlarına karşı direnme yetkisinin bulunmayışının bir çelişki olduğu, hukuk mantığıyla bağdaşmadığı, adalet ve eşitlik ilkelerine aykırı olduğu, direnme kararı verilememesi nedeniyle ilk derece mahkemelerinin yargılama görev ve yetkisinin ortadan kaldırıldığı, ilk derece mahkemelerinin bölge adliye mahkemelerinin emir ve talimatlarını yerine getiren idari bir birim hâline getirildiği, direnme yasağının varlığı nedeniyle ilk derece mahkemeleri ile bölge adliye mahkemeleri arasında çıkabilecek hukuki ihtilafların bir merci tarafından çözümüne imkân tanınmadığı, bu durumun ise yargılama neticesinde adil ve isabetli bir karara ulaşma olasılığını azalttığı ve bölge adliye mahkemelerinin kararlarının yargısal denetimini imkânsız kıldığı, ilk derece mahkemesi hâkiminin vicdani kanaati doğrultusunda vermiş olduğu kararın bölge adliye mahkemesince bozulması hâlinde bu bozma kararına karşı direnme kararı verilememesi nedeniyle ilk derece mahkemesi hâkiminin vicdani kanaatine aykırı şekilde hüküm kurmak zorunda bırakıldığı, ilk derece mahkemesinin bozma kararı doğrultusunda yeniden yargılama yapıp yine vicdani kanaati doğrultusunda karar vermesi hâlinde ise yargılamanın gereksiz yere uzayacağı ve yargılama giderlerinin artacağı, direnme kararı verilememesi nedeniyle bölge adliye mahkemeleri arasında içtihat birliğinin sağlanamayacağından Anayasa'nın Hukuk devleti, Devletin kişinin temel hak ve hürriyetlerini, sosyal hukuk devleti ve adalet ilkeleriyle bağdaşmayacak surette sınırlayan siyasal, ekonomik ve sosyal engelleri kaldırma yükümlülüğü, Kanun Önünde Eşitlik, Temel hak ve hürriyetlerin sınırlanması, Hak Arama Hürriyeti, Temel Hak Ve Hürriyetlerin Korunması, Mahkemelerin Bağımsızlığı ve Davaların en az giderle ve mümkün olan süratle sonuçlandırılması maddelerine aykırılık teşkil ettiği anlaşılmakla iptaline karar verilmesi gerekmektedir.</w:t>
      </w:r>
    </w:p>
    <w:p w14:paraId="605E8A74" w14:textId="2AE20B3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6216 sayılı Anayasa Mahkemesinin Kuruluşu ve Yargılama Usulleri Hakkında Kanunun 43.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 xml:space="preserve">addesinin 3. fıkrası uyarınca Mahkemenizce </w:t>
      </w:r>
      <w:proofErr w:type="spellStart"/>
      <w:r w:rsidRPr="004D3DA9">
        <w:rPr>
          <w:rFonts w:ascii="Times New Roman" w:hAnsi="Times New Roman" w:cs="Times New Roman"/>
          <w:color w:val="010000"/>
          <w:sz w:val="24"/>
          <w:szCs w:val="24"/>
        </w:rPr>
        <w:t>re'sen</w:t>
      </w:r>
      <w:proofErr w:type="spellEnd"/>
      <w:r w:rsidRPr="004D3DA9">
        <w:rPr>
          <w:rFonts w:ascii="Times New Roman" w:hAnsi="Times New Roman" w:cs="Times New Roman"/>
          <w:color w:val="010000"/>
          <w:sz w:val="24"/>
          <w:szCs w:val="24"/>
        </w:rPr>
        <w:t xml:space="preserve"> gözetilecek diğer gerekçeler de göz önünde bulundurularak iptal kararı verilmesi talep olunur.</w:t>
      </w:r>
    </w:p>
    <w:p w14:paraId="25F280C0"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GEREĞİ DÜŞÜNÜLDÜ: Yukarıda açıklanan gerekçelerle;</w:t>
      </w:r>
    </w:p>
    <w:p w14:paraId="75679336" w14:textId="4CD07263" w:rsidR="004F695D" w:rsidRPr="004D3DA9" w:rsidRDefault="004F695D" w:rsidP="004D3DA9">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4D3DA9">
        <w:rPr>
          <w:rFonts w:ascii="Times New Roman" w:hAnsi="Times New Roman" w:cs="Times New Roman"/>
          <w:color w:val="010000"/>
          <w:sz w:val="24"/>
          <w:szCs w:val="24"/>
        </w:rPr>
        <w:t>Türkiye Cumhuriyeti Anayasasının 152/1 maddesi uyarınca,</w:t>
      </w:r>
    </w:p>
    <w:p w14:paraId="21878797" w14:textId="77777777"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6100 sayılı Hukuk Muhakemeleri Kanunu’nun;</w:t>
      </w:r>
    </w:p>
    <w:p w14:paraId="676960D4" w14:textId="2BE62B2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"Duruşma yapılmadan verilecek kararlar" madde başlığıyla düzenlenen 353. </w:t>
      </w:r>
      <w:r w:rsidR="008F36FE" w:rsidRPr="004D3DA9">
        <w:rPr>
          <w:rFonts w:ascii="Times New Roman" w:hAnsi="Times New Roman" w:cs="Times New Roman"/>
          <w:color w:val="010000"/>
          <w:sz w:val="24"/>
          <w:szCs w:val="24"/>
        </w:rPr>
        <w:t>m</w:t>
      </w:r>
      <w:r w:rsidRPr="004D3DA9">
        <w:rPr>
          <w:rFonts w:ascii="Times New Roman" w:hAnsi="Times New Roman" w:cs="Times New Roman"/>
          <w:color w:val="010000"/>
          <w:sz w:val="24"/>
          <w:szCs w:val="24"/>
        </w:rPr>
        <w:t>addesinin 1. fıkrasının a bendinde yer alan "...kesin olarak..." ibaresinin,</w:t>
      </w:r>
    </w:p>
    <w:p w14:paraId="7EBBC450" w14:textId="0FFB27A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 xml:space="preserve">Anayasanın 2., 5., 10., 13., 36., 40., 138. ve 141. maddelerine aykırı olması nedeniyle </w:t>
      </w:r>
      <w:proofErr w:type="spellStart"/>
      <w:r w:rsidRPr="004D3DA9">
        <w:rPr>
          <w:rFonts w:ascii="Times New Roman" w:hAnsi="Times New Roman" w:cs="Times New Roman"/>
          <w:color w:val="010000"/>
          <w:sz w:val="24"/>
          <w:szCs w:val="24"/>
        </w:rPr>
        <w:t>re'sen</w:t>
      </w:r>
      <w:proofErr w:type="spellEnd"/>
      <w:r w:rsidRPr="004D3DA9">
        <w:rPr>
          <w:rFonts w:ascii="Times New Roman" w:hAnsi="Times New Roman" w:cs="Times New Roman"/>
          <w:color w:val="010000"/>
          <w:sz w:val="24"/>
          <w:szCs w:val="24"/>
        </w:rPr>
        <w:t xml:space="preserve"> Anayasa Mahkemesine itiraz yoluna başvurulmasına ve hükmün bu ibaresinin İPTALİNİN istenilmesine,</w:t>
      </w:r>
    </w:p>
    <w:p w14:paraId="04AEDCE7" w14:textId="328E1B9B"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lastRenderedPageBreak/>
        <w:t>2- 6216 sayılı Anayasa Mahkemesinin Kuruluşu ve Yargılama Usulleri Hakkında Kanunun 40. maddesi uyarınca;</w:t>
      </w:r>
    </w:p>
    <w:p w14:paraId="6D0026BB" w14:textId="1050ED20"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proofErr w:type="gramStart"/>
      <w:r w:rsidRPr="004D3DA9">
        <w:rPr>
          <w:rFonts w:ascii="Times New Roman" w:hAnsi="Times New Roman" w:cs="Times New Roman"/>
          <w:color w:val="010000"/>
          <w:sz w:val="24"/>
          <w:szCs w:val="24"/>
        </w:rPr>
        <w:t>a</w:t>
      </w:r>
      <w:proofErr w:type="gramEnd"/>
      <w:r w:rsidRPr="004D3DA9">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23A4ABC" w14:textId="2D46BF04"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proofErr w:type="gramStart"/>
      <w:r w:rsidRPr="004D3DA9">
        <w:rPr>
          <w:rFonts w:ascii="Times New Roman" w:hAnsi="Times New Roman" w:cs="Times New Roman"/>
          <w:color w:val="010000"/>
          <w:sz w:val="24"/>
          <w:szCs w:val="24"/>
        </w:rPr>
        <w:t>b</w:t>
      </w:r>
      <w:proofErr w:type="gramEnd"/>
      <w:r w:rsidRPr="004D3DA9">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55BFAE3C" w14:textId="528401D2"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5CE20A9F" w14:textId="0BA59D6D" w:rsidR="004F695D"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6B951CF0" w:rsidR="00743DA7" w:rsidRPr="004D3DA9" w:rsidRDefault="004F695D" w:rsidP="004D3DA9">
      <w:pPr>
        <w:spacing w:before="240" w:after="100" w:afterAutospacing="1" w:line="240" w:lineRule="auto"/>
        <w:ind w:firstLine="709"/>
        <w:jc w:val="both"/>
        <w:rPr>
          <w:rFonts w:ascii="Times New Roman" w:hAnsi="Times New Roman" w:cs="Times New Roman"/>
          <w:color w:val="010000"/>
          <w:sz w:val="24"/>
          <w:szCs w:val="24"/>
        </w:rPr>
      </w:pPr>
      <w:r w:rsidRPr="004D3DA9">
        <w:rPr>
          <w:rFonts w:ascii="Times New Roman" w:hAnsi="Times New Roman" w:cs="Times New Roman"/>
          <w:color w:val="010000"/>
          <w:sz w:val="24"/>
          <w:szCs w:val="24"/>
        </w:rPr>
        <w:t>5- Kararın bir nüshasının bilgi amaçlı olarak taraflara tebliğine,</w:t>
      </w:r>
      <w:r w:rsidR="00860AB3" w:rsidRPr="004D3DA9">
        <w:rPr>
          <w:rFonts w:ascii="Times New Roman" w:hAnsi="Times New Roman" w:cs="Times New Roman"/>
          <w:color w:val="010000"/>
          <w:sz w:val="24"/>
          <w:szCs w:val="24"/>
        </w:rPr>
        <w:t>”</w:t>
      </w:r>
    </w:p>
    <w:sectPr w:rsidR="00743DA7" w:rsidRPr="004D3DA9" w:rsidSect="004D3DA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C202" w14:textId="77777777" w:rsidR="00DD1B35" w:rsidRDefault="00DD1B35" w:rsidP="006F3DAB">
      <w:pPr>
        <w:spacing w:after="0" w:line="240" w:lineRule="auto"/>
      </w:pPr>
      <w:r>
        <w:separator/>
      </w:r>
    </w:p>
  </w:endnote>
  <w:endnote w:type="continuationSeparator" w:id="0">
    <w:p w14:paraId="798EBC0D" w14:textId="77777777" w:rsidR="00DD1B35" w:rsidRDefault="00DD1B3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B7C0" w14:textId="77777777" w:rsidR="004D3DA9" w:rsidRDefault="004D3DA9"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1278625" w14:textId="77777777" w:rsidR="004D3DA9" w:rsidRDefault="004D3DA9" w:rsidP="004D3D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242E" w14:textId="42EB38AC" w:rsidR="004D3DA9" w:rsidRPr="004D3DA9" w:rsidRDefault="004D3DA9" w:rsidP="004905DD">
    <w:pPr>
      <w:pStyle w:val="AltBilgi"/>
      <w:framePr w:wrap="around" w:vAnchor="text" w:hAnchor="margin" w:xAlign="right" w:y="1"/>
      <w:rPr>
        <w:rStyle w:val="SayfaNumaras"/>
        <w:rFonts w:ascii="Times New Roman" w:hAnsi="Times New Roman" w:cs="Times New Roman"/>
      </w:rPr>
    </w:pPr>
    <w:r w:rsidRPr="004D3DA9">
      <w:rPr>
        <w:rStyle w:val="SayfaNumaras"/>
        <w:rFonts w:ascii="Times New Roman" w:hAnsi="Times New Roman" w:cs="Times New Roman"/>
      </w:rPr>
      <w:fldChar w:fldCharType="begin"/>
    </w:r>
    <w:r w:rsidRPr="004D3DA9">
      <w:rPr>
        <w:rStyle w:val="SayfaNumaras"/>
        <w:rFonts w:ascii="Times New Roman" w:hAnsi="Times New Roman" w:cs="Times New Roman"/>
      </w:rPr>
      <w:instrText xml:space="preserve"> PAGE </w:instrText>
    </w:r>
    <w:r w:rsidRPr="004D3DA9">
      <w:rPr>
        <w:rStyle w:val="SayfaNumaras"/>
        <w:rFonts w:ascii="Times New Roman" w:hAnsi="Times New Roman" w:cs="Times New Roman"/>
      </w:rPr>
      <w:fldChar w:fldCharType="separate"/>
    </w:r>
    <w:r w:rsidRPr="004D3DA9">
      <w:rPr>
        <w:rStyle w:val="SayfaNumaras"/>
        <w:rFonts w:ascii="Times New Roman" w:hAnsi="Times New Roman" w:cs="Times New Roman"/>
        <w:noProof/>
      </w:rPr>
      <w:t>1</w:t>
    </w:r>
    <w:r w:rsidRPr="004D3DA9">
      <w:rPr>
        <w:rStyle w:val="SayfaNumaras"/>
        <w:rFonts w:ascii="Times New Roman" w:hAnsi="Times New Roman" w:cs="Times New Roman"/>
      </w:rPr>
      <w:fldChar w:fldCharType="end"/>
    </w:r>
  </w:p>
  <w:p w14:paraId="285A0729" w14:textId="6CBF0DAD" w:rsidR="002975B8" w:rsidRPr="004D3DA9" w:rsidRDefault="002975B8" w:rsidP="004D3DA9">
    <w:pPr>
      <w:pStyle w:val="AltBilgi"/>
      <w:ind w:right="360"/>
      <w:jc w:val="right"/>
      <w:rPr>
        <w:rFonts w:ascii="Times New Roman" w:hAnsi="Times New Roman" w:cs="Times New Roman"/>
      </w:rPr>
    </w:pPr>
  </w:p>
  <w:p w14:paraId="46879A97" w14:textId="77777777" w:rsidR="002975B8" w:rsidRPr="004D3DA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C0EF" w14:textId="77777777" w:rsidR="00DD1B35" w:rsidRDefault="00DD1B35" w:rsidP="006F3DAB">
      <w:pPr>
        <w:spacing w:after="0" w:line="240" w:lineRule="auto"/>
      </w:pPr>
      <w:r>
        <w:separator/>
      </w:r>
    </w:p>
  </w:footnote>
  <w:footnote w:type="continuationSeparator" w:id="0">
    <w:p w14:paraId="5947C664" w14:textId="77777777" w:rsidR="00DD1B35" w:rsidRDefault="00DD1B3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D448" w14:textId="77777777" w:rsidR="004D3DA9" w:rsidRPr="004D3DA9" w:rsidRDefault="004D3DA9" w:rsidP="004D3DA9">
    <w:pPr>
      <w:pStyle w:val="stBilgi"/>
      <w:rPr>
        <w:rFonts w:ascii="Times New Roman" w:hAnsi="Times New Roman" w:cs="Times New Roman"/>
      </w:rPr>
    </w:pPr>
    <w:r w:rsidRPr="004D3DA9">
      <w:rPr>
        <w:rFonts w:ascii="Times New Roman" w:hAnsi="Times New Roman" w:cs="Times New Roman"/>
      </w:rPr>
      <w:t xml:space="preserve">Esas Sayısı </w:t>
    </w:r>
    <w:proofErr w:type="gramStart"/>
    <w:r w:rsidRPr="004D3DA9">
      <w:rPr>
        <w:rFonts w:ascii="Times New Roman" w:hAnsi="Times New Roman" w:cs="Times New Roman"/>
      </w:rPr>
      <w:t xml:space="preserve">  :</w:t>
    </w:r>
    <w:proofErr w:type="gramEnd"/>
    <w:r w:rsidRPr="004D3DA9">
      <w:rPr>
        <w:rFonts w:ascii="Times New Roman" w:hAnsi="Times New Roman" w:cs="Times New Roman"/>
      </w:rPr>
      <w:t xml:space="preserve"> 2025/71</w:t>
    </w:r>
  </w:p>
  <w:p w14:paraId="1300E53A" w14:textId="4AD4B99A" w:rsidR="004D3DA9" w:rsidRPr="004D3DA9" w:rsidRDefault="004D3DA9" w:rsidP="004D3DA9">
    <w:pPr>
      <w:pStyle w:val="stBilgi"/>
    </w:pPr>
    <w:r w:rsidRPr="004D3DA9">
      <w:rPr>
        <w:rFonts w:ascii="Times New Roman" w:hAnsi="Times New Roman" w:cs="Times New Roman"/>
      </w:rPr>
      <w:t xml:space="preserve">Karar </w:t>
    </w:r>
    <w:proofErr w:type="gramStart"/>
    <w:r w:rsidRPr="004D3DA9">
      <w:rPr>
        <w:rFonts w:ascii="Times New Roman" w:hAnsi="Times New Roman" w:cs="Times New Roman"/>
      </w:rPr>
      <w:t>Sayısı :</w:t>
    </w:r>
    <w:proofErr w:type="gramEnd"/>
    <w:r w:rsidRPr="004D3DA9">
      <w:rPr>
        <w:rFonts w:ascii="Times New Roman" w:hAnsi="Times New Roman" w:cs="Times New Roman"/>
      </w:rPr>
      <w:t xml:space="preserve"> 2025/62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35C33C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05326"/>
    <w:multiLevelType w:val="hybridMultilevel"/>
    <w:tmpl w:val="11B00946"/>
    <w:lvl w:ilvl="0" w:tplc="CD304652">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30"/>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36237"/>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3DA9"/>
    <w:rsid w:val="004D5BFD"/>
    <w:rsid w:val="004E4C11"/>
    <w:rsid w:val="004F695D"/>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66120"/>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8F36FE"/>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441A6"/>
    <w:rsid w:val="00D519A6"/>
    <w:rsid w:val="00D629B0"/>
    <w:rsid w:val="00D674A3"/>
    <w:rsid w:val="00D70C36"/>
    <w:rsid w:val="00D8707F"/>
    <w:rsid w:val="00D87D3C"/>
    <w:rsid w:val="00DA74D4"/>
    <w:rsid w:val="00DB552D"/>
    <w:rsid w:val="00DB6D91"/>
    <w:rsid w:val="00DD1B35"/>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B5F5-095F-4AC5-A008-A7FA7412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7225</Words>
  <Characters>41183</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2025-06-03T05:47:00Z</dcterms:created>
  <dcterms:modified xsi:type="dcterms:W3CDTF">2025-06-03T05:47:00Z</dcterms:modified>
</cp:coreProperties>
</file>