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65FC" w14:textId="77777777" w:rsidR="00D8356E" w:rsidRPr="00FD5B20" w:rsidRDefault="00860AB3"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w:t>
      </w:r>
      <w:r w:rsidR="00D8356E" w:rsidRPr="00FD5B20">
        <w:rPr>
          <w:rFonts w:ascii="Times New Roman" w:hAnsi="Times New Roman" w:cs="Times New Roman"/>
          <w:color w:val="010000"/>
          <w:sz w:val="24"/>
          <w:szCs w:val="24"/>
        </w:rPr>
        <w:t xml:space="preserve">Ön inceleme duruşmasında, diğer duruşmalardan farklı olarak duruşma zabıtları taraflarca imzalanmaktadır. Pratikte fayda sağlamayan itiraz konusu kısımlar ayrıca diğer itiraza konu ettiğimiz ön incelemenin duruşmasız yapılmasına da engel oluşturmakta ayrıca e-duruşma yöntemi ile yapılan duruşmalarda ise daha sonra sistem üzerinden e-imza ile imzalanması gibi süreci uzatan prosedürlere sebep olduğu aşikardır. Bu itiraz konusu kısımlar ile itiraz konusu ettiğimiz 6 numaralı ve 8 numaralı dosyadaki ilgili kısımların iptali ile birlikte ön inceleme safhası duruşma yapılmaksızın dosya üzerinden, tarafları sulh ve arabuluculuğa yönlendirmeden ve taraf imzalarına gerek duymadan en kısa şekilde yerine getirilecektir. Ön inceleme zabıtları ile diğer duruşma zabıtları asında bir fark bulunmamaktadır. Diğer duruşma zabıtlarının imzalanmayıp ön inceleme zabıtlarının imzalanması yerinde olmayan bir düzenlemedir. Çünkü duruşma zabıtları </w:t>
      </w:r>
      <w:proofErr w:type="gramStart"/>
      <w:r w:rsidR="00D8356E" w:rsidRPr="00FD5B20">
        <w:rPr>
          <w:rFonts w:ascii="Times New Roman" w:hAnsi="Times New Roman" w:cs="Times New Roman"/>
          <w:color w:val="010000"/>
          <w:sz w:val="24"/>
          <w:szCs w:val="24"/>
        </w:rPr>
        <w:t>resmi</w:t>
      </w:r>
      <w:proofErr w:type="gramEnd"/>
      <w:r w:rsidR="00D8356E" w:rsidRPr="00FD5B20">
        <w:rPr>
          <w:rFonts w:ascii="Times New Roman" w:hAnsi="Times New Roman" w:cs="Times New Roman"/>
          <w:color w:val="010000"/>
          <w:sz w:val="24"/>
          <w:szCs w:val="24"/>
        </w:rPr>
        <w:t xml:space="preserve"> belge niteliğindedir. İmza atılıp atılmamasının pratikte hiçbir faydası yoktur. Aksi veya sahteliği de aynı nitelikte bir belge ile mümkündür. İmza atmak suretiyle ön inceleme duruşma zabıtlarına kutsiyet atfetmeye lüzum yoktur.</w:t>
      </w:r>
    </w:p>
    <w:p w14:paraId="035CCCF5" w14:textId="43FF8BCE"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spellStart"/>
      <w:r w:rsidRPr="00FD5B20">
        <w:rPr>
          <w:rFonts w:ascii="Times New Roman" w:hAnsi="Times New Roman" w:cs="Times New Roman"/>
          <w:color w:val="010000"/>
          <w:sz w:val="24"/>
          <w:szCs w:val="24"/>
        </w:rPr>
        <w:t>HMK'daki</w:t>
      </w:r>
      <w:proofErr w:type="spellEnd"/>
      <w:r w:rsidRPr="00FD5B20">
        <w:rPr>
          <w:rFonts w:ascii="Times New Roman" w:hAnsi="Times New Roman" w:cs="Times New Roman"/>
          <w:color w:val="010000"/>
          <w:sz w:val="24"/>
          <w:szCs w:val="24"/>
        </w:rPr>
        <w:t xml:space="preserve"> düzenlemeye göre; yargıç, ön inceleme duruşmasında, dava şartları ve ilk itirazlar hakkında karar verebilmek için tarafları dinledikten sonra, iddia ve savunmaları çerçevesinde, anlaştıkları ve anlaşamadıkları hususları (uyuşmazlık konularını) tek tek tespit edecek; (m.140/1) bunları tutanağa geçirerek hazır bulunanlara imzalatacak ve tahkikat bu tutanak esas alınmak suretiyle yürütülecektir. (m.140/3, son iki cümle). İtiraz konusu husus da bu noktaya ilişkindir. Her ne kadar uyuşmazlığın belirlenmesi sonrası tarafların sulh olması veya sulh olmayıp da tahkikata devam edilmesi, ön inceleme zaptında yer almayan hususların tahkikata konu edilemeyeceği sebepleri ile imza atılmasını zorunlu kıldığı düşünülse de burada imza atmasının bir önemi yoktur. Çünkü duruşma tutanakları </w:t>
      </w:r>
      <w:proofErr w:type="gramStart"/>
      <w:r w:rsidRPr="00FD5B20">
        <w:rPr>
          <w:rFonts w:ascii="Times New Roman" w:hAnsi="Times New Roman" w:cs="Times New Roman"/>
          <w:color w:val="010000"/>
          <w:sz w:val="24"/>
          <w:szCs w:val="24"/>
        </w:rPr>
        <w:t>resmi</w:t>
      </w:r>
      <w:proofErr w:type="gramEnd"/>
      <w:r w:rsidRPr="00FD5B20">
        <w:rPr>
          <w:rFonts w:ascii="Times New Roman" w:hAnsi="Times New Roman" w:cs="Times New Roman"/>
          <w:color w:val="010000"/>
          <w:sz w:val="24"/>
          <w:szCs w:val="24"/>
        </w:rPr>
        <w:t xml:space="preserve"> belgedir. Aksi yine aynı güçte yazılı belge ile ispat edilebilir. Bu nedenle tutanağın imzalanıp imzalanmamasının bir önemi yoktur. Bu düşünce ile yaklaşılacak olursa diğer duruşma zabıtlarının da imzalanması gerektiği hususu ortaya çıkacaktır. Öninceleme duruşma tutanağı ile diğer duruşma tutanakları aynı niteliktedir. Bunun için imza atılmasına gerek yoktur.</w:t>
      </w:r>
    </w:p>
    <w:p w14:paraId="1A2F8B81" w14:textId="473BCAB1"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İPTALİ İSTENEN KANUN MADDESİNİN </w:t>
      </w:r>
      <w:proofErr w:type="spellStart"/>
      <w:r w:rsidRPr="00FD5B20">
        <w:rPr>
          <w:rFonts w:ascii="Times New Roman" w:hAnsi="Times New Roman" w:cs="Times New Roman"/>
          <w:color w:val="010000"/>
          <w:sz w:val="24"/>
          <w:szCs w:val="24"/>
        </w:rPr>
        <w:t>ANAYASA'ya</w:t>
      </w:r>
      <w:proofErr w:type="spellEnd"/>
      <w:r w:rsidRPr="00FD5B20">
        <w:rPr>
          <w:rFonts w:ascii="Times New Roman" w:hAnsi="Times New Roman" w:cs="Times New Roman"/>
          <w:color w:val="010000"/>
          <w:sz w:val="24"/>
          <w:szCs w:val="24"/>
        </w:rPr>
        <w:t xml:space="preserve"> ve AİHS'ye AYKIRILIĞI VE HUKUKİ </w:t>
      </w:r>
      <w:proofErr w:type="gramStart"/>
      <w:r w:rsidRPr="00FD5B20">
        <w:rPr>
          <w:rFonts w:ascii="Times New Roman" w:hAnsi="Times New Roman" w:cs="Times New Roman"/>
          <w:color w:val="010000"/>
          <w:sz w:val="24"/>
          <w:szCs w:val="24"/>
        </w:rPr>
        <w:t>GEREKÇESİ</w:t>
      </w:r>
      <w:r w:rsidR="00FD5B20" w:rsidRPr="00FD5B20">
        <w:rPr>
          <w:rFonts w:ascii="Times New Roman" w:hAnsi="Times New Roman" w:cs="Times New Roman"/>
          <w:color w:val="010000"/>
          <w:sz w:val="24"/>
          <w:szCs w:val="24"/>
        </w:rPr>
        <w:t xml:space="preserve"> </w:t>
      </w:r>
      <w:r w:rsidRPr="00FD5B20">
        <w:rPr>
          <w:rFonts w:ascii="Times New Roman" w:hAnsi="Times New Roman" w:cs="Times New Roman"/>
          <w:color w:val="010000"/>
          <w:sz w:val="24"/>
          <w:szCs w:val="24"/>
        </w:rPr>
        <w:t>:</w:t>
      </w:r>
      <w:proofErr w:type="gramEnd"/>
    </w:p>
    <w:p w14:paraId="2D0785B1" w14:textId="3B4AE61F"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2. maddesi (Cumhuriyetin nitelikleri-Hukuk devleti) uyarınca yapılan değerlendirmede;</w:t>
      </w:r>
    </w:p>
    <w:p w14:paraId="14A0A920" w14:textId="486D748F"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Anayasa’nın 2. maddesinde belirtilen hukuk devleti eylem ve işlemleri hukuka uygun, insan haklarına saygılı, bu hak ve özgürlükleri koruyup güçlendiren, her alanda adil bir hukuk </w:t>
      </w:r>
      <w:proofErr w:type="gramStart"/>
      <w:r w:rsidRPr="00FD5B20">
        <w:rPr>
          <w:rFonts w:ascii="Times New Roman" w:hAnsi="Times New Roman" w:cs="Times New Roman"/>
          <w:color w:val="010000"/>
          <w:sz w:val="24"/>
          <w:szCs w:val="24"/>
        </w:rPr>
        <w:t>düzeni</w:t>
      </w:r>
      <w:proofErr w:type="gramEnd"/>
      <w:r w:rsidRPr="00FD5B20">
        <w:rPr>
          <w:rFonts w:ascii="Times New Roman" w:hAnsi="Times New Roman" w:cs="Times New Roman"/>
          <w:color w:val="010000"/>
          <w:sz w:val="24"/>
          <w:szCs w:val="24"/>
        </w:rPr>
        <w:t xml:space="preserve">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7284F196" w14:textId="5096E8CA"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7134F3D6"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lastRenderedPageBreak/>
        <w:t>Bu bağlamda ön inceleme duruşmalarında tarafların imzasının alınmasının zorunlu kılınması, yasadaki düzenleme ile ulaşılmak istenen amaç arasındaki makul dengeyi sağlamadığından bu kuralın ölçülü olmadığı sonucuna ulaşılmıştır.</w:t>
      </w:r>
    </w:p>
    <w:p w14:paraId="177B4BC3"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7A584EAD" w14:textId="16AAD74B"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Bu kapsamda yapılan değerlendirmede ön incelemede imza alınmasının hiçbir yararı bulunmamaktadır. Hukuki menfaati olmayan bu düzenlemenin zorunlu olarak uygulanması adalete güven duygusunu zedelemektedir. Hukuki yarar sağlamayıp mahkemeye erişimi zorlaştırdığından bu hali ile keyfi bir düzenlemedir, hukuki güvenlik ve belirlilik ilkelerine aykırıdır.</w:t>
      </w:r>
    </w:p>
    <w:p w14:paraId="28CF4945" w14:textId="550564A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333AB0D0"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6D9DDFBF"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40BCD3E2" w14:textId="00995DA9"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İlgili maddenin iptali ile imza sebebiyle duruşma yapılarak süreci uzatan, emek ve mesai kaybına neden olan ve bu suretle vatandaşın hak arama özgürlüğü önünde engel olan bu madde kaldırılacak ve hak kayıplarının önüne geçilecek pratik çözümler uygulama alanı bulacaktır.</w:t>
      </w:r>
    </w:p>
    <w:p w14:paraId="13AC919B" w14:textId="7C2A786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13. maddesi (Temel hak ve hürriyetlerin sınırlanması) uyarınca yapılan değerlendirmede;</w:t>
      </w:r>
    </w:p>
    <w:p w14:paraId="5E5A9A09"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lastRenderedPageBreak/>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54D423FC" w14:textId="7ADAC03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14:paraId="697556C8"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6FEB221A" w14:textId="4C1471E5"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Bu kapsamda yapılan değerlendirmede ilgili madde, sınırlamanın belirtilen gerekçelerle amaca ulaşmaya elverişli </w:t>
      </w:r>
      <w:proofErr w:type="spellStart"/>
      <w:r w:rsidRPr="00FD5B20">
        <w:rPr>
          <w:rFonts w:ascii="Times New Roman" w:hAnsi="Times New Roman" w:cs="Times New Roman"/>
          <w:color w:val="010000"/>
          <w:sz w:val="24"/>
          <w:szCs w:val="24"/>
        </w:rPr>
        <w:t>elverişli</w:t>
      </w:r>
      <w:proofErr w:type="spellEnd"/>
      <w:r w:rsidRPr="00FD5B20">
        <w:rPr>
          <w:rFonts w:ascii="Times New Roman" w:hAnsi="Times New Roman" w:cs="Times New Roman"/>
          <w:color w:val="010000"/>
          <w:sz w:val="24"/>
          <w:szCs w:val="24"/>
        </w:rPr>
        <w:t xml:space="preserve"> olmadığı, amaç bakımından sınırlamanın zorunlu olmaması nedeniyle gereklilik ölçütüne aykırı olduğu, aynı amaca imza alınmadan da ulaşılabileceğinden gereklilik ilkesine aykırıdır. Hakka getirilen sınırlama ile amaç arasında makul bir dengenin gözetilmemesi nedeniyle orantılılık ölçütüne aykırı olduğu sonucuna varılmıştır.</w:t>
      </w:r>
    </w:p>
    <w:p w14:paraId="2A884006" w14:textId="3B77DDF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36. maddesi (Hak Arama Hürriyeti-adil yargılanma hakkı) uyarınca yapılan değerlendirmede;</w:t>
      </w:r>
    </w:p>
    <w:p w14:paraId="480CF454"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FD5B20">
        <w:rPr>
          <w:rFonts w:ascii="Times New Roman" w:hAnsi="Times New Roman" w:cs="Times New Roman"/>
          <w:color w:val="010000"/>
          <w:sz w:val="24"/>
          <w:szCs w:val="24"/>
        </w:rPr>
        <w:t>sahiptir./</w:t>
      </w:r>
      <w:proofErr w:type="gramEnd"/>
      <w:r w:rsidRPr="00FD5B20">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6ADFBADB" w14:textId="79339CD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spellStart"/>
      <w:r w:rsidRPr="00FD5B20">
        <w:rPr>
          <w:rFonts w:ascii="Times New Roman" w:hAnsi="Times New Roman" w:cs="Times New Roman"/>
          <w:color w:val="010000"/>
          <w:sz w:val="24"/>
          <w:szCs w:val="24"/>
        </w:rPr>
        <w:t>Sözleşme’de</w:t>
      </w:r>
      <w:proofErr w:type="spellEnd"/>
      <w:r w:rsidRPr="00FD5B20">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FD5B20">
        <w:rPr>
          <w:rFonts w:ascii="Times New Roman" w:hAnsi="Times New Roman" w:cs="Times New Roman"/>
          <w:color w:val="010000"/>
          <w:sz w:val="24"/>
          <w:szCs w:val="24"/>
        </w:rPr>
        <w:t>Roche</w:t>
      </w:r>
      <w:proofErr w:type="spellEnd"/>
      <w:r w:rsidRPr="00FD5B20">
        <w:rPr>
          <w:rFonts w:ascii="Times New Roman" w:hAnsi="Times New Roman" w:cs="Times New Roman"/>
          <w:color w:val="010000"/>
          <w:sz w:val="24"/>
          <w:szCs w:val="24"/>
        </w:rPr>
        <w:t xml:space="preserve">/Birleşik Krallık [BD], B. No: 32555/96, 19/10/2005, § 117; </w:t>
      </w:r>
      <w:proofErr w:type="spellStart"/>
      <w:r w:rsidRPr="00FD5B20">
        <w:rPr>
          <w:rFonts w:ascii="Times New Roman" w:hAnsi="Times New Roman" w:cs="Times New Roman"/>
          <w:color w:val="010000"/>
          <w:sz w:val="24"/>
          <w:szCs w:val="24"/>
        </w:rPr>
        <w:lastRenderedPageBreak/>
        <w:t>Stanev</w:t>
      </w:r>
      <w:proofErr w:type="spellEnd"/>
      <w:r w:rsidRPr="00FD5B20">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FD5B20">
        <w:rPr>
          <w:rFonts w:ascii="Times New Roman" w:hAnsi="Times New Roman" w:cs="Times New Roman"/>
          <w:color w:val="010000"/>
          <w:sz w:val="24"/>
          <w:szCs w:val="24"/>
        </w:rPr>
        <w:t>Golder</w:t>
      </w:r>
      <w:proofErr w:type="spellEnd"/>
      <w:r w:rsidRPr="00FD5B20">
        <w:rPr>
          <w:rFonts w:ascii="Times New Roman" w:hAnsi="Times New Roman" w:cs="Times New Roman"/>
          <w:color w:val="010000"/>
          <w:sz w:val="24"/>
          <w:szCs w:val="24"/>
        </w:rPr>
        <w:t>/Birleşik Krallık [GK], B. No: 4451/70, 21/2/1975, § 36).</w:t>
      </w:r>
    </w:p>
    <w:p w14:paraId="24104411"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1F101838"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İtiraz konusu kural tarafların ön inceleme duruşmasına katılmaları halinde duruşma tutanağının imzalanması zorunluluğunun mahkemeye erişim hakkına sınırlama getirmektedir.</w:t>
      </w:r>
    </w:p>
    <w:p w14:paraId="431000A4" w14:textId="0200F13F"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Temel bir hak olarak kabul edilen adil yargılanma hakkı, yargılamaların makul sürede sonuçlandırılmasını, bu surette bireylerin haklarına mümkün olan en kısa sürede kavuşmalarını da içermektedir. Bu bağlamda çağdaş hukuk devletinde, devletin temel hizmetlerinden birisi olarak yargı hizmetleri ve adalet dağıtımı, yargılama faaliyetinin hızlı bir şekilde gerçekleştirilip, hak arayanların makul sürede haklarına kavuşmalarının sağlanmasını gerektirmektedir.</w:t>
      </w:r>
    </w:p>
    <w:p w14:paraId="57F558D0" w14:textId="6478E2D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Anayasa'nın 40. maddesi (Temel Hak Ve </w:t>
      </w:r>
      <w:proofErr w:type="spellStart"/>
      <w:r w:rsidRPr="00FD5B20">
        <w:rPr>
          <w:rFonts w:ascii="Times New Roman" w:hAnsi="Times New Roman" w:cs="Times New Roman"/>
          <w:color w:val="010000"/>
          <w:sz w:val="24"/>
          <w:szCs w:val="24"/>
        </w:rPr>
        <w:t>Hirriyetlerin</w:t>
      </w:r>
      <w:proofErr w:type="spellEnd"/>
      <w:r w:rsidRPr="00FD5B20">
        <w:rPr>
          <w:rFonts w:ascii="Times New Roman" w:hAnsi="Times New Roman" w:cs="Times New Roman"/>
          <w:color w:val="010000"/>
          <w:sz w:val="24"/>
          <w:szCs w:val="24"/>
        </w:rPr>
        <w:t xml:space="preserve"> Korunması) uyarınca yapılan değerlendirmede;</w:t>
      </w:r>
    </w:p>
    <w:p w14:paraId="7A5CF71B"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5B80B4F4"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7AD71551" w14:textId="0C4D068C"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İtiraz konusu kural tarafların ön inceleme duruşmalarına katılarak imza atmalarını düzenlemektedir. Bu hali ile bu zorunlu ve faydasız uygulama, adil yargılama hakkının bir görünümü olan mahkeme erişim hakkını yargı mercileri önünde ileri sürebilmesi için uygun şartların sağlanması devletin gerekli mekanizma oluşturması, uygun koşulları sağlaması yükümlülüğüne aykırıdır.</w:t>
      </w:r>
    </w:p>
    <w:p w14:paraId="2859C9BA" w14:textId="403CE0DF"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lastRenderedPageBreak/>
        <w:t>Anayasa'nın 141. maddesi (Duruşmaların Acık Ve Kararların Gerekçeli Olması-Davaların en az giderle ve mümkün olan süratle sonuçlandırılması) uyarınca yapılan değerlendirmede;</w:t>
      </w:r>
    </w:p>
    <w:p w14:paraId="179C9D72"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2CCA926D" w14:textId="3AC75678"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72602282"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Anayasa Sözleşme'nin ortak koruma alanı dışında kalan bir hak ihlali iddiasını içeren başvurunun kabul edilebilir olduğuna karar verilmesi mümkün olmayıp (</w:t>
      </w:r>
      <w:proofErr w:type="spellStart"/>
      <w:r w:rsidRPr="00FD5B20">
        <w:rPr>
          <w:rFonts w:ascii="Times New Roman" w:hAnsi="Times New Roman" w:cs="Times New Roman"/>
          <w:color w:val="010000"/>
          <w:sz w:val="24"/>
          <w:szCs w:val="24"/>
        </w:rPr>
        <w:t>Onurhan</w:t>
      </w:r>
      <w:proofErr w:type="spellEnd"/>
      <w:r w:rsidRPr="00FD5B20">
        <w:rPr>
          <w:rFonts w:ascii="Times New Roman" w:hAnsi="Times New Roman" w:cs="Times New Roman"/>
          <w:color w:val="010000"/>
          <w:sz w:val="24"/>
          <w:szCs w:val="24"/>
        </w:rPr>
        <w:t xml:space="preserve"> Solmaz, B. No: 2012/1049, 26/3/2013, 18) Sözleşme metni ile AİHM kararlarından ortaya çıkan ve adil yargılanma hakkının somut görünümleri olan alt ilke ve haklar, esasen Anayasa'nın 36. maddesinde yer verilen adil yargılanma hakkının da unsurlarıdır. Anayasa Mahkemesi de Anayasa'nın 36. maddesi uyarınca inceleme yaptığı birçok kararında, ilgili hükmü Sözleşme'nin 6. maddesi ve AİHM içtihadı ışığında yorumlamak suretiyle Sözleşme'nin lafzi içeriğinde yer alan ve AİHM içtihadıyla adil yargılanma hakkının kapsamına dâhil edilen ilke ve haklara Anayasa'nın 36. maddesi kapsamında yer vermektedir. Somut başvurunun dayanağını oluşturan makul sürede yargılanma hakkı da yukarıda belirtilen ilkeler uyarınca adil yargılanma hakkının kapsamına dâhil olup ayrıca davaların en az giderle ve mümkün olan süratle sonuçlandırılmasının yargının görevi olduğunu belirten Anayasa'nın 141. maddesinin de -Anayasa'nın bütünselliği ilkesi gereği- makul sürede yargılanma hakkının değerlendirilmesinde dikkate alınması gerektiği açıktır (Güher Ergun ve diğerleri, B. No: 2012/13, 2/7/2013, §§ 38, 39)</w:t>
      </w:r>
    </w:p>
    <w:p w14:paraId="6D18B6EE"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lastRenderedPageBreak/>
        <w:t>Sözleşme'nin "Etkili başvuru hakkı" kenar başlıklı 13. maddesi şöyledir:</w:t>
      </w:r>
    </w:p>
    <w:p w14:paraId="682EC344"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"Bu </w:t>
      </w:r>
      <w:proofErr w:type="spellStart"/>
      <w:r w:rsidRPr="00FD5B20">
        <w:rPr>
          <w:rFonts w:ascii="Times New Roman" w:hAnsi="Times New Roman" w:cs="Times New Roman"/>
          <w:color w:val="010000"/>
          <w:sz w:val="24"/>
          <w:szCs w:val="24"/>
        </w:rPr>
        <w:t>Sözleşme’de</w:t>
      </w:r>
      <w:proofErr w:type="spellEnd"/>
      <w:r w:rsidRPr="00FD5B20">
        <w:rPr>
          <w:rFonts w:ascii="Times New Roman" w:hAnsi="Times New Roman" w:cs="Times New Roman"/>
          <w:color w:val="010000"/>
          <w:sz w:val="24"/>
          <w:szCs w:val="24"/>
        </w:rPr>
        <w:t xml:space="preserve"> tanınmış olan hak ve özgürlükleri ihlal edilen herkes, söz konusu ihlal resmi bir hizmetin ifası için davranan kişiler tarafından gerçekleştirilmiş olsa dahi, ulusal bir merci önünde etkili bir yola başvurma hakkına sahiptir."</w:t>
      </w:r>
    </w:p>
    <w:p w14:paraId="6505FCD0"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31C0B418"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48C9D236"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ihtimalini ortadan kaldırabilecek etkili hukuk yollarının bulunması gerektiği açıktır. Bu yolun yargılamanın veya davanın uzun sürmesi nedeniyle ortaya çıkacak zararları giderecek çözümler sunabilmesi gerekir.</w:t>
      </w:r>
    </w:p>
    <w:p w14:paraId="01924520"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Netice itibariyle ön inceleme duruşmalarında taraflardan ve vekillerden imza alınması bu hali ile yargılama sürecini uzatan bir prosedür olarak tarafların imza atma yükümlülüğünün kaldırılması gerekmekle mevcut uygulama Anayasa'nın Hukuk devleti, Devletin, kişinin temel hak ve hürriyetlerini, sosyal hukuk devleti ve adalet ilkeleriyle bağdaşmayacak surette sınırlayan siyasal, ekonomik ve sosyal engelleri kaldırmak, Temel hak ve hürriyetlerin sınırlanması</w:t>
      </w:r>
    </w:p>
    <w:p w14:paraId="6372987E"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 Hak Arama Hürriyeti, Temel Hak Ve Hürriyetlerin </w:t>
      </w:r>
      <w:proofErr w:type="gramStart"/>
      <w:r w:rsidRPr="00FD5B20">
        <w:rPr>
          <w:rFonts w:ascii="Times New Roman" w:hAnsi="Times New Roman" w:cs="Times New Roman"/>
          <w:color w:val="010000"/>
          <w:sz w:val="24"/>
          <w:szCs w:val="24"/>
        </w:rPr>
        <w:t>Korunması,</w:t>
      </w:r>
      <w:proofErr w:type="gramEnd"/>
      <w:r w:rsidRPr="00FD5B20">
        <w:rPr>
          <w:rFonts w:ascii="Times New Roman" w:hAnsi="Times New Roman" w:cs="Times New Roman"/>
          <w:color w:val="010000"/>
          <w:sz w:val="24"/>
          <w:szCs w:val="24"/>
        </w:rPr>
        <w:t xml:space="preserve"> ve Davaların en az giderle ve mümkün olan süratle sonuçlandırılması) maddelerine aykırılık teşkil ettiği anlaşılmakla iptali talep olunur. </w:t>
      </w:r>
    </w:p>
    <w:p w14:paraId="435F4282" w14:textId="5C7EF700"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6216 sayılı Anayasa Mahkemesinin Kuruluşu ve Yargılama Usulleri Hakkında Kanunun 43. maddesinin 3. fıkrası uyarınca Mahkemenizce </w:t>
      </w:r>
      <w:proofErr w:type="spellStart"/>
      <w:r w:rsidRPr="00FD5B20">
        <w:rPr>
          <w:rFonts w:ascii="Times New Roman" w:hAnsi="Times New Roman" w:cs="Times New Roman"/>
          <w:color w:val="010000"/>
          <w:sz w:val="24"/>
          <w:szCs w:val="24"/>
        </w:rPr>
        <w:t>re'sen</w:t>
      </w:r>
      <w:proofErr w:type="spellEnd"/>
      <w:r w:rsidRPr="00FD5B20">
        <w:rPr>
          <w:rFonts w:ascii="Times New Roman" w:hAnsi="Times New Roman" w:cs="Times New Roman"/>
          <w:color w:val="010000"/>
          <w:sz w:val="24"/>
          <w:szCs w:val="24"/>
        </w:rPr>
        <w:t xml:space="preserve"> gözetilecek diğer gerekçeler de göz önünde bulundurularak iptal kararı verilmesi talep olunur.</w:t>
      </w:r>
    </w:p>
    <w:p w14:paraId="38873F08"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GEREĞİ DÜŞÜNÜLDÜ: Yukarıda açıklanan gerekçelerle;</w:t>
      </w:r>
    </w:p>
    <w:p w14:paraId="3789EC86" w14:textId="55B8896D" w:rsidR="00D8356E" w:rsidRPr="00FD5B20" w:rsidRDefault="00D8356E" w:rsidP="00FD5B20">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FD5B20">
        <w:rPr>
          <w:rFonts w:ascii="Times New Roman" w:hAnsi="Times New Roman" w:cs="Times New Roman"/>
          <w:color w:val="010000"/>
          <w:sz w:val="24"/>
          <w:szCs w:val="24"/>
        </w:rPr>
        <w:lastRenderedPageBreak/>
        <w:t>Türkiye Cumhuriyeti Anayasasının 152/1 maddesi uyarınca,</w:t>
      </w:r>
    </w:p>
    <w:p w14:paraId="4143A99F"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6100 sayılı Hukuk Muhakemeleri Kanunu’nun;</w:t>
      </w:r>
    </w:p>
    <w:p w14:paraId="5BCF038A" w14:textId="7996019C"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"Ön inceleme duruşması" madde başlığıyla düzenlenen 140. maddesinin 3. fıkrasında yer alan;</w:t>
      </w:r>
    </w:p>
    <w:p w14:paraId="2FC7A99D"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"...Bu tutanağın altı, duruşmada hazır bulunan taraflarca imzalanır..."</w:t>
      </w:r>
    </w:p>
    <w:p w14:paraId="5DC3EFDA" w14:textId="50408D2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gramStart"/>
      <w:r w:rsidRPr="00FD5B20">
        <w:rPr>
          <w:rFonts w:ascii="Times New Roman" w:hAnsi="Times New Roman" w:cs="Times New Roman"/>
          <w:color w:val="010000"/>
          <w:sz w:val="24"/>
          <w:szCs w:val="24"/>
        </w:rPr>
        <w:t>ibaresinin</w:t>
      </w:r>
      <w:proofErr w:type="gramEnd"/>
      <w:r w:rsidRPr="00FD5B20">
        <w:rPr>
          <w:rFonts w:ascii="Times New Roman" w:hAnsi="Times New Roman" w:cs="Times New Roman"/>
          <w:color w:val="010000"/>
          <w:sz w:val="24"/>
          <w:szCs w:val="24"/>
        </w:rPr>
        <w:t>,</w:t>
      </w:r>
    </w:p>
    <w:p w14:paraId="40D55B42" w14:textId="51853391"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"Ön inceleme ve tahkikat" madde başlığıyla düzenlenen 320. maddesinin 2. fıkrasında yer alan;</w:t>
      </w:r>
    </w:p>
    <w:p w14:paraId="541ABD61"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"...tutanağın altı hazır bulunan taraflarca imzalanır..."</w:t>
      </w:r>
    </w:p>
    <w:p w14:paraId="20E01A3E"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gramStart"/>
      <w:r w:rsidRPr="00FD5B20">
        <w:rPr>
          <w:rFonts w:ascii="Times New Roman" w:hAnsi="Times New Roman" w:cs="Times New Roman"/>
          <w:color w:val="010000"/>
          <w:sz w:val="24"/>
          <w:szCs w:val="24"/>
        </w:rPr>
        <w:t>ibaresinin</w:t>
      </w:r>
      <w:proofErr w:type="gramEnd"/>
      <w:r w:rsidRPr="00FD5B20">
        <w:rPr>
          <w:rFonts w:ascii="Times New Roman" w:hAnsi="Times New Roman" w:cs="Times New Roman"/>
          <w:color w:val="010000"/>
          <w:sz w:val="24"/>
          <w:szCs w:val="24"/>
        </w:rPr>
        <w:t>,</w:t>
      </w:r>
    </w:p>
    <w:p w14:paraId="5F90F9E9" w14:textId="703EF845"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 xml:space="preserve">Anayasanın 2., 5., 13., 36., 40. ve 141. maddelerine aykırı olması nedeniyle </w:t>
      </w:r>
      <w:proofErr w:type="spellStart"/>
      <w:r w:rsidRPr="00FD5B20">
        <w:rPr>
          <w:rFonts w:ascii="Times New Roman" w:hAnsi="Times New Roman" w:cs="Times New Roman"/>
          <w:color w:val="010000"/>
          <w:sz w:val="24"/>
          <w:szCs w:val="24"/>
        </w:rPr>
        <w:t>re'sen</w:t>
      </w:r>
      <w:proofErr w:type="spellEnd"/>
      <w:r w:rsidRPr="00FD5B20">
        <w:rPr>
          <w:rFonts w:ascii="Times New Roman" w:hAnsi="Times New Roman" w:cs="Times New Roman"/>
          <w:color w:val="010000"/>
          <w:sz w:val="24"/>
          <w:szCs w:val="24"/>
        </w:rPr>
        <w:t xml:space="preserve"> Anayasa Mahkemesine itiraz yoluna başvurulmasına ve hükmün bu ibarelerinin İPTALİNİN istenilmesine,</w:t>
      </w:r>
    </w:p>
    <w:p w14:paraId="57D04E50" w14:textId="654CBB1D" w:rsidR="00D8356E" w:rsidRPr="00FD5B20" w:rsidRDefault="00D8356E" w:rsidP="00FD5B20">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6216 sayılı Anayasa Mahkemesinin Kuruluşu ve Yargılama Usulleri Hakkında Kanunun 40. maddesi uyarınca;</w:t>
      </w:r>
    </w:p>
    <w:p w14:paraId="6D5937C4" w14:textId="77777777"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gramStart"/>
      <w:r w:rsidRPr="00FD5B20">
        <w:rPr>
          <w:rFonts w:ascii="Times New Roman" w:hAnsi="Times New Roman" w:cs="Times New Roman"/>
          <w:color w:val="010000"/>
          <w:sz w:val="24"/>
          <w:szCs w:val="24"/>
        </w:rPr>
        <w:t>a</w:t>
      </w:r>
      <w:proofErr w:type="gramEnd"/>
      <w:r w:rsidRPr="00FD5B20">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03A5378" w14:textId="40A1AEA4"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proofErr w:type="gramStart"/>
      <w:r w:rsidRPr="00FD5B20">
        <w:rPr>
          <w:rFonts w:ascii="Times New Roman" w:hAnsi="Times New Roman" w:cs="Times New Roman"/>
          <w:color w:val="010000"/>
          <w:sz w:val="24"/>
          <w:szCs w:val="24"/>
        </w:rPr>
        <w:t>b</w:t>
      </w:r>
      <w:proofErr w:type="gramEnd"/>
      <w:r w:rsidRPr="00FD5B20">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2EF34EAF" w14:textId="15B5ADAF"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7590AFBC" w14:textId="23619B76" w:rsidR="00D8356E"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219A5D7B" w:rsidR="00743DA7" w:rsidRPr="00FD5B20" w:rsidRDefault="00D8356E" w:rsidP="00FD5B20">
      <w:pPr>
        <w:spacing w:before="240" w:after="100" w:afterAutospacing="1" w:line="240" w:lineRule="auto"/>
        <w:ind w:firstLine="709"/>
        <w:jc w:val="both"/>
        <w:rPr>
          <w:rFonts w:ascii="Times New Roman" w:hAnsi="Times New Roman" w:cs="Times New Roman"/>
          <w:color w:val="010000"/>
          <w:sz w:val="24"/>
          <w:szCs w:val="24"/>
        </w:rPr>
      </w:pPr>
      <w:r w:rsidRPr="00FD5B20">
        <w:rPr>
          <w:rFonts w:ascii="Times New Roman" w:hAnsi="Times New Roman" w:cs="Times New Roman"/>
          <w:color w:val="010000"/>
          <w:sz w:val="24"/>
          <w:szCs w:val="24"/>
        </w:rPr>
        <w:t>5- Kararın bir nüshasının bilgi amaçlı olarak taraflara tebliğine,</w:t>
      </w:r>
      <w:r w:rsidR="00860AB3" w:rsidRPr="00FD5B20">
        <w:rPr>
          <w:rFonts w:ascii="Times New Roman" w:hAnsi="Times New Roman" w:cs="Times New Roman"/>
          <w:color w:val="010000"/>
          <w:sz w:val="24"/>
          <w:szCs w:val="24"/>
        </w:rPr>
        <w:t>”</w:t>
      </w:r>
    </w:p>
    <w:sectPr w:rsidR="00743DA7" w:rsidRPr="00FD5B20" w:rsidSect="00FD5B2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D1C5" w14:textId="77777777" w:rsidR="001A6ADB" w:rsidRDefault="001A6ADB" w:rsidP="006F3DAB">
      <w:pPr>
        <w:spacing w:after="0" w:line="240" w:lineRule="auto"/>
      </w:pPr>
      <w:r>
        <w:separator/>
      </w:r>
    </w:p>
  </w:endnote>
  <w:endnote w:type="continuationSeparator" w:id="0">
    <w:p w14:paraId="5FD4F0B7" w14:textId="77777777" w:rsidR="001A6ADB" w:rsidRDefault="001A6AD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001D" w14:textId="77777777" w:rsidR="00FD5B20" w:rsidRDefault="00FD5B20"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812E332" w14:textId="77777777" w:rsidR="00FD5B20" w:rsidRDefault="00FD5B20" w:rsidP="00FD5B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C44F" w14:textId="11F68F32" w:rsidR="00FD5B20" w:rsidRPr="00FD5B20" w:rsidRDefault="00FD5B20" w:rsidP="008825A6">
    <w:pPr>
      <w:pStyle w:val="AltBilgi"/>
      <w:framePr w:wrap="around" w:vAnchor="text" w:hAnchor="margin" w:xAlign="right" w:y="1"/>
      <w:rPr>
        <w:rStyle w:val="SayfaNumaras"/>
        <w:rFonts w:ascii="Times New Roman" w:hAnsi="Times New Roman" w:cs="Times New Roman"/>
      </w:rPr>
    </w:pPr>
    <w:r w:rsidRPr="00FD5B20">
      <w:rPr>
        <w:rStyle w:val="SayfaNumaras"/>
        <w:rFonts w:ascii="Times New Roman" w:hAnsi="Times New Roman" w:cs="Times New Roman"/>
      </w:rPr>
      <w:fldChar w:fldCharType="begin"/>
    </w:r>
    <w:r w:rsidRPr="00FD5B20">
      <w:rPr>
        <w:rStyle w:val="SayfaNumaras"/>
        <w:rFonts w:ascii="Times New Roman" w:hAnsi="Times New Roman" w:cs="Times New Roman"/>
      </w:rPr>
      <w:instrText xml:space="preserve"> PAGE </w:instrText>
    </w:r>
    <w:r w:rsidRPr="00FD5B20">
      <w:rPr>
        <w:rStyle w:val="SayfaNumaras"/>
        <w:rFonts w:ascii="Times New Roman" w:hAnsi="Times New Roman" w:cs="Times New Roman"/>
      </w:rPr>
      <w:fldChar w:fldCharType="separate"/>
    </w:r>
    <w:r w:rsidRPr="00FD5B20">
      <w:rPr>
        <w:rStyle w:val="SayfaNumaras"/>
        <w:rFonts w:ascii="Times New Roman" w:hAnsi="Times New Roman" w:cs="Times New Roman"/>
        <w:noProof/>
      </w:rPr>
      <w:t>1</w:t>
    </w:r>
    <w:r w:rsidRPr="00FD5B20">
      <w:rPr>
        <w:rStyle w:val="SayfaNumaras"/>
        <w:rFonts w:ascii="Times New Roman" w:hAnsi="Times New Roman" w:cs="Times New Roman"/>
      </w:rPr>
      <w:fldChar w:fldCharType="end"/>
    </w:r>
  </w:p>
  <w:p w14:paraId="285A0729" w14:textId="77A4C855" w:rsidR="002975B8" w:rsidRPr="00FD5B20" w:rsidRDefault="002975B8" w:rsidP="00FD5B20">
    <w:pPr>
      <w:pStyle w:val="AltBilgi"/>
      <w:ind w:right="360"/>
      <w:jc w:val="right"/>
      <w:rPr>
        <w:rFonts w:ascii="Times New Roman" w:hAnsi="Times New Roman" w:cs="Times New Roman"/>
      </w:rPr>
    </w:pPr>
  </w:p>
  <w:p w14:paraId="46879A97" w14:textId="77777777" w:rsidR="002975B8" w:rsidRPr="00FD5B2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36C8" w14:textId="77777777" w:rsidR="001A6ADB" w:rsidRDefault="001A6ADB" w:rsidP="006F3DAB">
      <w:pPr>
        <w:spacing w:after="0" w:line="240" w:lineRule="auto"/>
      </w:pPr>
      <w:r>
        <w:separator/>
      </w:r>
    </w:p>
  </w:footnote>
  <w:footnote w:type="continuationSeparator" w:id="0">
    <w:p w14:paraId="5463EB2C" w14:textId="77777777" w:rsidR="001A6ADB" w:rsidRDefault="001A6AD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C319" w14:textId="77777777" w:rsidR="00FD5B20" w:rsidRPr="00FD5B20" w:rsidRDefault="00FD5B20" w:rsidP="00FD5B20">
    <w:pPr>
      <w:pStyle w:val="stBilgi"/>
      <w:rPr>
        <w:rFonts w:ascii="Times New Roman" w:hAnsi="Times New Roman" w:cs="Times New Roman"/>
      </w:rPr>
    </w:pPr>
    <w:r w:rsidRPr="00FD5B20">
      <w:rPr>
        <w:rFonts w:ascii="Times New Roman" w:hAnsi="Times New Roman" w:cs="Times New Roman"/>
      </w:rPr>
      <w:t xml:space="preserve">Esas Sayısı </w:t>
    </w:r>
    <w:proofErr w:type="gramStart"/>
    <w:r w:rsidRPr="00FD5B20">
      <w:rPr>
        <w:rFonts w:ascii="Times New Roman" w:hAnsi="Times New Roman" w:cs="Times New Roman"/>
      </w:rPr>
      <w:t xml:space="preserve">  :</w:t>
    </w:r>
    <w:proofErr w:type="gramEnd"/>
    <w:r w:rsidRPr="00FD5B20">
      <w:rPr>
        <w:rFonts w:ascii="Times New Roman" w:hAnsi="Times New Roman" w:cs="Times New Roman"/>
      </w:rPr>
      <w:t xml:space="preserve"> 2025/73</w:t>
    </w:r>
  </w:p>
  <w:p w14:paraId="69CD6CC5" w14:textId="27B43BD9" w:rsidR="00FD5B20" w:rsidRPr="00FD5B20" w:rsidRDefault="00FD5B20" w:rsidP="00FD5B20">
    <w:pPr>
      <w:pStyle w:val="stBilgi"/>
    </w:pPr>
    <w:r w:rsidRPr="00FD5B20">
      <w:rPr>
        <w:rFonts w:ascii="Times New Roman" w:hAnsi="Times New Roman" w:cs="Times New Roman"/>
      </w:rPr>
      <w:t xml:space="preserve">Karar </w:t>
    </w:r>
    <w:proofErr w:type="gramStart"/>
    <w:r w:rsidRPr="00FD5B20">
      <w:rPr>
        <w:rFonts w:ascii="Times New Roman" w:hAnsi="Times New Roman" w:cs="Times New Roman"/>
      </w:rPr>
      <w:t>Sayısı :</w:t>
    </w:r>
    <w:proofErr w:type="gramEnd"/>
    <w:r w:rsidRPr="00FD5B20">
      <w:rPr>
        <w:rFonts w:ascii="Times New Roman" w:hAnsi="Times New Roman" w:cs="Times New Roman"/>
      </w:rPr>
      <w:t xml:space="preserve"> 2025/59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37C0DDF"/>
    <w:multiLevelType w:val="hybridMultilevel"/>
    <w:tmpl w:val="6DEC635C"/>
    <w:lvl w:ilvl="0" w:tplc="EB3AA0BA">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2"/>
  </w:num>
  <w:num w:numId="15">
    <w:abstractNumId w:val="11"/>
  </w:num>
  <w:num w:numId="16">
    <w:abstractNumId w:val="28"/>
  </w:num>
  <w:num w:numId="17">
    <w:abstractNumId w:val="15"/>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4"/>
  </w:num>
  <w:num w:numId="28">
    <w:abstractNumId w:val="13"/>
  </w:num>
  <w:num w:numId="29">
    <w:abstractNumId w:val="8"/>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A6ADB"/>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6B61"/>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356E"/>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A6213"/>
    <w:rsid w:val="00FD5662"/>
    <w:rsid w:val="00FD5B20"/>
    <w:rsid w:val="00FF682D"/>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3C9C-DED1-4E9C-A36C-DC3A8807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3380</Words>
  <Characters>19268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2025-06-02T06:08:00Z</dcterms:created>
  <dcterms:modified xsi:type="dcterms:W3CDTF">2025-06-02T06:08:00Z</dcterms:modified>
</cp:coreProperties>
</file>