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ECC78" w14:textId="4687438C" w:rsidR="005A1FC3" w:rsidRPr="00281E34" w:rsidRDefault="00860AB3" w:rsidP="00281E34">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sidRPr="00281E34">
        <w:rPr>
          <w:rFonts w:ascii="Times New Roman" w:hAnsi="Times New Roman" w:cs="Times New Roman"/>
          <w:color w:val="010000"/>
          <w:sz w:val="24"/>
          <w:szCs w:val="24"/>
        </w:rPr>
        <w:t>“</w:t>
      </w:r>
      <w:r w:rsidR="005A1FC3" w:rsidRPr="00281E34">
        <w:rPr>
          <w:rFonts w:ascii="Times New Roman" w:hAnsi="Times New Roman" w:cs="Times New Roman"/>
          <w:color w:val="010000"/>
          <w:sz w:val="24"/>
          <w:szCs w:val="24"/>
        </w:rPr>
        <w:t>III-Anayasaya Aykırılık Nedenleri</w:t>
      </w:r>
    </w:p>
    <w:p w14:paraId="57E62557" w14:textId="1030DE88" w:rsidR="005A1FC3" w:rsidRPr="00281E34" w:rsidRDefault="005A1FC3" w:rsidP="00281E34">
      <w:pPr>
        <w:spacing w:before="240" w:after="100" w:afterAutospacing="1" w:line="240" w:lineRule="auto"/>
        <w:ind w:firstLine="709"/>
        <w:jc w:val="both"/>
        <w:rPr>
          <w:rFonts w:ascii="Times New Roman" w:hAnsi="Times New Roman" w:cs="Times New Roman"/>
          <w:color w:val="010000"/>
          <w:sz w:val="24"/>
          <w:szCs w:val="24"/>
        </w:rPr>
      </w:pPr>
      <w:r w:rsidRPr="00281E34">
        <w:rPr>
          <w:rFonts w:ascii="Times New Roman" w:hAnsi="Times New Roman" w:cs="Times New Roman"/>
          <w:color w:val="010000"/>
          <w:sz w:val="24"/>
          <w:szCs w:val="24"/>
        </w:rPr>
        <w:t xml:space="preserve">İhtiyati tedbirleri düzenleyen temel normlar </w:t>
      </w:r>
      <w:proofErr w:type="spellStart"/>
      <w:r w:rsidRPr="00281E34">
        <w:rPr>
          <w:rFonts w:ascii="Times New Roman" w:hAnsi="Times New Roman" w:cs="Times New Roman"/>
          <w:color w:val="010000"/>
          <w:sz w:val="24"/>
          <w:szCs w:val="24"/>
        </w:rPr>
        <w:t>HMK'nın</w:t>
      </w:r>
      <w:proofErr w:type="spellEnd"/>
      <w:r w:rsidRPr="00281E34">
        <w:rPr>
          <w:rFonts w:ascii="Times New Roman" w:hAnsi="Times New Roman" w:cs="Times New Roman"/>
          <w:color w:val="010000"/>
          <w:sz w:val="24"/>
          <w:szCs w:val="24"/>
        </w:rPr>
        <w:t xml:space="preserve"> 389 ve izleyen maddelerinde yer almaktadır. Buna göre mevcut durumda meydana gelebilecek bir değişme nedeni ile hakkın elde edilmesinin önemli ölçüde zorlaşma ya da tamamen </w:t>
      </w:r>
      <w:proofErr w:type="gramStart"/>
      <w:r w:rsidRPr="00281E34">
        <w:rPr>
          <w:rFonts w:ascii="Times New Roman" w:hAnsi="Times New Roman" w:cs="Times New Roman"/>
          <w:color w:val="010000"/>
          <w:sz w:val="24"/>
          <w:szCs w:val="24"/>
        </w:rPr>
        <w:t>imkansız</w:t>
      </w:r>
      <w:proofErr w:type="gramEnd"/>
      <w:r w:rsidRPr="00281E34">
        <w:rPr>
          <w:rFonts w:ascii="Times New Roman" w:hAnsi="Times New Roman" w:cs="Times New Roman"/>
          <w:color w:val="010000"/>
          <w:sz w:val="24"/>
          <w:szCs w:val="24"/>
        </w:rPr>
        <w:t xml:space="preserve"> hale gelme veya gecikme sebebi ile bir sakınca yahut ciddi bir zarar doğma ihtimalleri varsa uyuşmazlık konusu hakkında ihtiyati tedbir kararı verilebilir. Mahkeme tedbire konu olan mal veya hakkın muhafaza altına alınması veya bir yediemine tevdi ya da bir şeyin yapılması ya da yapılmaması gibi sakıncayı ortadan kaldıracak veya zararı engelleyecek her türlü tedbire karar verebilir. </w:t>
      </w:r>
      <w:proofErr w:type="spellStart"/>
      <w:r w:rsidRPr="00281E34">
        <w:rPr>
          <w:rFonts w:ascii="Times New Roman" w:hAnsi="Times New Roman" w:cs="Times New Roman"/>
          <w:color w:val="010000"/>
          <w:sz w:val="24"/>
          <w:szCs w:val="24"/>
        </w:rPr>
        <w:t>İİK'nın</w:t>
      </w:r>
      <w:proofErr w:type="spellEnd"/>
      <w:r w:rsidRPr="00281E34">
        <w:rPr>
          <w:rFonts w:ascii="Times New Roman" w:hAnsi="Times New Roman" w:cs="Times New Roman"/>
          <w:color w:val="010000"/>
          <w:sz w:val="24"/>
          <w:szCs w:val="24"/>
        </w:rPr>
        <w:t xml:space="preserve"> 72/3 maddesinde düzenlenen ihtiyati tedbir müessesesi de nihai olarak bu amaca hizmet eder. </w:t>
      </w:r>
      <w:proofErr w:type="spellStart"/>
      <w:r w:rsidRPr="00281E34">
        <w:rPr>
          <w:rFonts w:ascii="Times New Roman" w:hAnsi="Times New Roman" w:cs="Times New Roman"/>
          <w:color w:val="010000"/>
          <w:sz w:val="24"/>
          <w:szCs w:val="24"/>
        </w:rPr>
        <w:t>İİK'nın</w:t>
      </w:r>
      <w:proofErr w:type="spellEnd"/>
      <w:r w:rsidRPr="00281E34">
        <w:rPr>
          <w:rFonts w:ascii="Times New Roman" w:hAnsi="Times New Roman" w:cs="Times New Roman"/>
          <w:color w:val="010000"/>
          <w:sz w:val="24"/>
          <w:szCs w:val="24"/>
        </w:rPr>
        <w:t xml:space="preserve"> 72/3 maddesi icra takibinden sonra açılan menfi tespit davalarında sadece icra veznesindeki paranın alacaklıya ödenmesinin </w:t>
      </w:r>
      <w:proofErr w:type="spellStart"/>
      <w:r w:rsidRPr="00281E34">
        <w:rPr>
          <w:rFonts w:ascii="Times New Roman" w:hAnsi="Times New Roman" w:cs="Times New Roman"/>
          <w:color w:val="010000"/>
          <w:sz w:val="24"/>
          <w:szCs w:val="24"/>
        </w:rPr>
        <w:t>tedbiren</w:t>
      </w:r>
      <w:proofErr w:type="spellEnd"/>
      <w:r w:rsidRPr="00281E34">
        <w:rPr>
          <w:rFonts w:ascii="Times New Roman" w:hAnsi="Times New Roman" w:cs="Times New Roman"/>
          <w:color w:val="010000"/>
          <w:sz w:val="24"/>
          <w:szCs w:val="24"/>
        </w:rPr>
        <w:t xml:space="preserve"> durdurulmasına cevaz vermektedir. Ciddi bir zararı veya sakıncayı önleyebilecek daha ileri düzeyde ihtiyati tedbirlere hükmedilmesi bu düzenlemeye göre mümkün değildir. İcra ve İflas Hukukunda borçluların ve alacaklıların menfaatleri adil bir şekilde dengelenmek iktiza eder. Bu meyanda, icra takibinden sonra açılan menfi tespit davasında her türlü haciz, muhafaza ve benzeri işlemlerin ihtiyati tedbir yoluyla durdurulamamasında menfaatler dengesini ihlal eden bir cihet yoktur. Zira, ihtiyati tedbir yoluyla takip durdurulursa, haciz </w:t>
      </w:r>
      <w:proofErr w:type="gramStart"/>
      <w:r w:rsidRPr="00281E34">
        <w:rPr>
          <w:rFonts w:ascii="Times New Roman" w:hAnsi="Times New Roman" w:cs="Times New Roman"/>
          <w:color w:val="010000"/>
          <w:sz w:val="24"/>
          <w:szCs w:val="24"/>
        </w:rPr>
        <w:t>imkanı</w:t>
      </w:r>
      <w:proofErr w:type="gramEnd"/>
      <w:r w:rsidRPr="00281E34">
        <w:rPr>
          <w:rFonts w:ascii="Times New Roman" w:hAnsi="Times New Roman" w:cs="Times New Roman"/>
          <w:color w:val="010000"/>
          <w:sz w:val="24"/>
          <w:szCs w:val="24"/>
        </w:rPr>
        <w:t xml:space="preserve"> da ortadan kalkacak, suiniyetli borçlular mal kaçırma gibi davranışlar sergileyebileceklerdir.</w:t>
      </w:r>
      <w:r w:rsidR="00075B26" w:rsidRPr="00281E34">
        <w:rPr>
          <w:rFonts w:ascii="Times New Roman" w:hAnsi="Times New Roman" w:cs="Times New Roman"/>
          <w:color w:val="010000"/>
          <w:sz w:val="24"/>
          <w:szCs w:val="24"/>
        </w:rPr>
        <w:t xml:space="preserve"> </w:t>
      </w:r>
      <w:r w:rsidRPr="00281E34">
        <w:rPr>
          <w:rFonts w:ascii="Times New Roman" w:hAnsi="Times New Roman" w:cs="Times New Roman"/>
          <w:color w:val="010000"/>
          <w:sz w:val="24"/>
          <w:szCs w:val="24"/>
        </w:rPr>
        <w:t xml:space="preserve">Ancak, ihtiyati tedbir yoluyla haczedilen malların satılarak paraya çevrilmesinin önlenememesi, borçlular yönünden menfaatler dengesini olumsuz anlamda bozacaktır. Günümüz ekonomik koşullarında özellikle taşınmazların cebri icra yolu ile satılması halinde, menfi tespit davasını kazanan, borçlu olmadığı saptanan bireylerin, bu mal varlıklarına tekrar sahip olabilme imkanları neredeyse bütünü ile yok olacaktır. Zira taşınmaz malların birkaç kez el değiştirmesi yeni maliklere </w:t>
      </w:r>
      <w:proofErr w:type="spellStart"/>
      <w:r w:rsidRPr="00281E34">
        <w:rPr>
          <w:rFonts w:ascii="Times New Roman" w:hAnsi="Times New Roman" w:cs="Times New Roman"/>
          <w:color w:val="010000"/>
          <w:sz w:val="24"/>
          <w:szCs w:val="24"/>
        </w:rPr>
        <w:t>TMK'nın</w:t>
      </w:r>
      <w:proofErr w:type="spellEnd"/>
      <w:r w:rsidRPr="00281E34">
        <w:rPr>
          <w:rFonts w:ascii="Times New Roman" w:hAnsi="Times New Roman" w:cs="Times New Roman"/>
          <w:color w:val="010000"/>
          <w:sz w:val="24"/>
          <w:szCs w:val="24"/>
        </w:rPr>
        <w:t xml:space="preserve"> 1023.</w:t>
      </w:r>
      <w:r w:rsidR="005C1E92" w:rsidRPr="00281E34">
        <w:rPr>
          <w:rFonts w:ascii="Times New Roman" w:hAnsi="Times New Roman" w:cs="Times New Roman"/>
          <w:color w:val="010000"/>
          <w:sz w:val="24"/>
          <w:szCs w:val="24"/>
        </w:rPr>
        <w:t xml:space="preserve"> </w:t>
      </w:r>
      <w:proofErr w:type="gramStart"/>
      <w:r w:rsidRPr="00281E34">
        <w:rPr>
          <w:rFonts w:ascii="Times New Roman" w:hAnsi="Times New Roman" w:cs="Times New Roman"/>
          <w:color w:val="010000"/>
          <w:sz w:val="24"/>
          <w:szCs w:val="24"/>
        </w:rPr>
        <w:t>maddesindeki</w:t>
      </w:r>
      <w:proofErr w:type="gramEnd"/>
      <w:r w:rsidRPr="00281E34">
        <w:rPr>
          <w:rFonts w:ascii="Times New Roman" w:hAnsi="Times New Roman" w:cs="Times New Roman"/>
          <w:color w:val="010000"/>
          <w:sz w:val="24"/>
          <w:szCs w:val="24"/>
        </w:rPr>
        <w:t xml:space="preserve"> iyi niyetin</w:t>
      </w:r>
      <w:r w:rsidR="00281E34" w:rsidRPr="00281E34">
        <w:rPr>
          <w:rFonts w:ascii="Times New Roman" w:hAnsi="Times New Roman" w:cs="Times New Roman"/>
          <w:color w:val="010000"/>
          <w:sz w:val="24"/>
          <w:szCs w:val="24"/>
        </w:rPr>
        <w:t xml:space="preserve"> </w:t>
      </w:r>
      <w:r w:rsidRPr="00281E34">
        <w:rPr>
          <w:rFonts w:ascii="Times New Roman" w:hAnsi="Times New Roman" w:cs="Times New Roman"/>
          <w:color w:val="010000"/>
          <w:sz w:val="24"/>
          <w:szCs w:val="24"/>
        </w:rPr>
        <w:t xml:space="preserve">korunması kalkanını bahşedecektir. Yani menfi tespit davasını </w:t>
      </w:r>
      <w:proofErr w:type="gramStart"/>
      <w:r w:rsidRPr="00281E34">
        <w:rPr>
          <w:rFonts w:ascii="Times New Roman" w:hAnsi="Times New Roman" w:cs="Times New Roman"/>
          <w:color w:val="010000"/>
          <w:sz w:val="24"/>
          <w:szCs w:val="24"/>
        </w:rPr>
        <w:t>kazanan</w:t>
      </w:r>
      <w:proofErr w:type="gramEnd"/>
      <w:r w:rsidRPr="00281E34">
        <w:rPr>
          <w:rFonts w:ascii="Times New Roman" w:hAnsi="Times New Roman" w:cs="Times New Roman"/>
          <w:color w:val="010000"/>
          <w:sz w:val="24"/>
          <w:szCs w:val="24"/>
        </w:rPr>
        <w:t xml:space="preserve">, borçlu olmadığını yargı kararı ile ispatlayan kimseler, sırf satış ve paraya çevirmenin önlenmesi yolunda ihtiyati tedbir kararı alamadıkları için mülkiyet haklarından yoksun kalacaklardır. Gayrimenkul değerlerin ile paranın alım gücünün paralel şekilde artış göstermediği, gayrimenkul malların kat be kat artış gösterdiği de bir nesnelliktir. İhtiyati tedbir yoluyla mahcuzların satışının ve paraya çevrilmesinin önlenebilmesi olanağı sağlanırsa, bu takdirde alacaklı zaten mal varlıklarının kaydına haciz koyabilme imkanına sahip olduğu için borçlular mallarını kaçıramayacaklardır. Dava alacaklı lehine sonuçlanırsa, alacaklı zaten hacizli olan malı satarak ve paraya çevirerek alacağına kavuşabilecektir. Dava borçlu lehine sonuçlanırsa, bu takdirde o da hacizleri kaldıracak ve mal varlığına tekrar sahip olacaktır. Yani, mahcuzların satışının ve paraya çevrilmesinin de ihtiyati tedbir yoluyla önlenebilmesi, her iki yanın da menfaatlerini dengeli bir biçimde sağlayacaktır. </w:t>
      </w:r>
    </w:p>
    <w:p w14:paraId="549FDB0C" w14:textId="157EA94C" w:rsidR="005A1FC3" w:rsidRPr="00281E34" w:rsidRDefault="005A1FC3" w:rsidP="00281E34">
      <w:pPr>
        <w:spacing w:before="240" w:after="100" w:afterAutospacing="1" w:line="240" w:lineRule="auto"/>
        <w:ind w:firstLine="709"/>
        <w:jc w:val="both"/>
        <w:rPr>
          <w:rFonts w:ascii="Times New Roman" w:hAnsi="Times New Roman" w:cs="Times New Roman"/>
          <w:color w:val="010000"/>
          <w:sz w:val="24"/>
          <w:szCs w:val="24"/>
        </w:rPr>
      </w:pPr>
      <w:r w:rsidRPr="00281E34">
        <w:rPr>
          <w:rFonts w:ascii="Times New Roman" w:hAnsi="Times New Roman" w:cs="Times New Roman"/>
          <w:color w:val="010000"/>
          <w:sz w:val="24"/>
          <w:szCs w:val="24"/>
        </w:rPr>
        <w:t>VI-Sonuç Ve İstek</w:t>
      </w:r>
    </w:p>
    <w:p w14:paraId="074F8FFF" w14:textId="10BCCBD7" w:rsidR="00743DA7" w:rsidRPr="00281E34" w:rsidRDefault="005A1FC3" w:rsidP="00281E34">
      <w:pPr>
        <w:spacing w:before="240" w:after="100" w:afterAutospacing="1" w:line="240" w:lineRule="auto"/>
        <w:ind w:firstLine="709"/>
        <w:jc w:val="both"/>
        <w:rPr>
          <w:rFonts w:ascii="Times New Roman" w:hAnsi="Times New Roman" w:cs="Times New Roman"/>
          <w:color w:val="010000"/>
          <w:sz w:val="24"/>
          <w:szCs w:val="24"/>
        </w:rPr>
      </w:pPr>
      <w:r w:rsidRPr="00281E34">
        <w:rPr>
          <w:rFonts w:ascii="Times New Roman" w:hAnsi="Times New Roman" w:cs="Times New Roman"/>
          <w:color w:val="010000"/>
          <w:sz w:val="24"/>
          <w:szCs w:val="24"/>
        </w:rPr>
        <w:t xml:space="preserve"> 2004 sayılı İcra ve İflas Kanununun 72.</w:t>
      </w:r>
      <w:r w:rsidR="005C1E92" w:rsidRPr="00281E34">
        <w:rPr>
          <w:rFonts w:ascii="Times New Roman" w:hAnsi="Times New Roman" w:cs="Times New Roman"/>
          <w:color w:val="010000"/>
          <w:sz w:val="24"/>
          <w:szCs w:val="24"/>
        </w:rPr>
        <w:t xml:space="preserve"> </w:t>
      </w:r>
      <w:r w:rsidRPr="00281E34">
        <w:rPr>
          <w:rFonts w:ascii="Times New Roman" w:hAnsi="Times New Roman" w:cs="Times New Roman"/>
          <w:color w:val="010000"/>
          <w:sz w:val="24"/>
          <w:szCs w:val="24"/>
        </w:rPr>
        <w:t>maddesinin 3.</w:t>
      </w:r>
      <w:r w:rsidR="005C1E92" w:rsidRPr="00281E34">
        <w:rPr>
          <w:rFonts w:ascii="Times New Roman" w:hAnsi="Times New Roman" w:cs="Times New Roman"/>
          <w:color w:val="010000"/>
          <w:sz w:val="24"/>
          <w:szCs w:val="24"/>
        </w:rPr>
        <w:t xml:space="preserve"> </w:t>
      </w:r>
      <w:r w:rsidRPr="00281E34">
        <w:rPr>
          <w:rFonts w:ascii="Times New Roman" w:hAnsi="Times New Roman" w:cs="Times New Roman"/>
          <w:color w:val="010000"/>
          <w:sz w:val="24"/>
          <w:szCs w:val="24"/>
        </w:rPr>
        <w:t>fıkrasının "icra takibinden sonra açılan menfi tespit davasında ihtiyati tedbir yolu ile takibin durdurulmasına karar verilemez" şeklindeki birinci cümlesinin "hacizli malların satışı ve paraya çevrilmesi" işlemleri yönünden, Türkiye Cumhuriyeti Anayasası'nın "hak arama hürriyeti" başlıklı 36. maddesine aykırı olduğu düşünüldüğünden, iptali,</w:t>
      </w:r>
      <w:r w:rsidR="00A01DC5" w:rsidRPr="00281E34">
        <w:rPr>
          <w:rFonts w:ascii="Times New Roman" w:hAnsi="Times New Roman" w:cs="Times New Roman"/>
          <w:color w:val="010000"/>
          <w:sz w:val="24"/>
          <w:szCs w:val="24"/>
        </w:rPr>
        <w:t xml:space="preserve"> </w:t>
      </w:r>
      <w:r w:rsidRPr="00281E34">
        <w:rPr>
          <w:rFonts w:ascii="Times New Roman" w:hAnsi="Times New Roman" w:cs="Times New Roman"/>
          <w:color w:val="010000"/>
          <w:sz w:val="24"/>
          <w:szCs w:val="24"/>
        </w:rPr>
        <w:t>yüksek takdirlerinize saygıyla arz olunur.</w:t>
      </w:r>
      <w:r w:rsidR="00860AB3" w:rsidRPr="00281E34">
        <w:rPr>
          <w:rFonts w:ascii="Times New Roman" w:hAnsi="Times New Roman" w:cs="Times New Roman"/>
          <w:color w:val="010000"/>
          <w:sz w:val="24"/>
          <w:szCs w:val="24"/>
        </w:rPr>
        <w:t>”</w:t>
      </w:r>
    </w:p>
    <w:sectPr w:rsidR="00743DA7" w:rsidRPr="00281E34" w:rsidSect="00281E34">
      <w:headerReference w:type="default" r:id="rId8"/>
      <w:footerReference w:type="even" r:id="rId9"/>
      <w:footerReference w:type="default" r:id="rId10"/>
      <w:headerReference w:type="first" r:id="rId11"/>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D242B" w14:textId="77777777" w:rsidR="00A36B3E" w:rsidRDefault="00A36B3E" w:rsidP="006F3DAB">
      <w:pPr>
        <w:spacing w:after="0" w:line="240" w:lineRule="auto"/>
      </w:pPr>
      <w:r>
        <w:separator/>
      </w:r>
    </w:p>
  </w:endnote>
  <w:endnote w:type="continuationSeparator" w:id="0">
    <w:p w14:paraId="28B30265" w14:textId="77777777" w:rsidR="00A36B3E" w:rsidRDefault="00A36B3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7AEE3" w14:textId="77777777" w:rsidR="00281E34" w:rsidRDefault="00281E34" w:rsidP="00510BF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BD1E739" w14:textId="77777777" w:rsidR="00281E34" w:rsidRDefault="00281E34" w:rsidP="00281E3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28496" w14:textId="06A5A4FE" w:rsidR="00281E34" w:rsidRPr="00281E34" w:rsidRDefault="00281E34" w:rsidP="00510BF5">
    <w:pPr>
      <w:pStyle w:val="AltBilgi"/>
      <w:framePr w:wrap="around" w:vAnchor="text" w:hAnchor="margin" w:xAlign="right" w:y="1"/>
      <w:rPr>
        <w:rStyle w:val="SayfaNumaras"/>
        <w:rFonts w:ascii="Times New Roman" w:hAnsi="Times New Roman" w:cs="Times New Roman"/>
      </w:rPr>
    </w:pPr>
    <w:r w:rsidRPr="00281E34">
      <w:rPr>
        <w:rStyle w:val="SayfaNumaras"/>
        <w:rFonts w:ascii="Times New Roman" w:hAnsi="Times New Roman" w:cs="Times New Roman"/>
      </w:rPr>
      <w:fldChar w:fldCharType="begin"/>
    </w:r>
    <w:r w:rsidRPr="00281E34">
      <w:rPr>
        <w:rStyle w:val="SayfaNumaras"/>
        <w:rFonts w:ascii="Times New Roman" w:hAnsi="Times New Roman" w:cs="Times New Roman"/>
      </w:rPr>
      <w:instrText xml:space="preserve"> PAGE </w:instrText>
    </w:r>
    <w:r w:rsidRPr="00281E34">
      <w:rPr>
        <w:rStyle w:val="SayfaNumaras"/>
        <w:rFonts w:ascii="Times New Roman" w:hAnsi="Times New Roman" w:cs="Times New Roman"/>
      </w:rPr>
      <w:fldChar w:fldCharType="separate"/>
    </w:r>
    <w:r w:rsidRPr="00281E34">
      <w:rPr>
        <w:rStyle w:val="SayfaNumaras"/>
        <w:rFonts w:ascii="Times New Roman" w:hAnsi="Times New Roman" w:cs="Times New Roman"/>
        <w:noProof/>
      </w:rPr>
      <w:t>1</w:t>
    </w:r>
    <w:r w:rsidRPr="00281E34">
      <w:rPr>
        <w:rStyle w:val="SayfaNumaras"/>
        <w:rFonts w:ascii="Times New Roman" w:hAnsi="Times New Roman" w:cs="Times New Roman"/>
      </w:rPr>
      <w:fldChar w:fldCharType="end"/>
    </w:r>
  </w:p>
  <w:p w14:paraId="285A0729" w14:textId="645F2AF8" w:rsidR="002975B8" w:rsidRPr="00281E34" w:rsidRDefault="002975B8" w:rsidP="00281E34">
    <w:pPr>
      <w:pStyle w:val="AltBilgi"/>
      <w:ind w:right="360"/>
      <w:jc w:val="right"/>
      <w:rPr>
        <w:rFonts w:ascii="Times New Roman" w:hAnsi="Times New Roman" w:cs="Times New Roman"/>
      </w:rPr>
    </w:pPr>
  </w:p>
  <w:p w14:paraId="46879A97" w14:textId="77777777" w:rsidR="002975B8" w:rsidRPr="00281E34"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B60BC" w14:textId="77777777" w:rsidR="00A36B3E" w:rsidRDefault="00A36B3E" w:rsidP="006F3DAB">
      <w:pPr>
        <w:spacing w:after="0" w:line="240" w:lineRule="auto"/>
      </w:pPr>
      <w:r>
        <w:separator/>
      </w:r>
    </w:p>
  </w:footnote>
  <w:footnote w:type="continuationSeparator" w:id="0">
    <w:p w14:paraId="281EBE93" w14:textId="77777777" w:rsidR="00A36B3E" w:rsidRDefault="00A36B3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957E" w14:textId="77777777" w:rsidR="00281E34" w:rsidRDefault="00281E34" w:rsidP="00281E34">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5/256</w:t>
    </w:r>
  </w:p>
  <w:p w14:paraId="0685F7B7" w14:textId="31BAC5D6" w:rsidR="00281E34" w:rsidRPr="00281E34" w:rsidRDefault="00281E34" w:rsidP="00281E34">
    <w:pPr>
      <w:pStyle w:val="stBilgi"/>
    </w:pPr>
    <w:r w:rsidRPr="00C6681C">
      <w:t xml:space="preserve">Karar </w:t>
    </w:r>
    <w:proofErr w:type="gramStart"/>
    <w:r>
      <w:t>S</w:t>
    </w:r>
    <w:r w:rsidRPr="00C6681C">
      <w:t>ayısı :</w:t>
    </w:r>
    <w:proofErr w:type="gramEnd"/>
    <w:r w:rsidRPr="00C6681C">
      <w:t xml:space="preserve"> 202</w:t>
    </w:r>
    <w:r>
      <w:t>5/246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3D438" w14:textId="7C6D7112" w:rsidR="00B077B1" w:rsidRPr="00C6681C" w:rsidRDefault="00B077B1" w:rsidP="00277E02">
    <w:pPr>
      <w:pStyle w:val="Bodytext20"/>
      <w:shd w:val="clear" w:color="auto" w:fill="auto"/>
      <w:spacing w:before="0" w:after="0" w:line="240" w:lineRule="auto"/>
    </w:pPr>
  </w:p>
  <w:p w14:paraId="1FE8E7F9" w14:textId="77777777" w:rsidR="002975B8" w:rsidRDefault="002975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5B26"/>
    <w:rsid w:val="000760EB"/>
    <w:rsid w:val="000A2DF0"/>
    <w:rsid w:val="000A72C9"/>
    <w:rsid w:val="000E65FB"/>
    <w:rsid w:val="000E6A4D"/>
    <w:rsid w:val="000F2505"/>
    <w:rsid w:val="000F78E7"/>
    <w:rsid w:val="0015495B"/>
    <w:rsid w:val="001814A4"/>
    <w:rsid w:val="00186985"/>
    <w:rsid w:val="00187C2B"/>
    <w:rsid w:val="001905A9"/>
    <w:rsid w:val="001907EC"/>
    <w:rsid w:val="00191F4C"/>
    <w:rsid w:val="001C20B2"/>
    <w:rsid w:val="001D2487"/>
    <w:rsid w:val="001D396E"/>
    <w:rsid w:val="001E611A"/>
    <w:rsid w:val="0021600A"/>
    <w:rsid w:val="00216465"/>
    <w:rsid w:val="0022423D"/>
    <w:rsid w:val="00277E02"/>
    <w:rsid w:val="00281E34"/>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A1FC3"/>
    <w:rsid w:val="005B042D"/>
    <w:rsid w:val="005C1E92"/>
    <w:rsid w:val="005F0067"/>
    <w:rsid w:val="006007AC"/>
    <w:rsid w:val="00623F3D"/>
    <w:rsid w:val="00627A61"/>
    <w:rsid w:val="006411BD"/>
    <w:rsid w:val="00644421"/>
    <w:rsid w:val="006558AD"/>
    <w:rsid w:val="006815D1"/>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37CF"/>
    <w:rsid w:val="00925C89"/>
    <w:rsid w:val="0093249D"/>
    <w:rsid w:val="00953558"/>
    <w:rsid w:val="0096647B"/>
    <w:rsid w:val="00973707"/>
    <w:rsid w:val="00977E8E"/>
    <w:rsid w:val="009C0E00"/>
    <w:rsid w:val="009D4BB2"/>
    <w:rsid w:val="009E10ED"/>
    <w:rsid w:val="009F2F1A"/>
    <w:rsid w:val="009F537F"/>
    <w:rsid w:val="00A01DC5"/>
    <w:rsid w:val="00A06E34"/>
    <w:rsid w:val="00A15338"/>
    <w:rsid w:val="00A36B3E"/>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077B1"/>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A57D4"/>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DF686B"/>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737B6-3816-4699-A505-606BC523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3034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2026-02-16T05:45:00Z</dcterms:created>
  <dcterms:modified xsi:type="dcterms:W3CDTF">2026-02-16T05:45:00Z</dcterms:modified>
</cp:coreProperties>
</file>