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9A039" w14:textId="77777777" w:rsidR="002D0DF3" w:rsidRPr="00822C79" w:rsidRDefault="00860AB3" w:rsidP="00822C79">
      <w:pPr>
        <w:spacing w:before="240" w:after="100" w:afterAutospacing="1" w:line="240" w:lineRule="auto"/>
        <w:ind w:firstLine="709"/>
        <w:jc w:val="both"/>
        <w:rPr>
          <w:rFonts w:ascii="Times New Roman" w:hAnsi="Times New Roman" w:cs="Times New Roman"/>
          <w:color w:val="010000"/>
          <w:sz w:val="24"/>
          <w:szCs w:val="24"/>
        </w:rPr>
      </w:pPr>
      <w:r w:rsidRPr="00822C79">
        <w:rPr>
          <w:rFonts w:ascii="Times New Roman" w:hAnsi="Times New Roman" w:cs="Times New Roman"/>
          <w:color w:val="010000"/>
          <w:sz w:val="24"/>
          <w:szCs w:val="24"/>
        </w:rPr>
        <w:t>“</w:t>
      </w:r>
      <w:r w:rsidR="002D0DF3" w:rsidRPr="00822C79">
        <w:rPr>
          <w:rFonts w:ascii="Times New Roman" w:hAnsi="Times New Roman" w:cs="Times New Roman"/>
          <w:color w:val="010000"/>
          <w:sz w:val="24"/>
          <w:szCs w:val="24"/>
        </w:rPr>
        <w:t>Nevşehir 1. Asliye Hukuk Mahkemesinin 2024/507 E. Sayılı dosyasının 2024/439 K. Sayılı kararı ile mahkememizin 2024/356 E. Sayılı dosyası ile birleştirilmesine karar verildiği, mahkememizin 2024/356 E. Sayılı dosyasının 13/12/2024 tarihli ara kararıyla Nevşehir 1. Asliye Hukuk Mahkemesinin 2024/507 E. Sayılı dosyası ile mahkememiz dosyası arasında bağlantı bulunmaması sebebiyle birleştirilen dosyanın tefrikine karar verildiği ve tefrik edilen Nevşehir 1. Asliye Hukuk Mahkemesinin 2024/507 E. Sayılı dosyasının iş bu esasa kaydının yapıldığı anlaşılmıştır.</w:t>
      </w:r>
    </w:p>
    <w:p w14:paraId="34646D2B" w14:textId="06BCD275" w:rsidR="002D0DF3" w:rsidRPr="00822C79" w:rsidRDefault="002D0DF3" w:rsidP="00822C79">
      <w:pPr>
        <w:spacing w:before="240" w:after="100" w:afterAutospacing="1" w:line="240" w:lineRule="auto"/>
        <w:ind w:firstLine="709"/>
        <w:jc w:val="both"/>
        <w:rPr>
          <w:rFonts w:ascii="Times New Roman" w:hAnsi="Times New Roman" w:cs="Times New Roman"/>
          <w:color w:val="010000"/>
          <w:sz w:val="24"/>
          <w:szCs w:val="24"/>
        </w:rPr>
      </w:pPr>
      <w:r w:rsidRPr="00822C79">
        <w:rPr>
          <w:rFonts w:ascii="Times New Roman" w:hAnsi="Times New Roman" w:cs="Times New Roman"/>
          <w:color w:val="010000"/>
          <w:sz w:val="24"/>
          <w:szCs w:val="24"/>
        </w:rPr>
        <w:t>Mahkememizde devam eden 2024/405 Esas sayılı dosyasının yapılan yargılaması sırasında HMK 166/1 hükmünün Anayasanın 37. maddesine aykırı olduğu anlaşılmakla;</w:t>
      </w:r>
    </w:p>
    <w:p w14:paraId="0BBCE8E2" w14:textId="77777777" w:rsidR="002D0DF3" w:rsidRPr="00822C79" w:rsidRDefault="002D0DF3" w:rsidP="00822C79">
      <w:pPr>
        <w:spacing w:before="240" w:after="100" w:afterAutospacing="1" w:line="240" w:lineRule="auto"/>
        <w:ind w:firstLine="709"/>
        <w:jc w:val="both"/>
        <w:rPr>
          <w:rFonts w:ascii="Times New Roman" w:hAnsi="Times New Roman" w:cs="Times New Roman"/>
          <w:color w:val="010000"/>
          <w:sz w:val="24"/>
          <w:szCs w:val="24"/>
        </w:rPr>
      </w:pPr>
      <w:r w:rsidRPr="00822C79">
        <w:rPr>
          <w:rFonts w:ascii="Times New Roman" w:hAnsi="Times New Roman" w:cs="Times New Roman"/>
          <w:color w:val="010000"/>
          <w:sz w:val="24"/>
          <w:szCs w:val="24"/>
        </w:rPr>
        <w:t xml:space="preserve">Anayasanın 152/1 maddesine göre: ''Bir davaya bakmakta olan mahkeme, uygulanacak bir kanun veya Cumhurbaşkanlığı kararnamesinin hükümlerini Anayasaya aykırı görürse veya taraflardan birinin ileri sürdüğü aykırılık iddiasının ciddi olduğu kanısına varırsa, Anayasa Mahkemesinin bu konuda vereceği karara kadar davayı geri bırakır.'' </w:t>
      </w:r>
    </w:p>
    <w:p w14:paraId="693EECE8" w14:textId="63CB350C" w:rsidR="002D0DF3" w:rsidRPr="00822C79" w:rsidRDefault="002D0DF3" w:rsidP="00822C79">
      <w:pPr>
        <w:spacing w:before="240" w:after="100" w:afterAutospacing="1" w:line="240" w:lineRule="auto"/>
        <w:ind w:firstLine="709"/>
        <w:jc w:val="both"/>
        <w:rPr>
          <w:rFonts w:ascii="Times New Roman" w:hAnsi="Times New Roman" w:cs="Times New Roman"/>
          <w:color w:val="010000"/>
          <w:sz w:val="24"/>
          <w:szCs w:val="24"/>
        </w:rPr>
      </w:pPr>
      <w:r w:rsidRPr="00822C79">
        <w:rPr>
          <w:rFonts w:ascii="Times New Roman" w:hAnsi="Times New Roman" w:cs="Times New Roman"/>
          <w:color w:val="010000"/>
          <w:sz w:val="24"/>
          <w:szCs w:val="24"/>
        </w:rPr>
        <w:t>Yukarıda anılan Anayasa hükmü gereğince mahkemelerin yapılan yargılama sırasında uygulanacak olan Kanun hükümlerinin Anayasaya aykırılığını tespit etmesi halinde Anayasa Mahkemesine somut norm denetimi yoluyla ilgili normun iptali istemi ile talepte bulunabileceği anlaşılmıştır.</w:t>
      </w:r>
    </w:p>
    <w:p w14:paraId="2E137313" w14:textId="77777777" w:rsidR="002D0DF3" w:rsidRPr="00822C79" w:rsidRDefault="002D0DF3" w:rsidP="00822C79">
      <w:pPr>
        <w:spacing w:before="240" w:after="100" w:afterAutospacing="1" w:line="240" w:lineRule="auto"/>
        <w:ind w:firstLine="709"/>
        <w:jc w:val="both"/>
        <w:rPr>
          <w:rFonts w:ascii="Times New Roman" w:hAnsi="Times New Roman" w:cs="Times New Roman"/>
          <w:color w:val="010000"/>
          <w:sz w:val="24"/>
          <w:szCs w:val="24"/>
        </w:rPr>
      </w:pPr>
      <w:r w:rsidRPr="00822C79">
        <w:rPr>
          <w:rFonts w:ascii="Times New Roman" w:hAnsi="Times New Roman" w:cs="Times New Roman"/>
          <w:color w:val="010000"/>
          <w:sz w:val="24"/>
          <w:szCs w:val="24"/>
        </w:rPr>
        <w:t>Buna göre somut norm denetimi yoluyla itiraz davasının açılabilmesinin şartları:</w:t>
      </w:r>
    </w:p>
    <w:p w14:paraId="3B325DDE" w14:textId="77777777" w:rsidR="002D0DF3" w:rsidRPr="00822C79" w:rsidRDefault="002D0DF3" w:rsidP="00822C79">
      <w:pPr>
        <w:spacing w:before="240" w:after="100" w:afterAutospacing="1" w:line="240" w:lineRule="auto"/>
        <w:ind w:firstLine="709"/>
        <w:jc w:val="both"/>
        <w:rPr>
          <w:rFonts w:ascii="Times New Roman" w:hAnsi="Times New Roman" w:cs="Times New Roman"/>
          <w:color w:val="010000"/>
          <w:sz w:val="24"/>
          <w:szCs w:val="24"/>
        </w:rPr>
      </w:pPr>
      <w:r w:rsidRPr="00822C79">
        <w:rPr>
          <w:rFonts w:ascii="Times New Roman" w:hAnsi="Times New Roman" w:cs="Times New Roman"/>
          <w:color w:val="010000"/>
          <w:sz w:val="24"/>
          <w:szCs w:val="24"/>
        </w:rPr>
        <w:t>1-Görülmekte olan bir davanın varlığı,</w:t>
      </w:r>
    </w:p>
    <w:p w14:paraId="1647EFCF" w14:textId="77777777" w:rsidR="002D0DF3" w:rsidRPr="00822C79" w:rsidRDefault="002D0DF3" w:rsidP="00822C79">
      <w:pPr>
        <w:spacing w:before="240" w:after="100" w:afterAutospacing="1" w:line="240" w:lineRule="auto"/>
        <w:ind w:firstLine="709"/>
        <w:jc w:val="both"/>
        <w:rPr>
          <w:rFonts w:ascii="Times New Roman" w:hAnsi="Times New Roman" w:cs="Times New Roman"/>
          <w:color w:val="010000"/>
          <w:sz w:val="24"/>
          <w:szCs w:val="24"/>
        </w:rPr>
      </w:pPr>
      <w:r w:rsidRPr="00822C79">
        <w:rPr>
          <w:rFonts w:ascii="Times New Roman" w:hAnsi="Times New Roman" w:cs="Times New Roman"/>
          <w:color w:val="010000"/>
          <w:sz w:val="24"/>
          <w:szCs w:val="24"/>
        </w:rPr>
        <w:t>2-İptali istenen hükmün Kanun veya Cumhurbaşkanlığı Kararnamesi olması,</w:t>
      </w:r>
    </w:p>
    <w:p w14:paraId="60C789BA" w14:textId="77777777" w:rsidR="002D0DF3" w:rsidRPr="00822C79" w:rsidRDefault="002D0DF3" w:rsidP="00822C79">
      <w:pPr>
        <w:spacing w:before="240" w:after="100" w:afterAutospacing="1" w:line="240" w:lineRule="auto"/>
        <w:ind w:firstLine="709"/>
        <w:jc w:val="both"/>
        <w:rPr>
          <w:rFonts w:ascii="Times New Roman" w:hAnsi="Times New Roman" w:cs="Times New Roman"/>
          <w:color w:val="010000"/>
          <w:sz w:val="24"/>
          <w:szCs w:val="24"/>
        </w:rPr>
      </w:pPr>
      <w:r w:rsidRPr="00822C79">
        <w:rPr>
          <w:rFonts w:ascii="Times New Roman" w:hAnsi="Times New Roman" w:cs="Times New Roman"/>
          <w:color w:val="010000"/>
          <w:sz w:val="24"/>
          <w:szCs w:val="24"/>
        </w:rPr>
        <w:t>3-İlgili Kanun veya Cumhurbaşkanlığı Kararnamesinin davada uygulanacak norm olması,</w:t>
      </w:r>
    </w:p>
    <w:p w14:paraId="61FB80E1" w14:textId="77777777" w:rsidR="002D0DF3" w:rsidRPr="00822C79" w:rsidRDefault="002D0DF3" w:rsidP="00822C79">
      <w:pPr>
        <w:spacing w:before="240" w:after="100" w:afterAutospacing="1" w:line="240" w:lineRule="auto"/>
        <w:ind w:firstLine="709"/>
        <w:jc w:val="both"/>
        <w:rPr>
          <w:rFonts w:ascii="Times New Roman" w:hAnsi="Times New Roman" w:cs="Times New Roman"/>
          <w:color w:val="010000"/>
          <w:sz w:val="24"/>
          <w:szCs w:val="24"/>
        </w:rPr>
      </w:pPr>
      <w:r w:rsidRPr="00822C79">
        <w:rPr>
          <w:rFonts w:ascii="Times New Roman" w:hAnsi="Times New Roman" w:cs="Times New Roman"/>
          <w:color w:val="010000"/>
          <w:sz w:val="24"/>
          <w:szCs w:val="24"/>
        </w:rPr>
        <w:t>4-Anayasaya aykırılık hususuna mahkemece kanaat getirilmesi.</w:t>
      </w:r>
    </w:p>
    <w:p w14:paraId="088C2F8D" w14:textId="77777777" w:rsidR="002D0DF3" w:rsidRPr="00822C79" w:rsidRDefault="002D0DF3" w:rsidP="00822C79">
      <w:pPr>
        <w:spacing w:before="240" w:after="100" w:afterAutospacing="1" w:line="240" w:lineRule="auto"/>
        <w:ind w:firstLine="709"/>
        <w:jc w:val="both"/>
        <w:rPr>
          <w:rFonts w:ascii="Times New Roman" w:hAnsi="Times New Roman" w:cs="Times New Roman"/>
          <w:color w:val="010000"/>
          <w:sz w:val="24"/>
          <w:szCs w:val="24"/>
        </w:rPr>
      </w:pPr>
      <w:r w:rsidRPr="00822C79">
        <w:rPr>
          <w:rFonts w:ascii="Times New Roman" w:hAnsi="Times New Roman" w:cs="Times New Roman"/>
          <w:color w:val="010000"/>
          <w:sz w:val="24"/>
          <w:szCs w:val="24"/>
        </w:rPr>
        <w:t>Bu doğrultuda inceleme yapıldığında; mahkememizde görülmekte olan, tazminat davasının devamı sırasında HMK m.166/1 hükmüne ilişkin olarak, iş bu başvuru dilekçesi ile somut norm denetimi yoluna gidilmesine karar verildiği, bu anlamda görülmekte olan dava ve bir kanun hükmünün iptali konusunda tereddüt bulunmadığı anlaşılmıştır.</w:t>
      </w:r>
    </w:p>
    <w:p w14:paraId="0508F8B6" w14:textId="77777777" w:rsidR="002D0DF3" w:rsidRPr="00822C79" w:rsidRDefault="002D0DF3" w:rsidP="00822C79">
      <w:pPr>
        <w:spacing w:before="240" w:after="100" w:afterAutospacing="1" w:line="240" w:lineRule="auto"/>
        <w:ind w:firstLine="709"/>
        <w:jc w:val="both"/>
        <w:rPr>
          <w:rFonts w:ascii="Times New Roman" w:hAnsi="Times New Roman" w:cs="Times New Roman"/>
          <w:color w:val="010000"/>
          <w:sz w:val="24"/>
          <w:szCs w:val="24"/>
        </w:rPr>
      </w:pPr>
      <w:r w:rsidRPr="00822C79">
        <w:rPr>
          <w:rFonts w:ascii="Times New Roman" w:hAnsi="Times New Roman" w:cs="Times New Roman"/>
          <w:color w:val="010000"/>
          <w:sz w:val="24"/>
          <w:szCs w:val="24"/>
        </w:rPr>
        <w:t>İptal isteminin esas gerekçesi hususunda ise,</w:t>
      </w:r>
    </w:p>
    <w:p w14:paraId="443A1258" w14:textId="527CB15F" w:rsidR="002D0DF3" w:rsidRPr="00822C79" w:rsidRDefault="002D0DF3" w:rsidP="00822C79">
      <w:pPr>
        <w:spacing w:before="240" w:after="100" w:afterAutospacing="1" w:line="240" w:lineRule="auto"/>
        <w:ind w:firstLine="709"/>
        <w:jc w:val="both"/>
        <w:rPr>
          <w:rFonts w:ascii="Times New Roman" w:hAnsi="Times New Roman" w:cs="Times New Roman"/>
          <w:color w:val="010000"/>
          <w:sz w:val="24"/>
          <w:szCs w:val="24"/>
        </w:rPr>
      </w:pPr>
      <w:r w:rsidRPr="00822C79">
        <w:rPr>
          <w:rFonts w:ascii="Times New Roman" w:hAnsi="Times New Roman" w:cs="Times New Roman"/>
          <w:color w:val="010000"/>
          <w:sz w:val="24"/>
          <w:szCs w:val="24"/>
        </w:rPr>
        <w:t xml:space="preserve"> </w:t>
      </w:r>
      <w:proofErr w:type="spellStart"/>
      <w:r w:rsidRPr="00822C79">
        <w:rPr>
          <w:rFonts w:ascii="Times New Roman" w:hAnsi="Times New Roman" w:cs="Times New Roman"/>
          <w:color w:val="010000"/>
          <w:sz w:val="24"/>
          <w:szCs w:val="24"/>
        </w:rPr>
        <w:t>HMK'nın</w:t>
      </w:r>
      <w:proofErr w:type="spellEnd"/>
      <w:r w:rsidRPr="00822C79">
        <w:rPr>
          <w:rFonts w:ascii="Times New Roman" w:hAnsi="Times New Roman" w:cs="Times New Roman"/>
          <w:color w:val="010000"/>
          <w:sz w:val="24"/>
          <w:szCs w:val="24"/>
        </w:rPr>
        <w:t xml:space="preserve"> 166/1. maddesine göre: "Aynı yargı çevresinde yer alan aynı düzey ve sıfattaki hukuk mahkemelerinde açılmış davalar, aralarında bağlantı bulunması durumunda, davanın her aşamasında, talep üzerine veya kendiliğinden ilk davanın açıldığı mahkemede birleştirilebilir. Birleştirme kararı, ikinci davanın açıldığı mahkemece verilir ve bu karar, diğer mahkemeyi bağlar".</w:t>
      </w:r>
    </w:p>
    <w:p w14:paraId="02DE849A" w14:textId="77777777" w:rsidR="002D0DF3" w:rsidRPr="00822C79" w:rsidRDefault="002D0DF3" w:rsidP="00822C79">
      <w:pPr>
        <w:spacing w:before="240" w:after="100" w:afterAutospacing="1" w:line="240" w:lineRule="auto"/>
        <w:ind w:firstLine="709"/>
        <w:jc w:val="both"/>
        <w:rPr>
          <w:rFonts w:ascii="Times New Roman" w:hAnsi="Times New Roman" w:cs="Times New Roman"/>
          <w:color w:val="010000"/>
          <w:sz w:val="24"/>
          <w:szCs w:val="24"/>
        </w:rPr>
      </w:pPr>
      <w:r w:rsidRPr="00822C79">
        <w:rPr>
          <w:rFonts w:ascii="Times New Roman" w:hAnsi="Times New Roman" w:cs="Times New Roman"/>
          <w:color w:val="010000"/>
          <w:sz w:val="24"/>
          <w:szCs w:val="24"/>
        </w:rPr>
        <w:t>Yukarıda anılan kanun maddesi incelendiğinde, aynı yargı çevresinde bulunan mahkemelerden birinin yine aynı yargı çevresinde bulunan diğer bir mahkemenin daha önce açılmış bir dosyası ile birleştirme kararı vermesi halinde ilk davanın açıldığı mahkemenin bu kararla bağlı olduğu anlaşılmaktadır.</w:t>
      </w:r>
    </w:p>
    <w:p w14:paraId="2D91B820" w14:textId="77777777" w:rsidR="002D0DF3" w:rsidRPr="00822C79" w:rsidRDefault="002D0DF3" w:rsidP="00822C79">
      <w:pPr>
        <w:spacing w:before="240" w:after="100" w:afterAutospacing="1" w:line="240" w:lineRule="auto"/>
        <w:ind w:firstLine="709"/>
        <w:jc w:val="both"/>
        <w:rPr>
          <w:rFonts w:ascii="Times New Roman" w:hAnsi="Times New Roman" w:cs="Times New Roman"/>
          <w:color w:val="010000"/>
          <w:sz w:val="24"/>
          <w:szCs w:val="24"/>
        </w:rPr>
      </w:pPr>
      <w:r w:rsidRPr="00822C79">
        <w:rPr>
          <w:rFonts w:ascii="Times New Roman" w:hAnsi="Times New Roman" w:cs="Times New Roman"/>
          <w:color w:val="010000"/>
          <w:sz w:val="24"/>
          <w:szCs w:val="24"/>
        </w:rPr>
        <w:lastRenderedPageBreak/>
        <w:t>Meseleye daha yakında bakıldığında, birleştirme kararı verilebilmesi için HMK m.166/4 hükmü gereğince davalar arasında bağlantı olması gerekmektedir. Davaların aynı veya birbirine benzer sebepten doğması veya biri hakkında verilecek hükmün diğerini etkileyecek nitelikte bulunması halinde bağlantı var sayılmaktadır.</w:t>
      </w:r>
    </w:p>
    <w:p w14:paraId="4A517599" w14:textId="4AC9DD45" w:rsidR="002D0DF3" w:rsidRPr="00822C79" w:rsidRDefault="002D0DF3" w:rsidP="00822C79">
      <w:pPr>
        <w:spacing w:before="240" w:after="100" w:afterAutospacing="1" w:line="240" w:lineRule="auto"/>
        <w:ind w:firstLine="709"/>
        <w:jc w:val="both"/>
        <w:rPr>
          <w:rFonts w:ascii="Times New Roman" w:hAnsi="Times New Roman" w:cs="Times New Roman"/>
          <w:color w:val="010000"/>
          <w:sz w:val="24"/>
          <w:szCs w:val="24"/>
        </w:rPr>
      </w:pPr>
      <w:r w:rsidRPr="00822C79">
        <w:rPr>
          <w:rFonts w:ascii="Times New Roman" w:hAnsi="Times New Roman" w:cs="Times New Roman"/>
          <w:color w:val="010000"/>
          <w:sz w:val="24"/>
          <w:szCs w:val="24"/>
        </w:rPr>
        <w:t xml:space="preserve">Hal böyle iken, ikinci mahkemenin vermiş olduğu kararın kanuna uygun olup olmadığının denetimini birleştirilen davanın </w:t>
      </w:r>
      <w:proofErr w:type="gramStart"/>
      <w:r w:rsidRPr="00822C79">
        <w:rPr>
          <w:rFonts w:ascii="Times New Roman" w:hAnsi="Times New Roman" w:cs="Times New Roman"/>
          <w:color w:val="010000"/>
          <w:sz w:val="24"/>
          <w:szCs w:val="24"/>
        </w:rPr>
        <w:t>hakimi</w:t>
      </w:r>
      <w:proofErr w:type="gramEnd"/>
      <w:r w:rsidRPr="00822C79">
        <w:rPr>
          <w:rFonts w:ascii="Times New Roman" w:hAnsi="Times New Roman" w:cs="Times New Roman"/>
          <w:color w:val="010000"/>
          <w:sz w:val="24"/>
          <w:szCs w:val="24"/>
        </w:rPr>
        <w:t xml:space="preserve"> yapamamakta ve bu denetimin HMK m.168 ile ancak kanun yolu aşamasında yapılabileceği düzenlenmektedir. Buna göre; </w:t>
      </w:r>
    </w:p>
    <w:p w14:paraId="3219547C" w14:textId="77777777" w:rsidR="002D0DF3" w:rsidRPr="00822C79" w:rsidRDefault="002D0DF3" w:rsidP="00822C79">
      <w:pPr>
        <w:spacing w:before="240" w:after="100" w:afterAutospacing="1" w:line="240" w:lineRule="auto"/>
        <w:ind w:firstLine="709"/>
        <w:jc w:val="both"/>
        <w:rPr>
          <w:rFonts w:ascii="Times New Roman" w:hAnsi="Times New Roman" w:cs="Times New Roman"/>
          <w:color w:val="010000"/>
          <w:sz w:val="24"/>
          <w:szCs w:val="24"/>
        </w:rPr>
      </w:pPr>
      <w:r w:rsidRPr="00822C79">
        <w:rPr>
          <w:rFonts w:ascii="Times New Roman" w:hAnsi="Times New Roman" w:cs="Times New Roman"/>
          <w:color w:val="010000"/>
          <w:sz w:val="24"/>
          <w:szCs w:val="24"/>
        </w:rPr>
        <w:t xml:space="preserve">"Aynı yargı çevresinde yer alan aynı düzey ve sıfattaki hukuk mahkemelerinde görülmekte olan davalar yönünden verilen birleştirme ve ayırma hususundaki ilk derece mahkemesi kararlarına karşı istinaf yoluna; bölge adliye mahkemesi kararları hakkında ise temyiz yoluna, ancak hükümle birlikte gidilebilir. Şu kadar ki, bu husus tek başına, bölge adliye mahkemesinde hükmün kaldırılarak esastan incelenme; </w:t>
      </w:r>
      <w:proofErr w:type="spellStart"/>
      <w:r w:rsidRPr="00822C79">
        <w:rPr>
          <w:rFonts w:ascii="Times New Roman" w:hAnsi="Times New Roman" w:cs="Times New Roman"/>
          <w:color w:val="010000"/>
          <w:sz w:val="24"/>
          <w:szCs w:val="24"/>
        </w:rPr>
        <w:t>Yargıtayda</w:t>
      </w:r>
      <w:proofErr w:type="spellEnd"/>
      <w:r w:rsidRPr="00822C79">
        <w:rPr>
          <w:rFonts w:ascii="Times New Roman" w:hAnsi="Times New Roman" w:cs="Times New Roman"/>
          <w:color w:val="010000"/>
          <w:sz w:val="24"/>
          <w:szCs w:val="24"/>
        </w:rPr>
        <w:t xml:space="preserve"> ise bozma sebebi teşkil etmez".</w:t>
      </w:r>
    </w:p>
    <w:p w14:paraId="10CAF417" w14:textId="77777777" w:rsidR="002D0DF3" w:rsidRPr="00822C79" w:rsidRDefault="002D0DF3" w:rsidP="00822C79">
      <w:pPr>
        <w:spacing w:before="240" w:after="100" w:afterAutospacing="1" w:line="240" w:lineRule="auto"/>
        <w:ind w:firstLine="709"/>
        <w:jc w:val="both"/>
        <w:rPr>
          <w:rFonts w:ascii="Times New Roman" w:hAnsi="Times New Roman" w:cs="Times New Roman"/>
          <w:color w:val="010000"/>
          <w:sz w:val="24"/>
          <w:szCs w:val="24"/>
        </w:rPr>
      </w:pPr>
      <w:r w:rsidRPr="00822C79">
        <w:rPr>
          <w:rFonts w:ascii="Times New Roman" w:hAnsi="Times New Roman" w:cs="Times New Roman"/>
          <w:color w:val="010000"/>
          <w:sz w:val="24"/>
          <w:szCs w:val="24"/>
        </w:rPr>
        <w:t>Görüldüğü üzere kanun yolu aşamasında da bu husus tek başına kaldırma veya bozma sebebi teşkil etmemekte ve hükümde başka bir noksanlık bulunmaması halinde ikinci davanın açıldığı mahkemenin vermiş olduğu kararın denetim yolu kalmamaktadır.</w:t>
      </w:r>
    </w:p>
    <w:p w14:paraId="5502BE11" w14:textId="77777777" w:rsidR="002D0DF3" w:rsidRPr="00822C79" w:rsidRDefault="002D0DF3" w:rsidP="00822C79">
      <w:pPr>
        <w:spacing w:before="240" w:after="100" w:afterAutospacing="1" w:line="240" w:lineRule="auto"/>
        <w:ind w:firstLine="709"/>
        <w:jc w:val="both"/>
        <w:rPr>
          <w:rFonts w:ascii="Times New Roman" w:hAnsi="Times New Roman" w:cs="Times New Roman"/>
          <w:color w:val="010000"/>
          <w:sz w:val="24"/>
          <w:szCs w:val="24"/>
        </w:rPr>
      </w:pPr>
      <w:r w:rsidRPr="00822C79">
        <w:rPr>
          <w:rFonts w:ascii="Times New Roman" w:hAnsi="Times New Roman" w:cs="Times New Roman"/>
          <w:color w:val="010000"/>
          <w:sz w:val="24"/>
          <w:szCs w:val="24"/>
        </w:rPr>
        <w:t>Sonuç olarak, aynı yargı çevresinde bulunan(mahkememiz dosyasına uygun olarak) mahkemelerin vermiş olduğu birleştirme kararlarının hukuka uygun olup olmadığının denetimi bulunmamakta ve bu durum kanuni hakim güvencesinin anayasal korumasını zedelemekte olduğu anlaşıldığından HMK m.166/1 hükmünün bu haliyle Anayasanın 37. Maddesine aykırı olduğundan ilgili maddenin iptali hususunda Anayasa Mahkemesine somut norm denetimi yoluyla başvuru yapılmasına karar verilmiş olup aşağıdaki şekilde hüküm kurulmuştur.</w:t>
      </w:r>
    </w:p>
    <w:p w14:paraId="6542765A" w14:textId="77777777" w:rsidR="002D0DF3" w:rsidRPr="00822C79" w:rsidRDefault="002D0DF3" w:rsidP="00822C79">
      <w:pPr>
        <w:spacing w:before="240" w:after="100" w:afterAutospacing="1" w:line="240" w:lineRule="auto"/>
        <w:ind w:firstLine="709"/>
        <w:jc w:val="both"/>
        <w:rPr>
          <w:rFonts w:ascii="Times New Roman" w:hAnsi="Times New Roman" w:cs="Times New Roman"/>
          <w:color w:val="010000"/>
          <w:sz w:val="24"/>
          <w:szCs w:val="24"/>
        </w:rPr>
      </w:pPr>
      <w:r w:rsidRPr="00822C79">
        <w:rPr>
          <w:rFonts w:ascii="Times New Roman" w:hAnsi="Times New Roman" w:cs="Times New Roman"/>
          <w:color w:val="010000"/>
          <w:sz w:val="24"/>
          <w:szCs w:val="24"/>
        </w:rPr>
        <w:t xml:space="preserve">         HÜKÜM:</w:t>
      </w:r>
    </w:p>
    <w:p w14:paraId="41C35547" w14:textId="5B97E6B1" w:rsidR="002D0DF3" w:rsidRPr="00822C79" w:rsidRDefault="002D0DF3" w:rsidP="00822C79">
      <w:pPr>
        <w:spacing w:before="240" w:after="100" w:afterAutospacing="1" w:line="240" w:lineRule="auto"/>
        <w:ind w:firstLine="709"/>
        <w:jc w:val="both"/>
        <w:rPr>
          <w:rFonts w:ascii="Times New Roman" w:hAnsi="Times New Roman" w:cs="Times New Roman"/>
          <w:color w:val="010000"/>
          <w:sz w:val="24"/>
          <w:szCs w:val="24"/>
        </w:rPr>
      </w:pPr>
      <w:r w:rsidRPr="00822C79">
        <w:rPr>
          <w:rFonts w:ascii="Times New Roman" w:hAnsi="Times New Roman" w:cs="Times New Roman"/>
          <w:color w:val="010000"/>
          <w:sz w:val="24"/>
          <w:szCs w:val="24"/>
        </w:rPr>
        <w:t>1- HMK m.166/1 hükmünün bu haliyle Anayasanın 37. maddesine aykırı olduğundan ilgili maddenin iptali hususunda Anayasa Mahkemesine somut norm denetimi yoluyla başvuru yapılmasına,</w:t>
      </w:r>
    </w:p>
    <w:p w14:paraId="7DAB64EC" w14:textId="7C860C28" w:rsidR="002D0DF3" w:rsidRPr="00822C79" w:rsidRDefault="002D0DF3" w:rsidP="00822C79">
      <w:pPr>
        <w:spacing w:before="240" w:after="100" w:afterAutospacing="1" w:line="240" w:lineRule="auto"/>
        <w:ind w:firstLine="709"/>
        <w:jc w:val="both"/>
        <w:rPr>
          <w:rFonts w:ascii="Times New Roman" w:hAnsi="Times New Roman" w:cs="Times New Roman"/>
          <w:color w:val="010000"/>
          <w:sz w:val="24"/>
          <w:szCs w:val="24"/>
        </w:rPr>
      </w:pPr>
      <w:r w:rsidRPr="00822C79">
        <w:rPr>
          <w:rFonts w:ascii="Times New Roman" w:hAnsi="Times New Roman" w:cs="Times New Roman"/>
          <w:color w:val="010000"/>
          <w:sz w:val="24"/>
          <w:szCs w:val="24"/>
        </w:rPr>
        <w:t>2-Anayasa Mahkemesi İç Tüzüğünün 46. maddesine uygun olarak, mahkememiz iş bu başvuru kararının onaylı örneğinin, dava dilekçesi ve ekleri ile Nevşehir 1. Asliye Hukuk Mahkemesinin 2024/507 E. 2024/439 K. Sayılı gerekçeli kararının, mahkememizin 2024/356 E. Sayılı dosyasının tümünün onaylı örneklerinin tarih sırasına göre mahkememiz Yazı İşleri Müdürü tarafından dizi pusulası yapılarak Anayasa Mahkemesi Başkanlığına gönderilmesine,</w:t>
      </w:r>
    </w:p>
    <w:p w14:paraId="074F8FFF" w14:textId="7A383308" w:rsidR="00743DA7" w:rsidRPr="00822C79" w:rsidRDefault="002D0DF3" w:rsidP="00822C79">
      <w:pPr>
        <w:spacing w:before="240" w:after="100" w:afterAutospacing="1" w:line="240" w:lineRule="auto"/>
        <w:ind w:firstLine="709"/>
        <w:jc w:val="both"/>
        <w:rPr>
          <w:rFonts w:ascii="Times New Roman" w:hAnsi="Times New Roman" w:cs="Times New Roman"/>
          <w:color w:val="010000"/>
          <w:sz w:val="24"/>
          <w:szCs w:val="24"/>
        </w:rPr>
      </w:pPr>
      <w:r w:rsidRPr="00822C79">
        <w:rPr>
          <w:rFonts w:ascii="Times New Roman" w:hAnsi="Times New Roman" w:cs="Times New Roman"/>
          <w:color w:val="010000"/>
          <w:sz w:val="24"/>
          <w:szCs w:val="24"/>
        </w:rPr>
        <w:t>Dair; dosya üzerinden yapılan inceleme sonucunda karar verildi.</w:t>
      </w:r>
      <w:r w:rsidR="00860AB3" w:rsidRPr="00822C79">
        <w:rPr>
          <w:rFonts w:ascii="Times New Roman" w:hAnsi="Times New Roman" w:cs="Times New Roman"/>
          <w:color w:val="010000"/>
          <w:sz w:val="24"/>
          <w:szCs w:val="24"/>
        </w:rPr>
        <w:t>”</w:t>
      </w:r>
    </w:p>
    <w:sectPr w:rsidR="00743DA7" w:rsidRPr="00822C79" w:rsidSect="00822C79">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72886" w14:textId="77777777" w:rsidR="00643B05" w:rsidRDefault="00643B05" w:rsidP="006F3DAB">
      <w:pPr>
        <w:spacing w:after="0" w:line="240" w:lineRule="auto"/>
      </w:pPr>
      <w:r>
        <w:separator/>
      </w:r>
    </w:p>
  </w:endnote>
  <w:endnote w:type="continuationSeparator" w:id="0">
    <w:p w14:paraId="5894D30E" w14:textId="77777777" w:rsidR="00643B05" w:rsidRDefault="00643B05"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9BD3E" w14:textId="77777777" w:rsidR="00822C79" w:rsidRDefault="00822C79" w:rsidP="00883D96">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45818D8D" w14:textId="77777777" w:rsidR="00822C79" w:rsidRDefault="00822C79" w:rsidP="00822C79">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1DF21" w14:textId="33F7D9FC" w:rsidR="00822C79" w:rsidRPr="00822C79" w:rsidRDefault="00822C79" w:rsidP="00883D96">
    <w:pPr>
      <w:pStyle w:val="AltBilgi"/>
      <w:framePr w:wrap="around" w:vAnchor="text" w:hAnchor="margin" w:xAlign="right" w:y="1"/>
      <w:rPr>
        <w:rStyle w:val="SayfaNumaras"/>
        <w:rFonts w:ascii="Times New Roman" w:hAnsi="Times New Roman" w:cs="Times New Roman"/>
      </w:rPr>
    </w:pPr>
    <w:r w:rsidRPr="00822C79">
      <w:rPr>
        <w:rStyle w:val="SayfaNumaras"/>
        <w:rFonts w:ascii="Times New Roman" w:hAnsi="Times New Roman" w:cs="Times New Roman"/>
      </w:rPr>
      <w:fldChar w:fldCharType="begin"/>
    </w:r>
    <w:r w:rsidRPr="00822C79">
      <w:rPr>
        <w:rStyle w:val="SayfaNumaras"/>
        <w:rFonts w:ascii="Times New Roman" w:hAnsi="Times New Roman" w:cs="Times New Roman"/>
      </w:rPr>
      <w:instrText xml:space="preserve"> PAGE </w:instrText>
    </w:r>
    <w:r w:rsidRPr="00822C79">
      <w:rPr>
        <w:rStyle w:val="SayfaNumaras"/>
        <w:rFonts w:ascii="Times New Roman" w:hAnsi="Times New Roman" w:cs="Times New Roman"/>
      </w:rPr>
      <w:fldChar w:fldCharType="separate"/>
    </w:r>
    <w:r w:rsidRPr="00822C79">
      <w:rPr>
        <w:rStyle w:val="SayfaNumaras"/>
        <w:rFonts w:ascii="Times New Roman" w:hAnsi="Times New Roman" w:cs="Times New Roman"/>
        <w:noProof/>
      </w:rPr>
      <w:t>2</w:t>
    </w:r>
    <w:r w:rsidRPr="00822C79">
      <w:rPr>
        <w:rStyle w:val="SayfaNumaras"/>
        <w:rFonts w:ascii="Times New Roman" w:hAnsi="Times New Roman" w:cs="Times New Roman"/>
      </w:rPr>
      <w:fldChar w:fldCharType="end"/>
    </w:r>
  </w:p>
  <w:p w14:paraId="285A0729" w14:textId="4DB0D731" w:rsidR="002975B8" w:rsidRPr="00822C79" w:rsidRDefault="002975B8" w:rsidP="00822C79">
    <w:pPr>
      <w:pStyle w:val="AltBilgi"/>
      <w:ind w:right="360"/>
      <w:jc w:val="right"/>
      <w:rPr>
        <w:rFonts w:ascii="Times New Roman" w:hAnsi="Times New Roman" w:cs="Times New Roman"/>
      </w:rPr>
    </w:pPr>
  </w:p>
  <w:p w14:paraId="46879A97" w14:textId="77777777" w:rsidR="002975B8" w:rsidRPr="00822C79" w:rsidRDefault="002975B8">
    <w:pPr>
      <w:pStyle w:val="AltBilgi"/>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523BB" w14:textId="77777777" w:rsidR="00822C79" w:rsidRDefault="00822C7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E7B14" w14:textId="77777777" w:rsidR="00643B05" w:rsidRDefault="00643B05" w:rsidP="006F3DAB">
      <w:pPr>
        <w:spacing w:after="0" w:line="240" w:lineRule="auto"/>
      </w:pPr>
      <w:r>
        <w:separator/>
      </w:r>
    </w:p>
  </w:footnote>
  <w:footnote w:type="continuationSeparator" w:id="0">
    <w:p w14:paraId="03351B24" w14:textId="77777777" w:rsidR="00643B05" w:rsidRDefault="00643B05"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8D573" w14:textId="77777777" w:rsidR="00822C79" w:rsidRDefault="00822C7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444F1" w14:textId="77777777" w:rsidR="00822C79" w:rsidRDefault="00822C79" w:rsidP="00822C79">
    <w:pPr>
      <w:pStyle w:val="Bodytext20"/>
      <w:shd w:val="clear" w:color="auto" w:fill="auto"/>
      <w:spacing w:before="0" w:after="0" w:line="240" w:lineRule="auto"/>
    </w:pPr>
    <w:r w:rsidRPr="00C6681C">
      <w:t xml:space="preserve">Esas Sayısı </w:t>
    </w:r>
    <w:proofErr w:type="gramStart"/>
    <w:r w:rsidRPr="00C6681C">
      <w:t xml:space="preserve"> </w:t>
    </w:r>
    <w:r>
      <w:t xml:space="preserve"> </w:t>
    </w:r>
    <w:r w:rsidRPr="00C6681C">
      <w:t>:</w:t>
    </w:r>
    <w:proofErr w:type="gramEnd"/>
    <w:r w:rsidRPr="00C6681C">
      <w:t xml:space="preserve"> 202</w:t>
    </w:r>
    <w:r>
      <w:t>4/237</w:t>
    </w:r>
  </w:p>
  <w:p w14:paraId="4DD5C829" w14:textId="77777777" w:rsidR="00822C79" w:rsidRPr="00C6681C" w:rsidRDefault="00822C79" w:rsidP="00822C79">
    <w:pPr>
      <w:pStyle w:val="Bodytext20"/>
      <w:shd w:val="clear" w:color="auto" w:fill="auto"/>
      <w:spacing w:before="0" w:after="0" w:line="240" w:lineRule="auto"/>
    </w:pPr>
    <w:r w:rsidRPr="00C6681C">
      <w:t xml:space="preserve">Karar </w:t>
    </w:r>
    <w:proofErr w:type="gramStart"/>
    <w:r>
      <w:t>S</w:t>
    </w:r>
    <w:r w:rsidRPr="00C6681C">
      <w:t>ayısı :</w:t>
    </w:r>
    <w:proofErr w:type="gramEnd"/>
    <w:r w:rsidRPr="00C6681C">
      <w:t xml:space="preserve"> 202</w:t>
    </w:r>
    <w:r>
      <w:t>5/137</w:t>
    </w:r>
  </w:p>
  <w:p w14:paraId="53F60E28" w14:textId="73B3FD2B" w:rsidR="00822C79" w:rsidRPr="00822C79" w:rsidRDefault="00822C79" w:rsidP="00822C79">
    <w:pPr>
      <w:pStyle w:val="stBilgi"/>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0EEF0" w14:textId="77777777" w:rsidR="00822C79" w:rsidRDefault="00822C7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2DF0"/>
    <w:rsid w:val="000A72C9"/>
    <w:rsid w:val="000E65FB"/>
    <w:rsid w:val="000E6A4D"/>
    <w:rsid w:val="000F2505"/>
    <w:rsid w:val="000F78E7"/>
    <w:rsid w:val="0015495B"/>
    <w:rsid w:val="001814A4"/>
    <w:rsid w:val="00187C2B"/>
    <w:rsid w:val="001905A9"/>
    <w:rsid w:val="001907EC"/>
    <w:rsid w:val="00191F4C"/>
    <w:rsid w:val="001C20B2"/>
    <w:rsid w:val="001D2487"/>
    <w:rsid w:val="001D396E"/>
    <w:rsid w:val="001E611A"/>
    <w:rsid w:val="00216465"/>
    <w:rsid w:val="0022423D"/>
    <w:rsid w:val="00277E02"/>
    <w:rsid w:val="002975B8"/>
    <w:rsid w:val="002A685E"/>
    <w:rsid w:val="002C1013"/>
    <w:rsid w:val="002C3BE2"/>
    <w:rsid w:val="002D0DF3"/>
    <w:rsid w:val="003104C5"/>
    <w:rsid w:val="00313BEA"/>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3B05"/>
    <w:rsid w:val="00644421"/>
    <w:rsid w:val="006558AD"/>
    <w:rsid w:val="006A6B59"/>
    <w:rsid w:val="006B3FB2"/>
    <w:rsid w:val="006C05E9"/>
    <w:rsid w:val="006C751A"/>
    <w:rsid w:val="006F3DAB"/>
    <w:rsid w:val="0070156A"/>
    <w:rsid w:val="007174EF"/>
    <w:rsid w:val="00721E88"/>
    <w:rsid w:val="00731174"/>
    <w:rsid w:val="0074074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B6F25"/>
    <w:rsid w:val="007C03EC"/>
    <w:rsid w:val="007D7C26"/>
    <w:rsid w:val="007E6B0A"/>
    <w:rsid w:val="00807E9E"/>
    <w:rsid w:val="00815B8D"/>
    <w:rsid w:val="00822C79"/>
    <w:rsid w:val="008261E8"/>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32411"/>
    <w:rsid w:val="00B476E3"/>
    <w:rsid w:val="00B62E52"/>
    <w:rsid w:val="00B71B22"/>
    <w:rsid w:val="00B9138F"/>
    <w:rsid w:val="00BA3026"/>
    <w:rsid w:val="00BA4CC7"/>
    <w:rsid w:val="00BA5D85"/>
    <w:rsid w:val="00BB300F"/>
    <w:rsid w:val="00BD0192"/>
    <w:rsid w:val="00BD1952"/>
    <w:rsid w:val="00BD4BEC"/>
    <w:rsid w:val="00BE78EC"/>
    <w:rsid w:val="00BF4CCF"/>
    <w:rsid w:val="00BF5F36"/>
    <w:rsid w:val="00C3567D"/>
    <w:rsid w:val="00C37F50"/>
    <w:rsid w:val="00C9545C"/>
    <w:rsid w:val="00CA2463"/>
    <w:rsid w:val="00CD01EC"/>
    <w:rsid w:val="00CD1019"/>
    <w:rsid w:val="00D01E8B"/>
    <w:rsid w:val="00D15F63"/>
    <w:rsid w:val="00D519A6"/>
    <w:rsid w:val="00D629B0"/>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4BE"/>
    <w:rsid w:val="00EB3D2C"/>
    <w:rsid w:val="00EB4E36"/>
    <w:rsid w:val="00EB5371"/>
    <w:rsid w:val="00EC070A"/>
    <w:rsid w:val="00EF09AC"/>
    <w:rsid w:val="00F3357A"/>
    <w:rsid w:val="00F352DB"/>
    <w:rsid w:val="00F43880"/>
    <w:rsid w:val="00F47DA0"/>
    <w:rsid w:val="00F80065"/>
    <w:rsid w:val="00F83D4F"/>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B644D-B055-4BDC-B658-093AC713F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771</Words>
  <Characters>4396</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Dilek DAĞLI</cp:lastModifiedBy>
  <cp:revision>2</cp:revision>
  <dcterms:created xsi:type="dcterms:W3CDTF">2025-09-25T05:58:00Z</dcterms:created>
  <dcterms:modified xsi:type="dcterms:W3CDTF">2025-09-25T05:58:00Z</dcterms:modified>
</cp:coreProperties>
</file>