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1BF95" w14:textId="1A9CAF2E" w:rsidR="009D23EB" w:rsidRPr="0006746A" w:rsidRDefault="00860AB3"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w:t>
      </w:r>
      <w:r w:rsidR="009D23EB" w:rsidRPr="0006746A">
        <w:rPr>
          <w:rFonts w:ascii="Times New Roman" w:hAnsi="Times New Roman" w:cs="Times New Roman"/>
          <w:color w:val="010000"/>
          <w:sz w:val="24"/>
          <w:szCs w:val="24"/>
        </w:rPr>
        <w:t>İtiraz konusu kural Anayasa'ya aykırıdır. Şöyle ki:</w:t>
      </w:r>
    </w:p>
    <w:p w14:paraId="109F92B2" w14:textId="38BBE067"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2709 sayılı Türkiye Cumhuriyeti Anayasası'nın 7. maddesinde "Yasama yetkisi Türk Milleti adına Türkiye Büyük Millet Meclisinindir. Bu yetki devredilemez." hükmü; 38. maddesinde "Kimse, işlendiği zaman yürürlükte bulunan kanunun suç saymadığı bir fiilden dolayı cezalandırılamaz; kimseye suçu işlediği zaman kanunda o suç için konulmuş olan cezadan daha ağır bir ceza verilemez. Suç ve ceza zamanaşımı ile ceza mahkumiyetinin sonuçları konusunda da yukarıdaki fıkra uygulanır. Ceza ve ceza yerine geçen güvenlik tedbirleri ancak kanunla konulur. Suçluluğu hükmen sabit oluncaya kadar, kimse suçlu sayılamaz. Hiç kimse kendisini ve kanunda gösterilen yakınlarını suçlayan bir beyanda bulunmaya veya bu yolda delil göstermeye zorlanamaz. (Ek fıkra: 3/10/2001-4709/15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xml:space="preserve">) Kanuna aykırı olarak elde edilmiş bulgular, delil olarak kabul edilemez. Ceza sorumluluğu şahsidir. (Ek fıkra: 3/10/2001-4709/15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xml:space="preserve">) Hiç kimse, yalnızca sözleşmeden doğan bir yükümlülüğü yerine getirememesinden dolayı özgürlüğünden alıkonulamaz. (Ek fıkra: 3/10/2001-4709/15 md; Mülga fıkra: 7/5/2004-5170/5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xml:space="preserve">) (Değişik onuncu fıkra: 7/5/2004-5170/5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xml:space="preserve">) Ölüm cezası ve genel müsadere cezası verilemez. İdare, kişi hürriyetinin kısıtlanması sonucunu doğuran bir müeyyide uygulayamaz. Silahlı Kuvvetlerin iç düzeni bakımından bu hükme kanunla istisnalar getirilebilir. (Değişik son fıkra: 7/5/2004-5170/5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xml:space="preserve">) Uluslararası Ceza Divanına taraf olmanın gerektirdiği yükümlülükler hariç olmak üzere vatandaş, suç sebebiyle yabancı bir ülkeye verilemez." hükmü; 128. maddesinde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(Ek cümle: 7/5/2010-5982/12 </w:t>
      </w:r>
      <w:proofErr w:type="spellStart"/>
      <w:r w:rsidRPr="0006746A">
        <w:rPr>
          <w:rFonts w:ascii="Times New Roman" w:hAnsi="Times New Roman" w:cs="Times New Roman"/>
          <w:color w:val="010000"/>
          <w:sz w:val="24"/>
          <w:szCs w:val="24"/>
        </w:rPr>
        <w:t>md.</w:t>
      </w:r>
      <w:proofErr w:type="spellEnd"/>
      <w:r w:rsidRPr="0006746A">
        <w:rPr>
          <w:rFonts w:ascii="Times New Roman" w:hAnsi="Times New Roman" w:cs="Times New Roman"/>
          <w:color w:val="010000"/>
          <w:sz w:val="24"/>
          <w:szCs w:val="24"/>
        </w:rPr>
        <w:t>) Ancak, malî ve sosyal haklara ilişkin toplu sözleşme hükümleri saklıdır." hükmü yer almaktadır.</w:t>
      </w:r>
    </w:p>
    <w:p w14:paraId="54CB68CA" w14:textId="71B85B03"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Görüleceği üzere, memurlar ve diğer kamu görevlileri, özlük hakları bakımından yasal güvenceye kavuşturulmuştur. Memurlar ve diğer kamu görevlilerinin statü haklarını doğrudan etkileyen disiplin işlemlerinin Anayasa'nın 128. maddesinde belirtilen "diğer özlük işleri" kavramı kapsamına girdiğine kuşku bulunmamaktadır.  </w:t>
      </w:r>
    </w:p>
    <w:p w14:paraId="1A7FFB15" w14:textId="77777777"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Bu itibarla, kanunlarla düzenlenmesi gereken disiplin cezalarını düzenleme yetkisini yönetmeliklere bırakması sebebiyle itiraz konusu kuralın Anayasa'nın 128. maddesine aykırı </w:t>
      </w:r>
      <w:proofErr w:type="gramStart"/>
      <w:r w:rsidRPr="0006746A">
        <w:rPr>
          <w:rFonts w:ascii="Times New Roman" w:hAnsi="Times New Roman" w:cs="Times New Roman"/>
          <w:color w:val="010000"/>
          <w:sz w:val="24"/>
          <w:szCs w:val="24"/>
        </w:rPr>
        <w:t>olduğu</w:t>
      </w:r>
      <w:proofErr w:type="gramEnd"/>
      <w:r w:rsidRPr="0006746A">
        <w:rPr>
          <w:rFonts w:ascii="Times New Roman" w:hAnsi="Times New Roman" w:cs="Times New Roman"/>
          <w:color w:val="010000"/>
          <w:sz w:val="24"/>
          <w:szCs w:val="24"/>
        </w:rPr>
        <w:t xml:space="preserve"> kanaatine varılmıştır.</w:t>
      </w:r>
    </w:p>
    <w:p w14:paraId="3AD0051C" w14:textId="034FA6C3"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Bu sonuç, itiraz konusu kuralın yasama yetkisinin </w:t>
      </w:r>
      <w:proofErr w:type="spellStart"/>
      <w:r w:rsidRPr="0006746A">
        <w:rPr>
          <w:rFonts w:ascii="Times New Roman" w:hAnsi="Times New Roman" w:cs="Times New Roman"/>
          <w:color w:val="010000"/>
          <w:sz w:val="24"/>
          <w:szCs w:val="24"/>
        </w:rPr>
        <w:t>devredilmezliğini</w:t>
      </w:r>
      <w:proofErr w:type="spellEnd"/>
      <w:r w:rsidRPr="0006746A">
        <w:rPr>
          <w:rFonts w:ascii="Times New Roman" w:hAnsi="Times New Roman" w:cs="Times New Roman"/>
          <w:color w:val="010000"/>
          <w:sz w:val="24"/>
          <w:szCs w:val="24"/>
        </w:rPr>
        <w:t xml:space="preserve"> düzenleyen Anayasa'nın 7. maddesine aykırılık bulunduğu sonucunu da ortaya çıkarmaktadır.</w:t>
      </w:r>
    </w:p>
    <w:p w14:paraId="5960CAA7" w14:textId="49FF93D2"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Diğer yandan, kanuni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kanuni düzenleme ilkesine aykırılık oluşturmaz. </w:t>
      </w:r>
    </w:p>
    <w:p w14:paraId="714B4D72" w14:textId="4734CBA1"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Anayasa'nın 38. maddesinin birinci fıkrasında, "Kimse, işlendiği zaman yürürlükte bulunan kanunun suç saymadığı bir fiilden dolayı cezalandırılamaz." denilerek "suçun kanuniliği" ilkesi; üçüncü fıkrasında da "Ceza ve ceza yerine geçen güvenlik tedbirleri ancak kanunla konulur." ifadesine yer verilerek "cezanın kanuniliği" ilkesi getirilmiştir. Anayasa'nın 38. maddesinde yer alan "suçta ve cezada kanunilik" ilkesi uyarınca, hangi eylemlerin </w:t>
      </w:r>
      <w:r w:rsidRPr="0006746A">
        <w:rPr>
          <w:rFonts w:ascii="Times New Roman" w:hAnsi="Times New Roman" w:cs="Times New Roman"/>
          <w:color w:val="010000"/>
          <w:sz w:val="24"/>
          <w:szCs w:val="24"/>
        </w:rPr>
        <w:lastRenderedPageBreak/>
        <w:t>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14:paraId="70E6F404" w14:textId="4F2A87FC"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w:t>
      </w:r>
    </w:p>
    <w:p w14:paraId="672C22FB" w14:textId="1A4E4824"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Korunan hukuki değer ile ihlalin neden olduğu hukuki sonuçların aynı olmaması ise, idari suç ve cezalar ile adli suç ve cezalar arasındaki temel farklılığı oluşturmaktadır. 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p>
    <w:p w14:paraId="2346D5D2" w14:textId="4069763A"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Buna karşılık, "suçta ve cezada kanunilik" ilkesinin daha esnek uygulandığı idari suçlar yönünden de suç ve cezalara ilişkin düzenlemelerin yalnızca kanun metninde yer alması yeterli değildir. Söz konusu düzenlemelerin içerik bakımından da belirli amacı gerçekleştirmeye elverişli olması gerekir. Bu açıdan kanunun metni, bireylerin hangi somut fiil ve olguya hangi hukuksal yaptırımın veya sonucun bağlandığını belirli bir açıklık ve kesinlikte öngörebilmelerine </w:t>
      </w:r>
      <w:proofErr w:type="gramStart"/>
      <w:r w:rsidRPr="0006746A">
        <w:rPr>
          <w:rFonts w:ascii="Times New Roman" w:hAnsi="Times New Roman" w:cs="Times New Roman"/>
          <w:color w:val="010000"/>
          <w:sz w:val="24"/>
          <w:szCs w:val="24"/>
        </w:rPr>
        <w:t>imkan</w:t>
      </w:r>
      <w:proofErr w:type="gramEnd"/>
      <w:r w:rsidRPr="0006746A">
        <w:rPr>
          <w:rFonts w:ascii="Times New Roman" w:hAnsi="Times New Roman" w:cs="Times New Roman"/>
          <w:color w:val="010000"/>
          <w:sz w:val="24"/>
          <w:szCs w:val="24"/>
        </w:rPr>
        <w:t xml:space="preserve"> verecek düzeyde kaleme alınmış olmalıdır. Bu nedenle, belirli bir kesinlik içinde kanunda hangi fiile hangi hukuksal yaptırımın bağlandığının bireyler tarafından bilinmesi ve eylemlerin sonuçlarının öngörülebilmesi gerekir.</w:t>
      </w:r>
    </w:p>
    <w:p w14:paraId="6F859C92" w14:textId="3133D931"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Disiplin cezaları, kamu hizmetlerinin gereği gibi yürütülmesini sağlamak amacıyla öngörülmüş, yapma veya yapmama biçiminde beliren davranış kurallarının ihlali halinde uygulanan, yasal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w:t>
      </w:r>
    </w:p>
    <w:p w14:paraId="73D49196" w14:textId="54F4AF40"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 xml:space="preserve">Bu haliyle disiplin suçları, Anayasa'nın yukarıda yer alan hükümleri gereğince kanunla düzenlenmesi öngörülen hususlar arasında yer almaktadır. Ancak 6102 sayılı </w:t>
      </w:r>
      <w:proofErr w:type="gramStart"/>
      <w:r w:rsidRPr="0006746A">
        <w:rPr>
          <w:rFonts w:ascii="Times New Roman" w:hAnsi="Times New Roman" w:cs="Times New Roman"/>
          <w:color w:val="010000"/>
          <w:sz w:val="24"/>
          <w:szCs w:val="24"/>
        </w:rPr>
        <w:t>Türk Ticaret Kanununun</w:t>
      </w:r>
      <w:proofErr w:type="gramEnd"/>
      <w:r w:rsidRPr="0006746A">
        <w:rPr>
          <w:rFonts w:ascii="Times New Roman" w:hAnsi="Times New Roman" w:cs="Times New Roman"/>
          <w:color w:val="010000"/>
          <w:sz w:val="24"/>
          <w:szCs w:val="24"/>
        </w:rPr>
        <w:t xml:space="preserve">   itiraz konusu 26. maddesinde disiplin cezalarının türleri, disiplin cezası vermeye yetkili makamlar, cezaların kesinleşme usulü, cezaların verilmesini gerektiren disiplin suçlarının neler olduğu gibi hususlarda hiçbir belirleme yapılmaksızın uygulanacak disiplin cezaları ile ilgili olarak bütün kuralları koyma yetkisi yönetmeliklere bırakılmıştır. Bu haliyle disiplin uygulamaları konusunda ilgililer için getirilmiş kanuni bir güvence bulunmamaktadır.</w:t>
      </w:r>
    </w:p>
    <w:p w14:paraId="3CE20DC5" w14:textId="66C5FFD6"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Dolayısıyla, belirtilen niteliği nedeniyle itiraz konusu kural Anayasa'nın 38. maddesine de aykırılık teşkil etmektedir.</w:t>
      </w:r>
    </w:p>
    <w:p w14:paraId="47371628" w14:textId="1C229750"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lastRenderedPageBreak/>
        <w:t xml:space="preserve">Bu itibarla, işbu itiraz konusu kuralın Anayasamızın 7., 38. ve 128. maddelerine aykırılığı sebebiyle iptal edilmesi gerektiği sonucuna ulaşılmıştır. </w:t>
      </w:r>
    </w:p>
    <w:p w14:paraId="3E7315D0" w14:textId="05A265C6"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Nitekim Anayasa Mahkemesinin benzer kurallar hakkında verdiği kararlar da bu yöndedir.</w:t>
      </w:r>
    </w:p>
    <w:p w14:paraId="60188F8C" w14:textId="77777777" w:rsidR="009D23EB"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V- KARAR</w:t>
      </w:r>
    </w:p>
    <w:p w14:paraId="074F8FFF" w14:textId="7DC3D90E" w:rsidR="00743DA7" w:rsidRPr="0006746A" w:rsidRDefault="009D23EB" w:rsidP="0006746A">
      <w:pPr>
        <w:spacing w:before="240" w:after="100" w:afterAutospacing="1" w:line="240" w:lineRule="auto"/>
        <w:ind w:firstLine="709"/>
        <w:jc w:val="both"/>
        <w:rPr>
          <w:rFonts w:ascii="Times New Roman" w:hAnsi="Times New Roman" w:cs="Times New Roman"/>
          <w:color w:val="010000"/>
          <w:sz w:val="24"/>
          <w:szCs w:val="24"/>
        </w:rPr>
      </w:pPr>
      <w:r w:rsidRPr="0006746A">
        <w:rPr>
          <w:rFonts w:ascii="Times New Roman" w:hAnsi="Times New Roman" w:cs="Times New Roman"/>
          <w:color w:val="010000"/>
          <w:sz w:val="24"/>
          <w:szCs w:val="24"/>
        </w:rPr>
        <w:t>Açıklanan nedenlerle; Anayasa’nın  7. 38. ve 128. maddelerine aykırı olması sebebiyle  6102 sayılı Türk Ticaret Kanunu 26. maddesinde yer alan ",disiplin işleri" ibaresinin iptali istemiyle Anayasa'nın 152. maddesi uyarınca Anayasa Mahkemesi'ne başvurulmasına; dava dosyasının ve dosyada bulunan tüm belgelerin onaylı suretlerinin işbu karar aslı ile birlikte Anayasa Mahkemesi'ne gönderilmesine; işbu karar aslı ile dosya suretinin Anayasa Mahkemesince esasa alındığı tarihten itibaren (5) ay beklenilmesine, (5) ay içinde netice gelmezse mevcut mevzuata göre dosyanın karara bağlanmasına; işbu kararın onaylı birer örneğinin bilgi amacıyla taraflara da tebliğine, 10/10/2024 tarihinde oy birliğiyle karar verildi.</w:t>
      </w:r>
      <w:r w:rsidR="00860AB3" w:rsidRPr="0006746A">
        <w:rPr>
          <w:rFonts w:ascii="Times New Roman" w:hAnsi="Times New Roman" w:cs="Times New Roman"/>
          <w:color w:val="010000"/>
          <w:sz w:val="24"/>
          <w:szCs w:val="24"/>
        </w:rPr>
        <w:t>”</w:t>
      </w:r>
    </w:p>
    <w:sectPr w:rsidR="00743DA7" w:rsidRPr="0006746A" w:rsidSect="000674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3773" w14:textId="77777777" w:rsidR="00473536" w:rsidRDefault="00473536" w:rsidP="006F3DAB">
      <w:pPr>
        <w:spacing w:after="0" w:line="240" w:lineRule="auto"/>
      </w:pPr>
      <w:r>
        <w:separator/>
      </w:r>
    </w:p>
  </w:endnote>
  <w:endnote w:type="continuationSeparator" w:id="0">
    <w:p w14:paraId="43B92EE2" w14:textId="77777777" w:rsidR="00473536" w:rsidRDefault="0047353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6F02" w14:textId="77777777" w:rsidR="0006746A" w:rsidRDefault="0006746A" w:rsidP="00F934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B12578" w14:textId="77777777" w:rsidR="0006746A" w:rsidRDefault="0006746A" w:rsidP="000674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FE00" w14:textId="546AC528" w:rsidR="0006746A" w:rsidRPr="0006746A" w:rsidRDefault="0006746A" w:rsidP="00F93406">
    <w:pPr>
      <w:pStyle w:val="AltBilgi"/>
      <w:framePr w:wrap="around" w:vAnchor="text" w:hAnchor="margin" w:xAlign="right" w:y="1"/>
      <w:rPr>
        <w:rStyle w:val="SayfaNumaras"/>
        <w:rFonts w:ascii="Times New Roman" w:hAnsi="Times New Roman" w:cs="Times New Roman"/>
      </w:rPr>
    </w:pPr>
    <w:r w:rsidRPr="0006746A">
      <w:rPr>
        <w:rStyle w:val="SayfaNumaras"/>
        <w:rFonts w:ascii="Times New Roman" w:hAnsi="Times New Roman" w:cs="Times New Roman"/>
      </w:rPr>
      <w:fldChar w:fldCharType="begin"/>
    </w:r>
    <w:r w:rsidRPr="0006746A">
      <w:rPr>
        <w:rStyle w:val="SayfaNumaras"/>
        <w:rFonts w:ascii="Times New Roman" w:hAnsi="Times New Roman" w:cs="Times New Roman"/>
      </w:rPr>
      <w:instrText xml:space="preserve"> PAGE </w:instrText>
    </w:r>
    <w:r w:rsidRPr="0006746A">
      <w:rPr>
        <w:rStyle w:val="SayfaNumaras"/>
        <w:rFonts w:ascii="Times New Roman" w:hAnsi="Times New Roman" w:cs="Times New Roman"/>
      </w:rPr>
      <w:fldChar w:fldCharType="separate"/>
    </w:r>
    <w:r w:rsidRPr="0006746A">
      <w:rPr>
        <w:rStyle w:val="SayfaNumaras"/>
        <w:rFonts w:ascii="Times New Roman" w:hAnsi="Times New Roman" w:cs="Times New Roman"/>
        <w:noProof/>
      </w:rPr>
      <w:t>3</w:t>
    </w:r>
    <w:r w:rsidRPr="0006746A">
      <w:rPr>
        <w:rStyle w:val="SayfaNumaras"/>
        <w:rFonts w:ascii="Times New Roman" w:hAnsi="Times New Roman" w:cs="Times New Roman"/>
      </w:rPr>
      <w:fldChar w:fldCharType="end"/>
    </w:r>
  </w:p>
  <w:p w14:paraId="285A0729" w14:textId="677ACC40" w:rsidR="002975B8" w:rsidRPr="0006746A" w:rsidRDefault="002975B8" w:rsidP="0006746A">
    <w:pPr>
      <w:pStyle w:val="AltBilgi"/>
      <w:ind w:right="360"/>
      <w:jc w:val="right"/>
      <w:rPr>
        <w:rFonts w:ascii="Times New Roman" w:hAnsi="Times New Roman" w:cs="Times New Roman"/>
      </w:rPr>
    </w:pPr>
  </w:p>
  <w:p w14:paraId="46879A97" w14:textId="77777777" w:rsidR="002975B8" w:rsidRPr="0006746A"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108C" w14:textId="77777777" w:rsidR="0006746A" w:rsidRDefault="000674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6794" w14:textId="77777777" w:rsidR="00473536" w:rsidRDefault="00473536" w:rsidP="006F3DAB">
      <w:pPr>
        <w:spacing w:after="0" w:line="240" w:lineRule="auto"/>
      </w:pPr>
      <w:r>
        <w:separator/>
      </w:r>
    </w:p>
  </w:footnote>
  <w:footnote w:type="continuationSeparator" w:id="0">
    <w:p w14:paraId="4413DA73" w14:textId="77777777" w:rsidR="00473536" w:rsidRDefault="0047353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D039" w14:textId="77777777" w:rsidR="0006746A" w:rsidRDefault="000674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4DE3" w14:textId="77777777" w:rsidR="0006746A" w:rsidRDefault="0006746A" w:rsidP="0006746A">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4/208</w:t>
    </w:r>
  </w:p>
  <w:p w14:paraId="3A73DE59" w14:textId="77777777" w:rsidR="0006746A" w:rsidRPr="00C6681C" w:rsidRDefault="0006746A" w:rsidP="0006746A">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4/122</w:t>
    </w:r>
  </w:p>
  <w:p w14:paraId="6FFCC598" w14:textId="445D78FD" w:rsidR="0006746A" w:rsidRPr="0006746A" w:rsidRDefault="0006746A" w:rsidP="0006746A">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F9DA" w14:textId="77777777" w:rsidR="0006746A" w:rsidRDefault="000674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6746A"/>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0067"/>
    <w:rsid w:val="00362581"/>
    <w:rsid w:val="0038330B"/>
    <w:rsid w:val="003846B0"/>
    <w:rsid w:val="003A2F36"/>
    <w:rsid w:val="003C0748"/>
    <w:rsid w:val="003C2CEA"/>
    <w:rsid w:val="00406546"/>
    <w:rsid w:val="0041159E"/>
    <w:rsid w:val="00413DBA"/>
    <w:rsid w:val="004251EC"/>
    <w:rsid w:val="00473536"/>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61A3"/>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23EB"/>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66965"/>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7803-C03F-4826-8980-BC484E43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2025-08-08T08:07:00Z</dcterms:created>
  <dcterms:modified xsi:type="dcterms:W3CDTF">2025-08-08T08:07:00Z</dcterms:modified>
</cp:coreProperties>
</file>