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5009D"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“Eleşkirt Asliye hukuk mahkemesinde yargılaması devam eden 2023/133 esas sayılı dosyada, dava ile ilgili İİK madde 278 in Anayasaya aykırı olması sebebiyle bu konuda Anayasa Mahkemesine başvurulmasına karar verilmiştir.</w:t>
      </w:r>
    </w:p>
    <w:p w14:paraId="18B563E0"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Yüksek Mahkemenin kararlarında da b</w:t>
      </w:r>
      <w:bookmarkStart w:id="0" w:name="_GoBack"/>
      <w:bookmarkEnd w:id="0"/>
      <w:r w:rsidRPr="00F15DEC">
        <w:rPr>
          <w:rFonts w:ascii="Times New Roman" w:hAnsi="Times New Roman" w:cs="Times New Roman"/>
          <w:color w:val="010000"/>
          <w:sz w:val="24"/>
          <w:szCs w:val="24"/>
        </w:rPr>
        <w:t>elirtildiği üzere;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14:paraId="01C53DE1"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 xml:space="preserve"> "Temel hak ve hürriyetlerin sınırlanması Madde 13 – (Değişik: 3/10/2001-4709/2 </w:t>
      </w:r>
      <w:proofErr w:type="spellStart"/>
      <w:r w:rsidRPr="00F15DEC">
        <w:rPr>
          <w:rFonts w:ascii="Times New Roman" w:hAnsi="Times New Roman" w:cs="Times New Roman"/>
          <w:color w:val="010000"/>
          <w:sz w:val="24"/>
          <w:szCs w:val="24"/>
        </w:rPr>
        <w:t>md.</w:t>
      </w:r>
      <w:proofErr w:type="spellEnd"/>
      <w:r w:rsidRPr="00F15DEC">
        <w:rPr>
          <w:rFonts w:ascii="Times New Roman" w:hAnsi="Times New Roman" w:cs="Times New Roman"/>
          <w:color w:val="010000"/>
          <w:sz w:val="24"/>
          <w:szCs w:val="24"/>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06E38861"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Mülkiyet hakkı Madde 35 – Herkes, mülkiyet ve miras haklarına sahiptir. Bu haklar, ancak kamu yararı amacıyla, kanunla sınırlanabilir. Mülkiyet hakkının kullanılması toplum yararına aykırı olamaz.</w:t>
      </w:r>
    </w:p>
    <w:p w14:paraId="61F3A816"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Hak arama hürriyeti Madde 36 – Herkes, meşru vasıta ve yollardan faydalanmak suretiyle yargı mercileri önünde davacı veya davalı olarak iddia ve savunma ile adil yargılanma hakkına sahiptir. Hiçbir mahkeme, görev ve yetkisi içindeki davaya bakmaktan kaçınamaz.</w:t>
      </w:r>
    </w:p>
    <w:p w14:paraId="5B844353"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Somut olay incelendiğinde; Borçlular hakkında icra takibi başlatıldığı, borçlulara ait taşınmazın borçlunun hısımlarına (kızına) devredilmesi sebebiyle açılan tasarrufun iptali davasında itiraz konusu kuralın Anayasa'ya aykırı olduğu kanaatine varılmıştır.</w:t>
      </w:r>
    </w:p>
    <w:p w14:paraId="7C17B4EB"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III- NETİCE VE TALEP: Yukarıda açıklanan gerekçe ve nedenlerle;</w:t>
      </w:r>
    </w:p>
    <w:p w14:paraId="34849F8C" w14:textId="2E2E2F4C"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1-2709 sayılı Türkiye Cumhuriyeti Anayasası’nın 2, 13, 35, 36 ve 38. maddelerine aykırı olduğu görülen İcra İflas Kanunu'nun 278/3-1 "Aşağıdaki tasarruflar bağışlama gibidir. 1. (</w:t>
      </w:r>
      <w:proofErr w:type="gramStart"/>
      <w:r w:rsidRPr="00F15DEC">
        <w:rPr>
          <w:rFonts w:ascii="Times New Roman" w:hAnsi="Times New Roman" w:cs="Times New Roman"/>
          <w:color w:val="010000"/>
          <w:sz w:val="24"/>
          <w:szCs w:val="24"/>
        </w:rPr>
        <w:t>Değişik :</w:t>
      </w:r>
      <w:proofErr w:type="gramEnd"/>
      <w:r w:rsidRPr="00F15DEC">
        <w:rPr>
          <w:rFonts w:ascii="Times New Roman" w:hAnsi="Times New Roman" w:cs="Times New Roman"/>
          <w:color w:val="010000"/>
          <w:sz w:val="24"/>
          <w:szCs w:val="24"/>
        </w:rPr>
        <w:t xml:space="preserve"> 9/11/1988-3494/53 </w:t>
      </w:r>
      <w:proofErr w:type="spellStart"/>
      <w:r w:rsidRPr="00F15DEC">
        <w:rPr>
          <w:rFonts w:ascii="Times New Roman" w:hAnsi="Times New Roman" w:cs="Times New Roman"/>
          <w:color w:val="010000"/>
          <w:sz w:val="24"/>
          <w:szCs w:val="24"/>
        </w:rPr>
        <w:t>md.</w:t>
      </w:r>
      <w:proofErr w:type="spellEnd"/>
      <w:r w:rsidRPr="00F15DEC">
        <w:rPr>
          <w:rFonts w:ascii="Times New Roman" w:hAnsi="Times New Roman" w:cs="Times New Roman"/>
          <w:color w:val="010000"/>
          <w:sz w:val="24"/>
          <w:szCs w:val="24"/>
        </w:rPr>
        <w:t>) (İptal ibare: Anayasa Mahkemesi’nin 16/12/2021 tarihli ve E.: 2021/52, K.: 2021/97 sayılı Kararı ile.) (İptal ibare: Anayasa Mahkemesi’nin 26/1/2022 tarihli ve E.: 2021/9, K.: 2022/4 sayılı Kararı ile.) füru, (İptal ibare: Anayasa Mahkemesi’nin 11/7/2018 tarihli ve E.: 2018/9, K.: 2018/84 sayılı Kararı ile.)(1) (…)(2) (İptal ibare: Anayasa Mahkemesi’nin 26/1/2022 tarihli ve E.: 2021/9, K.: 2022/4 sayılı Kararı ile.) evlat edinenle evlatlık arasında yapılan ivazlı tasarruflar" hükmünde geçen "füru" ibaresi</w:t>
      </w:r>
      <w:r w:rsidR="00F15DEC" w:rsidRPr="00F15DEC">
        <w:rPr>
          <w:rFonts w:ascii="Times New Roman" w:hAnsi="Times New Roman" w:cs="Times New Roman"/>
          <w:color w:val="010000"/>
          <w:sz w:val="24"/>
          <w:szCs w:val="24"/>
        </w:rPr>
        <w:t xml:space="preserve"> </w:t>
      </w:r>
      <w:r w:rsidRPr="00F15DEC">
        <w:rPr>
          <w:rFonts w:ascii="Times New Roman" w:hAnsi="Times New Roman" w:cs="Times New Roman"/>
          <w:color w:val="010000"/>
          <w:sz w:val="24"/>
          <w:szCs w:val="24"/>
        </w:rPr>
        <w:t>Anayasa’nın 2,13,35 ve 36. maddelerine aykırılığı nedeniyle</w:t>
      </w:r>
      <w:r w:rsidR="00F15DEC" w:rsidRPr="00F15DEC">
        <w:rPr>
          <w:rFonts w:ascii="Times New Roman" w:hAnsi="Times New Roman" w:cs="Times New Roman"/>
          <w:color w:val="010000"/>
          <w:sz w:val="24"/>
          <w:szCs w:val="24"/>
        </w:rPr>
        <w:t xml:space="preserve"> </w:t>
      </w:r>
      <w:r w:rsidRPr="00F15DEC">
        <w:rPr>
          <w:rFonts w:ascii="Times New Roman" w:hAnsi="Times New Roman" w:cs="Times New Roman"/>
          <w:color w:val="010000"/>
          <w:sz w:val="24"/>
          <w:szCs w:val="24"/>
        </w:rPr>
        <w:t>iptali için Türkiye Cumhuriyeti Anayasasının 152., 6216 sayılı Anayasa Mahkemesinin Kuruluşu ve Yargılama Usulleri Hakkında Kanun’un 40. maddesi gereğince Anayasa Mahkemesi’ne BAŞVURULMASINA,</w:t>
      </w:r>
    </w:p>
    <w:p w14:paraId="5EE98138"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2-Anayasaya aykırılığın değerlendirilmesi için dosya içeriği ve belgelerin onaylı birer suretinin dizi listesine bağlanarak ANAYASA MAHKEMESİNE GÖNDERİLMESİNE,</w:t>
      </w:r>
    </w:p>
    <w:p w14:paraId="3F0F267F"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3- Başvurunun, Anayasa Mahkemesi’nin bu konuda vereceği karara kadar ve en fazla 5 ay süre ile GERİ BIRAKILMASINA,</w:t>
      </w:r>
    </w:p>
    <w:p w14:paraId="4344B838"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lastRenderedPageBreak/>
        <w:t>4-2709 sayılı Türkiye Cumhuriyeti Anayasası’nın 152/3. fıkrasının amir hükmü gereği dosyanın Anayasa Mahkemesi’ne gelişinden başlamak üzere beş ay içinde karar verilmesinin beklenmesine, bu süre içinde karar verilmezse başvurunun yürürlükteki Kanun hükümlerine göre sonuçlandırılmasına, esas hakkındaki karar kesinleşinceye kadar gelirse bu karara uyulmasına,</w:t>
      </w:r>
    </w:p>
    <w:p w14:paraId="3E5C0D44" w14:textId="77777777" w:rsidR="00D93F0E" w:rsidRPr="00F15DEC" w:rsidRDefault="00D93F0E" w:rsidP="00F15DEC">
      <w:pPr>
        <w:spacing w:before="240" w:after="100" w:afterAutospacing="1" w:line="240" w:lineRule="auto"/>
        <w:ind w:firstLine="709"/>
        <w:jc w:val="both"/>
        <w:rPr>
          <w:rFonts w:ascii="Times New Roman" w:hAnsi="Times New Roman" w:cs="Times New Roman"/>
          <w:color w:val="010000"/>
          <w:sz w:val="24"/>
          <w:szCs w:val="24"/>
        </w:rPr>
      </w:pPr>
      <w:r w:rsidRPr="00F15DEC">
        <w:rPr>
          <w:rFonts w:ascii="Times New Roman" w:hAnsi="Times New Roman" w:cs="Times New Roman"/>
          <w:color w:val="010000"/>
          <w:sz w:val="24"/>
          <w:szCs w:val="24"/>
        </w:rPr>
        <w:t>Dair, dosya üzerinde yapılan inceleme neticesinde Hakimliğimizce karar verilmekle, Anayasaya aykırılığın değerlendirilmesi Yüksek Mahkemenizden arz olunur.”</w:t>
      </w:r>
    </w:p>
    <w:sectPr w:rsidR="00D93F0E" w:rsidRPr="00F15DEC" w:rsidSect="00F15DE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ED42" w14:textId="77777777" w:rsidR="00310E47" w:rsidRDefault="00310E47" w:rsidP="00F15DEC">
      <w:pPr>
        <w:spacing w:after="0" w:line="240" w:lineRule="auto"/>
      </w:pPr>
      <w:r>
        <w:separator/>
      </w:r>
    </w:p>
  </w:endnote>
  <w:endnote w:type="continuationSeparator" w:id="0">
    <w:p w14:paraId="6F19B80B" w14:textId="77777777" w:rsidR="00310E47" w:rsidRDefault="00310E47" w:rsidP="00F1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9547" w14:textId="77777777" w:rsidR="00F15DEC" w:rsidRDefault="00F15DEC" w:rsidP="005033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43E6C75" w14:textId="77777777" w:rsidR="00F15DEC" w:rsidRDefault="00F15DEC" w:rsidP="00F15D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26936" w14:textId="01C1C808" w:rsidR="00F15DEC" w:rsidRPr="00F15DEC" w:rsidRDefault="00F15DEC" w:rsidP="00503330">
    <w:pPr>
      <w:pStyle w:val="AltBilgi"/>
      <w:framePr w:wrap="around" w:vAnchor="text" w:hAnchor="margin" w:xAlign="right" w:y="1"/>
      <w:rPr>
        <w:rStyle w:val="SayfaNumaras"/>
        <w:rFonts w:ascii="Times New Roman" w:hAnsi="Times New Roman" w:cs="Times New Roman"/>
      </w:rPr>
    </w:pPr>
    <w:r w:rsidRPr="00F15DEC">
      <w:rPr>
        <w:rStyle w:val="SayfaNumaras"/>
        <w:rFonts w:ascii="Times New Roman" w:hAnsi="Times New Roman" w:cs="Times New Roman"/>
      </w:rPr>
      <w:fldChar w:fldCharType="begin"/>
    </w:r>
    <w:r w:rsidRPr="00F15DEC">
      <w:rPr>
        <w:rStyle w:val="SayfaNumaras"/>
        <w:rFonts w:ascii="Times New Roman" w:hAnsi="Times New Roman" w:cs="Times New Roman"/>
      </w:rPr>
      <w:instrText xml:space="preserve"> PAGE </w:instrText>
    </w:r>
    <w:r w:rsidRPr="00F15DEC">
      <w:rPr>
        <w:rStyle w:val="SayfaNumaras"/>
        <w:rFonts w:ascii="Times New Roman" w:hAnsi="Times New Roman" w:cs="Times New Roman"/>
      </w:rPr>
      <w:fldChar w:fldCharType="separate"/>
    </w:r>
    <w:r w:rsidRPr="00F15DEC">
      <w:rPr>
        <w:rStyle w:val="SayfaNumaras"/>
        <w:rFonts w:ascii="Times New Roman" w:hAnsi="Times New Roman" w:cs="Times New Roman"/>
        <w:noProof/>
      </w:rPr>
      <w:t>1</w:t>
    </w:r>
    <w:r w:rsidRPr="00F15DEC">
      <w:rPr>
        <w:rStyle w:val="SayfaNumaras"/>
        <w:rFonts w:ascii="Times New Roman" w:hAnsi="Times New Roman" w:cs="Times New Roman"/>
      </w:rPr>
      <w:fldChar w:fldCharType="end"/>
    </w:r>
  </w:p>
  <w:p w14:paraId="69B2E228" w14:textId="77777777" w:rsidR="00F15DEC" w:rsidRPr="00F15DEC" w:rsidRDefault="00F15DEC" w:rsidP="00F15DE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10F2" w14:textId="77777777" w:rsidR="00310E47" w:rsidRDefault="00310E47" w:rsidP="00F15DEC">
      <w:pPr>
        <w:spacing w:after="0" w:line="240" w:lineRule="auto"/>
      </w:pPr>
      <w:r>
        <w:separator/>
      </w:r>
    </w:p>
  </w:footnote>
  <w:footnote w:type="continuationSeparator" w:id="0">
    <w:p w14:paraId="39BAE977" w14:textId="77777777" w:rsidR="00310E47" w:rsidRDefault="00310E47" w:rsidP="00F1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8F20" w14:textId="77777777" w:rsidR="00F15DEC" w:rsidRPr="00F15DEC" w:rsidRDefault="00F15DEC" w:rsidP="00F15DEC">
    <w:pPr>
      <w:pStyle w:val="stBilgi"/>
      <w:rPr>
        <w:rFonts w:ascii="Times New Roman" w:hAnsi="Times New Roman" w:cs="Times New Roman"/>
      </w:rPr>
    </w:pPr>
    <w:r w:rsidRPr="00F15DEC">
      <w:rPr>
        <w:rFonts w:ascii="Times New Roman" w:hAnsi="Times New Roman" w:cs="Times New Roman"/>
      </w:rPr>
      <w:t xml:space="preserve">Esas Sayısı  </w:t>
    </w:r>
    <w:proofErr w:type="gramStart"/>
    <w:r w:rsidRPr="00F15DEC">
      <w:rPr>
        <w:rFonts w:ascii="Times New Roman" w:hAnsi="Times New Roman" w:cs="Times New Roman"/>
      </w:rPr>
      <w:t xml:space="preserve">  :</w:t>
    </w:r>
    <w:proofErr w:type="gramEnd"/>
    <w:r w:rsidRPr="00F15DEC">
      <w:rPr>
        <w:rFonts w:ascii="Times New Roman" w:hAnsi="Times New Roman" w:cs="Times New Roman"/>
      </w:rPr>
      <w:t xml:space="preserve"> 2024/31</w:t>
    </w:r>
    <w:r w:rsidRPr="00F15DEC">
      <w:rPr>
        <w:rFonts w:ascii="Times New Roman" w:hAnsi="Times New Roman" w:cs="Times New Roman"/>
      </w:rPr>
      <w:tab/>
    </w:r>
  </w:p>
  <w:p w14:paraId="4884F9A6" w14:textId="496CB131" w:rsidR="00F15DEC" w:rsidRPr="00F15DEC" w:rsidRDefault="00F15DEC" w:rsidP="00F15DEC">
    <w:pPr>
      <w:pStyle w:val="stBilgi"/>
    </w:pPr>
    <w:r w:rsidRPr="00F15DEC">
      <w:rPr>
        <w:rFonts w:ascii="Times New Roman" w:hAnsi="Times New Roman" w:cs="Times New Roman"/>
      </w:rPr>
      <w:t xml:space="preserve">Karar </w:t>
    </w:r>
    <w:proofErr w:type="gramStart"/>
    <w:r w:rsidRPr="00F15DEC">
      <w:rPr>
        <w:rFonts w:ascii="Times New Roman" w:hAnsi="Times New Roman" w:cs="Times New Roman"/>
      </w:rPr>
      <w:t>Sayısı :</w:t>
    </w:r>
    <w:proofErr w:type="gramEnd"/>
    <w:r w:rsidRPr="00F15DEC">
      <w:rPr>
        <w:rFonts w:ascii="Times New Roman" w:hAnsi="Times New Roman" w:cs="Times New Roman"/>
      </w:rPr>
      <w:t xml:space="preserve"> 2024/37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2F"/>
    <w:rsid w:val="00310E47"/>
    <w:rsid w:val="003C142F"/>
    <w:rsid w:val="00734D78"/>
    <w:rsid w:val="008A1566"/>
    <w:rsid w:val="00D93F0E"/>
    <w:rsid w:val="00F15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35E71-4886-4604-97C4-0A107F3A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F0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5D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5DEC"/>
  </w:style>
  <w:style w:type="paragraph" w:styleId="AltBilgi">
    <w:name w:val="footer"/>
    <w:basedOn w:val="Normal"/>
    <w:link w:val="AltBilgiChar"/>
    <w:uiPriority w:val="99"/>
    <w:unhideWhenUsed/>
    <w:rsid w:val="00F15D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5DEC"/>
  </w:style>
  <w:style w:type="character" w:styleId="SayfaNumaras">
    <w:name w:val="page number"/>
    <w:basedOn w:val="VarsaylanParagrafYazTipi"/>
    <w:uiPriority w:val="99"/>
    <w:semiHidden/>
    <w:unhideWhenUsed/>
    <w:rsid w:val="00F1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2024-03-27T05:46:00Z</dcterms:created>
  <dcterms:modified xsi:type="dcterms:W3CDTF">2024-03-27T05:46:00Z</dcterms:modified>
</cp:coreProperties>
</file>