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203" w:rsidRPr="005F1FAE" w:rsidRDefault="00C00698" w:rsidP="005F1FAE">
      <w:pPr>
        <w:spacing w:after="200"/>
        <w:ind w:left="283" w:right="283" w:firstLine="709"/>
        <w:jc w:val="both"/>
        <w:rPr>
          <w:rFonts w:ascii="Times New Roman" w:hAnsi="Times New Roman"/>
          <w:color w:val="010000"/>
        </w:rPr>
      </w:pPr>
      <w:bookmarkStart w:id="0" w:name="_GoBack"/>
      <w:bookmarkEnd w:id="0"/>
      <w:r w:rsidRPr="005F1FAE">
        <w:rPr>
          <w:rFonts w:ascii="Times New Roman" w:hAnsi="Times New Roman"/>
          <w:color w:val="010000"/>
        </w:rPr>
        <w:t>“</w:t>
      </w:r>
    </w:p>
    <w:p w:rsidR="008E1203" w:rsidRPr="005F1FAE" w:rsidRDefault="008E1203" w:rsidP="005F1FAE">
      <w:pPr>
        <w:spacing w:after="200"/>
        <w:ind w:left="283" w:right="283" w:firstLine="709"/>
        <w:jc w:val="both"/>
        <w:rPr>
          <w:rFonts w:ascii="Times New Roman" w:hAnsi="Times New Roman"/>
          <w:color w:val="010000"/>
        </w:rPr>
      </w:pPr>
      <w:r w:rsidRPr="005F1FAE">
        <w:rPr>
          <w:rFonts w:ascii="Times New Roman" w:hAnsi="Times New Roman"/>
          <w:color w:val="010000"/>
        </w:rPr>
        <w:t>...</w:t>
      </w:r>
    </w:p>
    <w:p w:rsidR="00FE625A" w:rsidRPr="005F1FAE" w:rsidRDefault="00FE625A" w:rsidP="005F1FAE">
      <w:pPr>
        <w:numPr>
          <w:ilvl w:val="0"/>
          <w:numId w:val="8"/>
        </w:numPr>
        <w:spacing w:after="200"/>
        <w:ind w:left="283" w:right="283" w:firstLine="709"/>
        <w:jc w:val="both"/>
        <w:rPr>
          <w:rFonts w:ascii="Times New Roman" w:hAnsi="Times New Roman"/>
          <w:color w:val="010000"/>
        </w:rPr>
      </w:pPr>
      <w:r w:rsidRPr="005F1FAE">
        <w:rPr>
          <w:rFonts w:ascii="Times New Roman" w:hAnsi="Times New Roman"/>
          <w:color w:val="010000"/>
        </w:rPr>
        <w:t>CUMHURBAŞKANLIĞI KARARNAMELERİNİN (CBK) ANAYASAL ÇERÇEVESİ</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düzenleneceğini belirtiliyordu. Burada bir ad benzerliği dışında iki tür düzenlemenin kapsam ve sınırları açısından oldukça farklı olduğu kabul edilmelidir.</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6771 sayılı Anayasa Değişikliği Kanunu ile getirilen yeni tip Cumhurbaşkanlığı kararnamesinin temel ilke ve koşulları Anayasa’nın 104. maddesinin 17. fıkrasında ortaya konulmuştur.</w:t>
      </w:r>
      <w:r w:rsidR="005F1FAE" w:rsidRPr="005F1FAE">
        <w:rPr>
          <w:rFonts w:ascii="Times New Roman" w:hAnsi="Times New Roman"/>
          <w:color w:val="010000"/>
        </w:rPr>
        <w:t xml:space="preserve"> </w:t>
      </w:r>
    </w:p>
    <w:p w:rsidR="00FE625A" w:rsidRPr="005F1FAE" w:rsidRDefault="005F1FAE"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 </w:t>
      </w:r>
      <w:r w:rsidR="00FE625A" w:rsidRPr="005F1FAE">
        <w:rPr>
          <w:rFonts w:ascii="Times New Roman" w:hAnsi="Times New Roman"/>
          <w:color w:val="010000"/>
        </w:rPr>
        <w:t xml:space="preserve">“Cumhurbaşkanı, yürütme yetkisine ilişkin konularda Cumhurbaşkanlığı kararnamesi çıkarabilir.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Anayasanın ikinci kısmının birinci ve ikinci bölümlerinde yer alan temel haklar, kişi hakları ve ödevleriyle dördüncü bölümde yer alan siyasi haklar ve ödevler Cumhurbaşkanlığı kararnamesiyle düzenlenemez.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Anayasada münhasıran kanunla düzenlenmesi öngörülen konularda Cumhurbaşkanlığı kararnamesi çıkarılamaz.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Kanunda açıkça düzenlenen konularda Cumhurbaşkanlığı kararnamesi çıkarılamaz.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Cumhurbaşkanlığı kararnamesi ile kanunlarda farklı hükümler bulunması halinde, kanun hükümleri uygulanır.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Türkiye Büyük Millet Meclisinin aynı konuda kanun çıkarması durumunda, Cumhurbaşkanlığı kararnamesi hükümsüz hale gelir.”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Anayasanın 106. maddenin 11. fıkrasına göre de; “Bakanlıkların kurulması, kaldırılması, görevleri ve yetkileri, teşkilat yapısı ile merkez ve taşra teşkilatlarının kurulması Cumhurbaşkanlığı kararnamesiyle düzenlenir.”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12 sayılı CBK’nin anayasaya uygunluk denetiminde, yukarıdaki hüküm yanında, Anayasa’da yer alan iki temel ilkenin daha göz önünde bulundurulması gerekir: yasama yetkisinin devri yasağı ve kanuni idare ilkesi.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r w:rsidR="005F1FAE" w:rsidRPr="005F1FAE">
        <w:rPr>
          <w:rFonts w:ascii="Times New Roman" w:hAnsi="Times New Roman"/>
          <w:color w:val="010000"/>
        </w:rPr>
        <w:t xml:space="preserve"> </w:t>
      </w:r>
      <w:r w:rsidRPr="005F1FAE">
        <w:rPr>
          <w:rFonts w:ascii="Times New Roman" w:hAnsi="Times New Roman"/>
          <w:color w:val="010000"/>
        </w:rPr>
        <w:t>Yasama yetkisi Türk Milleti adına Türkiye Büyük Millet Meclisinindir. Bu yetki devredilemez.</w:t>
      </w:r>
      <w:r w:rsidR="005F1FAE" w:rsidRPr="005F1FAE">
        <w:rPr>
          <w:rFonts w:ascii="Times New Roman" w:hAnsi="Times New Roman"/>
          <w:color w:val="010000"/>
        </w:rPr>
        <w:t xml:space="preserve"> </w:t>
      </w:r>
      <w:r w:rsidRPr="005F1FAE">
        <w:rPr>
          <w:rFonts w:ascii="Times New Roman" w:hAnsi="Times New Roman"/>
          <w:color w:val="010000"/>
        </w:rPr>
        <w:t xml:space="preserve">" denilmiştir. Buna </w:t>
      </w:r>
      <w:r w:rsidRPr="005F1FAE">
        <w:rPr>
          <w:rFonts w:ascii="Times New Roman" w:hAnsi="Times New Roman"/>
          <w:color w:val="010000"/>
        </w:rPr>
        <w:lastRenderedPageBreak/>
        <w:t>göre, Anayasa'da kanun ile düzenlenmesi öngörülen konularda yürütme organına genel ve sınırları belirsiz bir düzenleme yetkisinin verilmesi olanaklı değildir.</w:t>
      </w:r>
      <w:r w:rsidR="005F1FAE" w:rsidRPr="005F1FAE">
        <w:rPr>
          <w:rFonts w:ascii="Times New Roman" w:hAnsi="Times New Roman"/>
          <w:color w:val="010000"/>
        </w:rPr>
        <w:t xml:space="preserve"> </w:t>
      </w:r>
      <w:r w:rsidRPr="005F1FAE">
        <w:rPr>
          <w:rFonts w:ascii="Times New Roman" w:hAnsi="Times New Roman"/>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Mahkeme bir başka kararında ise yasama yetkisinin devredilmezliği ilkesini şu şekilde ifade etmiştir. “Anayasa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Bununla beraber Anayasa Mahkemesi’nin daha yakın tarihli kararlarında bu içtihadı bir miktar esnettiği görülmektedir. “15…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bırakabilir.(par. 15).</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Yürütmenin türevselliği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(par. 16). (Anayasa Mahkemesi Kararı E.2017/143 K.2018/40, 2/5/2018).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Neticede sadece yakın dönem Anayasa Mahkemesi kararları dikkate alındığında, ilkesel olarak kanun koyucunun “genel ifadelerle yürütme organını yetkilendirmesi yeterli”dir,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lastRenderedPageBreak/>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Yasal idare ilkesi, idarenin eylem ve işlemlerinin hem</w:t>
      </w:r>
      <w:r w:rsidR="005F1FAE" w:rsidRPr="005F1FAE">
        <w:rPr>
          <w:rFonts w:ascii="Times New Roman" w:hAnsi="Times New Roman"/>
          <w:color w:val="010000"/>
        </w:rPr>
        <w:t xml:space="preserve"> </w:t>
      </w:r>
      <w:r w:rsidRPr="005F1FAE">
        <w:rPr>
          <w:rFonts w:ascii="Times New Roman" w:hAnsi="Times New Roman"/>
          <w:color w:val="010000"/>
        </w:rPr>
        <w:t>kanuna dayanmasını, hem de bu eylem ve işlemlerin</w:t>
      </w:r>
      <w:r w:rsidR="005F1FAE" w:rsidRPr="005F1FAE">
        <w:rPr>
          <w:rFonts w:ascii="Times New Roman" w:hAnsi="Times New Roman"/>
          <w:color w:val="010000"/>
        </w:rPr>
        <w:t xml:space="preserve"> </w:t>
      </w:r>
      <w:r w:rsidRPr="005F1FAE">
        <w:rPr>
          <w:rFonts w:ascii="Times New Roman" w:hAnsi="Times New Roman"/>
          <w:color w:val="010000"/>
        </w:rPr>
        <w:t>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hal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da 8. maddede “yürütme yetkisi ve görevi Anayasa ve</w:t>
      </w:r>
      <w:r w:rsidR="005F1FAE" w:rsidRPr="005F1FAE">
        <w:rPr>
          <w:rFonts w:ascii="Times New Roman" w:hAnsi="Times New Roman"/>
          <w:color w:val="010000"/>
        </w:rPr>
        <w:t xml:space="preserve"> </w:t>
      </w:r>
      <w:r w:rsidRPr="005F1FAE">
        <w:rPr>
          <w:rFonts w:ascii="Times New Roman" w:hAnsi="Times New Roman"/>
          <w:color w:val="010000"/>
        </w:rPr>
        <w:t>kanunlara uygun olarak</w:t>
      </w:r>
      <w:r w:rsidR="005F1FAE" w:rsidRPr="005F1FAE">
        <w:rPr>
          <w:rFonts w:ascii="Times New Roman" w:hAnsi="Times New Roman"/>
          <w:color w:val="010000"/>
        </w:rPr>
        <w:t xml:space="preserve"> </w:t>
      </w:r>
      <w:r w:rsidRPr="005F1FAE">
        <w:rPr>
          <w:rFonts w:ascii="Times New Roman" w:hAnsi="Times New Roman"/>
          <w:color w:val="010000"/>
        </w:rPr>
        <w:t>kullanılır ve yerine getirilir” diyerek bu hususu belirtir (Bkz., Kemal Gözler, İdare Hukuku,</w:t>
      </w:r>
      <w:r w:rsidR="005F1FAE" w:rsidRPr="005F1FAE">
        <w:rPr>
          <w:rFonts w:ascii="Times New Roman" w:hAnsi="Times New Roman"/>
          <w:color w:val="010000"/>
        </w:rPr>
        <w:t xml:space="preserve"> </w:t>
      </w:r>
      <w:r w:rsidRPr="005F1FAE">
        <w:rPr>
          <w:rFonts w:ascii="Times New Roman" w:hAnsi="Times New Roman"/>
          <w:color w:val="010000"/>
        </w:rPr>
        <w:t>Bursa, Ekin Kitabevi Yayınları http://www.idare.gen.tr/idarehuk.htm).</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6771 sayılı Kanunla getirilen Cumhurbaşkanlığı kararnamesiyle, her ne kadar ciddi kısıtlılıklarla çerçevelenmiş olsa da, yürütme organı yasaya dayanmaksızın ilk elden kural koyma, yani asli düzenleme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CBK ile düzenlenen bir alanda yasa çıkarabilir, buna bir engel bulunmamaktadır. “Türkiye Büyük Millet Meclisinin aynı konuda kanun çıkarması durumunda, Cumhurbaşkanlığı kararnamesi hükümsüz hale gelir.” (madde 104/17) hükmü bu yargıyı doğrulamaktadır. O halde Anayasa’da yasayla düzenlenmesi öngörülen konularda Cumhurbaşkanlığı kararnamesi çıkarılamayacak iken, ancak Cumhurbaşkanlığı kararnamesi ile düzenleneceği belirtilen konularda dahi TBMM yasa çıkarabilecektir.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6771 sayılı Kanun ile Anayasa’nın 7. maddesindeki yasama yetkisinin devri yasağı ve 123. maddedeki idarenin kanuniliği ilkesi muhafaza edilmiş, ancak belirli idari konular Anayasa’da açıkça Cumhurbaşkanlığı kararnamesi ile düzenleneceği öngörülmüştür. “Bakanlıkların kurulması, kaldırılması, görevleri ve yetkileri, teşkilat yapısı ile merkez ve taşra teşkilatlarının kurulması Cumhurbaşkanlığı kararnamesiyle </w:t>
      </w:r>
      <w:r w:rsidRPr="005F1FAE">
        <w:rPr>
          <w:rFonts w:ascii="Times New Roman" w:hAnsi="Times New Roman"/>
          <w:color w:val="010000"/>
        </w:rPr>
        <w:lastRenderedPageBreak/>
        <w:t xml:space="preserve">düzenlenir.” (madde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Anayasa’nın 123. maddesinin son fıkrasında “kanun veya cumhurbaşkanlığı kararnameleri” dendiğine göre, kanunilik ilkesi öncelik taşımaktadır.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Öte yandan kamu hukukunda mevzuatın açıkça belirttiği bir makama ya da makamın görevlisine verdikleri yetkiler devre konu olamazlar. Yargı kararlarında da yetkinin, mevzuat tarafından kime verilmiş ise, ancak onun bu yetkiyi kullanabileceğini belirtmiştir. Yetki devrinde yetki devredilen makamın devraldığı bu yetkiyi kendinden alt bir makama devrinin yasak olduğu hususu idare hukukunda ve kamu yönetiminde benimsenen görüştür (Bkz. R. Cengiz Derdiman, Yusuf Uysal Türk Kamu Yönetiminde Yetki Devri, </w:t>
      </w:r>
      <w:hyperlink r:id="rId8" w:history="1">
        <w:r w:rsidRPr="005F1FAE">
          <w:rPr>
            <w:rFonts w:ascii="Times New Roman" w:hAnsi="Times New Roman"/>
            <w:color w:val="010000"/>
          </w:rPr>
          <w:t>http://dergipark.gov.tr/download/article-file/235994</w:t>
        </w:r>
      </w:hyperlink>
      <w:r w:rsidRPr="005F1FAE">
        <w:rPr>
          <w:rFonts w:ascii="Times New Roman" w:hAnsi="Times New Roman"/>
          <w:color w:val="010000"/>
        </w:rPr>
        <w:t>). Bu anlamda Anayasanın 106. maddenin son fıkrasında belirtilen yetkinin bizzat Cumhurbaşkanlığı tarafından Cumhurbaşkanlığı Kararnamesi ile kullanılması gerekir.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Anayasanın 104. maddesinin 17. fıkrasındaki Cumhurbaşkanlığı kararnameleri normlar hiyerarşisinde yasaya eşdeğer işlemler değildir. Anayasanın bu tür kararnamelerin salt “yürütme yetkisine ilişkin konular”la sınırlı olarak çıkarılacağı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CBK ile düzenleneceği belirtilen konuların yasayla düzenlenmesi halinde bir anayasaya aykırılık oluşturmayacağı ve hatta yasa ile yapılan düzenlemenin CBK’deki düzenlemeyi yürürlükte kaldırma gücüne sahip olduğu anlaşılır.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lastRenderedPageBreak/>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6771 sayılı Yasa değişikliği ile Cumhurbaşkanına Anayasada tanınan diğer yetkiler ise şöyledir: Anayasanın 123. maddenin son fıkrası ise “Kamu tüzelkişiliği, ancak kanunla veya Cumhurbaşkanlığı kararnamesiyle kurulur” denilerek CBK ile kamu tüzelkişiliği kurulmasına da imkân tanır.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 Devlet Denetleme Kurulunu işleyişi, üyelerinin görev süresi ve diğer özlük işleri (m.108/4.) ile Milli Güvenlik Kurulu Genel Sekreterliği’nin teşkilatı ve görevlerinin Cumhurbaşkanlığı kararnamesiyle düzenleneceğini hüküm altına almıştır(m.118/7.).</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124. ve 137. maddelerde yer alan tüzük ibaresi Anayasadan tamamen çıkarılmış, onun yerine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Böylece hukuk düzeninde tüzük denen işlem türünün varlığı sona ermiştir. Ancak bu, tüzük ve cumhurbaşkanlığı kararnamesinin aynı hukuki nitelikte olduğu şeklinde anlaşılmamalıdır.</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Cumhurbaşkanlığı kararnamesi ile yapılabileceği yukarıda belirtilen istisnai işlemler kaynağını doğrudan Anayasadan alan yürütme işlemi niteliğinde kabul edilmelidir.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Öte yandan Cumhurbaşkanı “üst kademe kamu yöneticilerini atar, görevlerine son verir ve bunların atanmalarına ilişkin usul ve esasları Cumhurbaşkanlığı kararnamesiyle düzenler” (madde 104/9).</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Son olarak belirtmek gerekir ki olağanüstü hallerde Cumhurbaşkanı, “olağanüstü halin gerekli kıldığı konularda, 104 üncü maddenin onyedinci fıkrasının ikinci cümlesinde belirtilen sınırlamalara tabi olmaksızın Cumhurbaşkanlığı kararnamesi çıkarabilir. Kanun hükmündeki bu kararnameler Resmî Gazetede yayımlanır, aynı gün Meclis onayına sunulur.” (madde 119/6). Bu kararnameler kanuna eşdeğer metinler olarak kabul edilmiştir. Ancak bu kararnameler Anayasa Mahkemesi denetimi dışında tutulmuştur. </w:t>
      </w:r>
    </w:p>
    <w:p w:rsidR="00FE625A" w:rsidRPr="005F1FAE" w:rsidRDefault="00FE625A" w:rsidP="005F1FAE">
      <w:pPr>
        <w:numPr>
          <w:ilvl w:val="0"/>
          <w:numId w:val="5"/>
        </w:numPr>
        <w:tabs>
          <w:tab w:val="clear" w:pos="927"/>
        </w:tabs>
        <w:spacing w:after="200"/>
        <w:ind w:left="283" w:right="283" w:firstLine="709"/>
        <w:jc w:val="both"/>
        <w:rPr>
          <w:rFonts w:ascii="Times New Roman" w:hAnsi="Times New Roman"/>
          <w:color w:val="010000"/>
        </w:rPr>
      </w:pPr>
      <w:r w:rsidRPr="005F1FAE">
        <w:rPr>
          <w:rFonts w:ascii="Times New Roman" w:hAnsi="Times New Roman"/>
          <w:color w:val="010000"/>
        </w:rPr>
        <w:t>Cumhurbaşkanlığı kararnamesi çıkarılmasının sınırları</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Anayasanın 104/17. maddesiyle getirilen CBK ile yürütmeye tanınan düzenleme alanı oldukça dar ve sınırlıdır. Bu sınırları şu şekilde açıklamak mümkündür.</w:t>
      </w:r>
    </w:p>
    <w:p w:rsidR="005F1FAE" w:rsidRPr="005F1FAE" w:rsidRDefault="005F1FAE"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 )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CBK’ler ancak yürütme yetkisinin gerektirdiği hususlarda ihtiyaç duyulduğunda çıkarılabilecek, yasama ve yargı </w:t>
      </w:r>
      <w:r w:rsidRPr="005F1FAE">
        <w:rPr>
          <w:rFonts w:ascii="Times New Roman" w:hAnsi="Times New Roman"/>
          <w:color w:val="010000"/>
        </w:rPr>
        <w:lastRenderedPageBreak/>
        <w:t>yetkilerinden herhangi birinin alanına giren bir konuda ise CBK çıkarılması mümkün olmayacaktır.</w:t>
      </w:r>
    </w:p>
    <w:p w:rsidR="005F1FAE" w:rsidRPr="005F1FAE" w:rsidRDefault="005F1FAE"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 ) İkinci olarak CBK’ler “Anayasanın ikinci kısmının birinci ve ikinci bölümlerinde yer alan temel haklar, kişi hakları ve ödevleriyle dördüncü bölümde yer alan siyasi haklar ve ödevler”le ilgili konularda düzenleme yapamaz. Bu yasakla, kişilerin temel haklarını ilgilendiren hususlarda yasa olmaksızın CBK’lerin devreye girmesi engellenmek istenmiştir.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CBK ile düzenlenmesi mümkün değildir.</w:t>
      </w:r>
      <w:r w:rsidR="005F1FAE" w:rsidRPr="005F1FAE">
        <w:rPr>
          <w:rFonts w:ascii="Times New Roman" w:hAnsi="Times New Roman"/>
          <w:color w:val="010000"/>
        </w:rPr>
        <w:t xml:space="preserve"> </w:t>
      </w:r>
      <w:r w:rsidRPr="005F1FAE">
        <w:rPr>
          <w:rFonts w:ascii="Times New Roman" w:hAnsi="Times New Roman"/>
          <w:color w:val="010000"/>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Bir başka açıdan ise 104/17. maddenin ikinci cümlesi, sosyal ve ekonomik haklar alanının CBK ile düzenlenmesini kabul ederken, bu düzenlemenin sınırlarını da belirtir: ilki, fıkranın ilk cümlesindeki CBK’nin sadece yürütme yetkisine ilişkin konularda çıkarılabilmesi, diğeri ise üçüncü cümlesindeki münhasıran kanunla düzenlenmesi öngörülen konularda çıkarılmasıdır. Öte yandan Anayasanın 13. maddesindeki temel hak ve hürriyetlerin ancak kanunla sınırlanabileceği kuralı dikkate alındığında, CBK’ye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yapabilecek, fakat kişilerin bundan yararlanmasını sınırlamayacak denilebilir. Zira anayasal çerçevede, bir hakkın kısıtlanması ancak ve ancak kanun ile yapılabilecektir. </w:t>
      </w:r>
    </w:p>
    <w:p w:rsidR="005F1FAE" w:rsidRPr="005F1FAE" w:rsidRDefault="005F1FAE"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 ) Üçüncü sınır, “Anayasada münhasıran kanunla düzenlenmesi öngörülen konularda Cumhurbaşkanlığı kararnamesi çıkarılamaz.” hükmüdür. Anayasa Mahkemesi tarafından yasama yetkisinin devir yasağı çerçevesinde yürütmenin düzenleme yetkisi izah edilirken kullanılan “münhasıran” kanunla düzenlenmesi gereken konular ibaresi Anayasa kuralı haline getirilmiştir (Anayasa Mahkemesi Kararı Bkz., E.2017/143 K.2018/40, 2/5/2018). Anayasa Mahkemesi’ne göre “Kural olarak, kanun koyucunun </w:t>
      </w:r>
      <w:r w:rsidRPr="005F1FAE">
        <w:rPr>
          <w:rFonts w:ascii="Times New Roman" w:hAnsi="Times New Roman"/>
          <w:color w:val="010000"/>
        </w:rPr>
        <w:lastRenderedPageBreak/>
        <w:t xml:space="preserve">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Bu nedenle Anayasa’nın münhasıran kanunla düzenlenmesini gerektirdiği konularda yürütmeye düzenleme yetkisi verilirken, yasanın “temel esasları, ilkeleri ve çerçeveyi belirlemiş olması gerekmektedir”. Anayasa Mahkemesi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Anayasa Mahkemesi’nin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w:t>
      </w:r>
      <w:r w:rsidRPr="005F1FAE">
        <w:rPr>
          <w:rFonts w:ascii="Times New Roman" w:hAnsi="Times New Roman"/>
          <w:color w:val="010000"/>
        </w:rPr>
        <w:lastRenderedPageBreak/>
        <w:t>öngörülmüşse o konunun Cumhurbaşkanlığı kararnamesi ile düzenlenmesi Anayasa’nın 7. ve 104/17. maddelerine aykırılık oluşturacaktır.</w:t>
      </w:r>
      <w:r w:rsidR="005F1FAE" w:rsidRPr="005F1FAE">
        <w:rPr>
          <w:rFonts w:ascii="Times New Roman" w:hAnsi="Times New Roman"/>
          <w:color w:val="010000"/>
        </w:rPr>
        <w:t xml:space="preserve"> </w:t>
      </w:r>
    </w:p>
    <w:p w:rsidR="005F1FAE" w:rsidRPr="005F1FAE" w:rsidRDefault="005F1FAE" w:rsidP="005F1FAE">
      <w:pPr>
        <w:spacing w:after="200"/>
        <w:ind w:left="283" w:right="283" w:firstLine="709"/>
        <w:jc w:val="both"/>
        <w:rPr>
          <w:rFonts w:ascii="Times New Roman" w:hAnsi="Times New Roman"/>
          <w:color w:val="010000"/>
        </w:rPr>
      </w:pPr>
      <w:r w:rsidRPr="005F1FAE">
        <w:rPr>
          <w:rFonts w:ascii="Times New Roman" w:hAnsi="Times New Roman"/>
          <w:color w:val="010000"/>
        </w:rPr>
        <w:t>4. ) Bir diğer sınır ise “Kanunda açıkça düzenlenen konularda Cumhurbaşkanlığı kararnamesi çıkarılamaz” kuralıdır. Bir konu yasa ile açıkça düzenlenmişse Cumhurbaşkanlığı kararnamesi çıkartılamaz. Elbette CBK’lerin çıkarılması için kanun hükmünde kararnamelerde olduğu gibi yasa ile yetkilendirme gerekmez. Ancak kanun hükmünde kararnamelerle yasaları değiştirebilirken CBK’ler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onyedinci fıkrasının mevcut hükümleri karşısında hangi konuda olursa olsun CBK ile bir yasayı değiştirmek veya yürürlükten kaldırmak mümkün değildir.</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2. CBK’lerle ilgili Olarak Anayasa Mahkemesi Denetiminin Kapsamı</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Anayasa’nın 148. maddesi bu konuda gayet açıktır: “Anayasa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Bu maddede yapılan değişiklikle Anayasa’nın 2017 öncesi halinde 91. maddede düzenlenen ve 6771 sayılı Kanun ile kaldırılan kanun hükmünde kararname ifadesi yerine Cumhurbaşkanlığı kararnamesi ibaresi konulmuştur. Ayrıca olağanüstü kanun hükmünde kararnamelerde olduğu gibi olağanüstü hallerde ve savaş hallerinde çıkarılan CBK’lerin de anayasallık denetiminin yapılamayacağı ifade edilmiştir.</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150. maddede ise Cumhurbaşkanlığı kararnamelerinin iptali için dava açma hakkının kimlere tanındığı belirtilir: Cumhurbaşkanlığı kararnamelerinin, “Anayasaya aykırılığı iddiasıyla Anayasa Mahkemesinde doğrudan doğruya iptal davası açabilme hakkı, Cumhurbaşkanına, Türkiye Büyük Millet Meclisinde en fazla üyeye sahip iki siyasi parti grubuna ve üye tamsayısının en az beşte biri tutarındaki üyelere aittir.” Anayasa, ayrıca, itiraz dava yolunda, yani Anayasaya aykırılığın diğer mahkemelerde ileri sürülmesinde, “Bir davaya bakmakta olan mahkeme, uygulanacak bir … </w:t>
      </w:r>
      <w:r w:rsidRPr="005F1FAE">
        <w:rPr>
          <w:rFonts w:ascii="Times New Roman" w:hAnsi="Times New Roman"/>
          <w:color w:val="010000"/>
        </w:rPr>
        <w:lastRenderedPageBreak/>
        <w:t xml:space="preserve">Cumhurbaşkanlığı kararnamesinin hükümlerini Anayasaya aykırı görürse veya taraflardan birinin ileri sürdüğü aykırılık iddiasının ciddi olduğu kanısına varırsa, Anayasa Mahkemesi’nin bu konuda vereceği karara kadar davayı geri bırakır.” demektedir (madde 152). Cumhurbaşkanlığı kararnameleri bir davaya uygulanacak kural olduğunda söz konusu CBK hükmü somut norm denetimi yoluyla Anayasa Mahkemesi önüne götürülebilecektir.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153. maddede ise Cumhurbaşkanlığı kararnamesi hakkında verilen iptal kararının, kararın Resmî Gazete’de yayımlanması ile hukuki sonucunu doğuracağı ifade edilmiş, Anayasa Mahkemesi’ne iptal hükmünün yürürlüğe gireceği tarihi ayrıca kararlaştırabilme imkanı da tanınmıştır.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Anayasa Mahkemesi bu denetimi nasıl ve hangi çerçevede yapmalıdır? Yargısal denetimde Anayasa Mahkemesi öncelikle bir CBK’nin Anayasa’da CBK ile düzenlenmesi öngörülen hususlarda düzenleme içerip içermediği yani yetki yönünden denetleyecektir. Dolayısıyla CBK yetki kapsamı dışında bir konuyu düzenlemişse doğrudan yetkisizlik dolayısıyla iptal edilmelidir. CBK’nin yetki kapsamı içinde olduğu sonucuna varırsa Anayasa Mahkemesi bu kez düzenlemenin esas bakımından Anayasa’nın ilgili maddelerine uygunluğunu inceleyecektir. Her ne kadar Anayasa’nın 148. maddesinde CBK’lerin şekil ve esas bakımlarından Anayasa’ya uygunluk denetiminden söz edilmişse de bu denetim 104. maddenin 17. fıkrasındaki koşulların bir bütün olarak Anayasa Mahkemesi tarafından denetlenmesini gerektirir. Çünkü Anayasa’da, Cumhurbaşkanına ancak fıkrada belirtilen sınırlar içinde CBK çıkarma yetkisi verilmiştir. Bu sınırların aşılması, CBK’yi Anayasa’ya aykırı hale getirir. Böylece, CBK’nin örneğin kanunun açıkça düzenlediği bir hususu içermesi onun Anayasa’ya aykırı olması sonucunu doğurur.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Bu açıdan CBK’lerin denetimi yasaların denetiminden farklıdır. Yasaların esas denetiminde sadece yasanın maddi bakımdan anayasaya uygunluğu inceleme konusu olurken, CBK’lerin önce yetki yönünden incelenerek, Anayasa’nın 104/17. maddedeki sınırlara uyulup uyulmadığı denetlemelidir. Bu çerçevede CBK’nın bir temel hakkı düzenleyip düzenlemediği, Anayasa’da yasa kaydı olan ya da bir kanun tarafından düzenlenmiş bulunan bir konuda düzenlemeye yer verilip verilmediği öncelikle ele alınmalıdır.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Ayrıca sosyal ve ekonomik haklar konusunda CBK’lerin hak üzerindeki somut etkisi inceleme dikkate alınmalıdır. Bu yönden bir CBK hak ve hürriyetleri sınırlayıcı nitelikte ise, konu yasama yetkisinin alanına kayacak ve CBK Anayasaya aykırı hale gelebilecektir. Bu nedenle sosyal ve ekonomik haklara ilişkin olarak CBK’lerde yer alan her bir hükmün somut etkileri dikkate alınarak bir değerlendirme yapılmalıdır. Bu çerçevede hangi kuralın hak ve hürriyetleri kısıtlayıcı, hangi kuralın sadece düzenleyici nitelikte olduğunun tespiti oldukça zor olacaktır.</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Bütün bu belirtilen nedenlerle AYM’nin CBK’leri denetimi ve bu konuda vereceği ilk kararı özel önem taşımaktadır. AYM, CBK’leri Anayasaya uygunluk değerlendirmesine tabi tutarken, yasa ve CBK farkını da belirlemek/vurgulamak durumundadır. Nitekim yasa, kural koymak için seçilen organ tarafından genel iradeyi temsilen hazırlanan hukuki işlem iken buna karşılık, Cumhurbaşkanlığı, genel iradenin temsilcisi organın koyduğu normu uygulamak için yürütmeyi temsil eden organdır. Cumhurbaşkanı’nın düzenleyici işlem yapması, ancak anayasanın açıkça yetkilendirmesi sonucu söz konusu olacağından istisnaidir; dahası, CBK, yasal düzenleme yapılması </w:t>
      </w:r>
      <w:r w:rsidRPr="005F1FAE">
        <w:rPr>
          <w:rFonts w:ascii="Times New Roman" w:hAnsi="Times New Roman"/>
          <w:color w:val="010000"/>
        </w:rPr>
        <w:lastRenderedPageBreak/>
        <w:t xml:space="preserve">durumunda yürürlükten kalkacağına göre, -bu kayıtla- “geçici” bir işlem olarak da adlandırılabilir. Bir başka deyişle, TBMM’nin müdahalesine kapalı bir CBK bulunmadığına göre, istisnai özellik ve geçicilik, birlikte kullanılabilir.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Anayasanın 148.</w:t>
      </w:r>
      <w:r w:rsidR="005F1FAE" w:rsidRPr="005F1FAE">
        <w:rPr>
          <w:rFonts w:ascii="Times New Roman" w:hAnsi="Times New Roman"/>
          <w:color w:val="010000"/>
        </w:rPr>
        <w:t xml:space="preserve"> </w:t>
      </w:r>
      <w:r w:rsidRPr="005F1FAE">
        <w:rPr>
          <w:rFonts w:ascii="Times New Roman" w:hAnsi="Times New Roman"/>
          <w:color w:val="010000"/>
        </w:rPr>
        <w:t xml:space="preserve">maddesi uyarınca olağanüstü halin gerekli kıldığı konularda çıkarılabilecek Cumhurbaşkanlığı kararnamelerinin Anayasa Mahkemesi’nin denetimi dışında tutulduğu görülmektedir “Ancak, olağanüstü hallerde ve savaş hallerinde çıkarılan Cumhurbaşkanlığı kararnamelerinin şekil ve esas bakımından Anayasaya aykırılığı iddiasıyla, Anayasa Mahkemesinde dava açılamaz” (md. 148/1).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 12 SAYILI CBK’NIN TÜMÜNÜN ANAYASA AYKIRILIĞI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Milli Saraylar, Osmanlı İmparatorluğu döneminde devlet başkanı olan padişahlar tarafından kullanılan ve saltanat ve hilafetin kaldırılması ve Osmanlı Hanedanının ülke dışına çıkarılması ile birlikte mülkiyeti millete geçen saraylardır.</w:t>
      </w:r>
      <w:r w:rsidR="005F1FAE" w:rsidRPr="005F1FAE">
        <w:rPr>
          <w:rFonts w:ascii="Times New Roman" w:hAnsi="Times New Roman"/>
          <w:color w:val="010000"/>
        </w:rPr>
        <w:t xml:space="preserve"> </w:t>
      </w:r>
      <w:r w:rsidRPr="005F1FAE">
        <w:rPr>
          <w:rFonts w:ascii="Times New Roman" w:hAnsi="Times New Roman"/>
          <w:color w:val="010000"/>
        </w:rPr>
        <w:t xml:space="preserve">3/3/1924 tarihli ve 431 sayılı Kanun’un 8 ila 10. maddelerine göre Osmanlı İmparatorluğunda padişahlık etmiş kimselerin Türkiye Cumhuriyeti sınırları içinde tapuya kayıtlı taşınmazları, mülga padişahlık sarayları, kasırları ve emakini sairesi dahilindeki mefruşat, takımlar, tablolar, asarı nefise ve sair bilumum emvali menkule, ve emlaki Hakaniye namı altında olup evvelce Millete devredilen emlak ile beraber mülga Padişahlığa ait bilcümle emlak ve sabık Hazinei Humayun, muhteviyatlariyle birlikte saray ve kasırlar ve mebani ve arazi Millete intikal etmiştir. Bu çerçevede millete intikal eden taşınmazlar arasında şunlar bulunmaktadır.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I. Alay - Köşkü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 İbrahim Paşa Sarayı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 Babıâli - İstanbul Valiliği ve Defterdarlık Binası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4. Bahariye Yalısı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5. Beylerbeyi Sarayı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6. Beykoz Kasrı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7. Çırağan Sarayı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8. Davutpaşa Kasrı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9. Dolmabahçe Sarayı - İstanbul</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10. Edirne Sarayları - II. Murat’tan kalma Eski saray ,Fatih’ten kalma Yeni Saray</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11. Eski Saray - İstanbul (Üniversite alanı)</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12. Fatih Külliyesi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13. Fer’iye Sarayları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14. Galatasaray - İstanbul - Galatasaray Lisesi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15. Küçüksu Kasrı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16. Serasker Kapısı - İstanbul (Üniversite kapısı)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lastRenderedPageBreak/>
        <w:t xml:space="preserve">17. Süleymaniye Külliyesi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18. Topkapı Sarayı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19. Yıldız Sarayı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20. Abdurrahman Paşa Köşkü ve Korusu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21. Adile Sultan Sarayı - İstanbul ( Edebiyat Fakültesi)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22. Adile Sultan Sarayı – İstanbul (Kandilli Kız Lisesi)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23. İzmit Av Köşkü- İzmit Hükümet Konağı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24. Ayazağa Kasrı - Sarıyer Süvari Okulu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25. Aynalıkavak Kasrı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26. Balmumcu Kasrı - İstanbul (Yapı Usta Okulu)</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27. Balmumcu Köşkü - İstanbul (Jandarma Okulu)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28. Balta Limanı Kasrı – İstanbul (Sarıyer Kemik Verem Hastanesi)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29. Fıstıklı Köşkü - İlkokul - Beşiktaş - İstanbul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30. Hatice ve Fehime Sultanların Köşkleri, - İstanbul - Beşiktaş - İlkokul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31. Ihlamur Köşkü ve Çağlayan Kasrı - Köşkler yıkılmış - arazı askeriyede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32. Kalender Köşkü - İstanbul - Kalender'de köşk yanmıştır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33. Maslak Kasrı - İstanbul – (Askerî prevantoryum)</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34. Tophane Kasrı - İstanbul - -Tophane - Malul Gaziler Cemiyeti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35. Zekiye Sultan Kasrı - İstanbul - Yanan Güzel Sanatlar Akademisi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Bu şekilde mülkiyeti millete geçen taşınmazlardan bir kısmı müze yapılmış ya da başka kamu hizmetlerine tahsis edilmiş, bir kısmı da kurulan Milli Saraylar Müdürlüğü yönetimine verilmiştir. Milli Saraylar Müdürlüğü 1925-1933 yılları arasında Maliye Bakanlığına bağlı olarak hizmet vermiş, bu tarihte ise Türkiye Büyük Millet Meclisine bağlanmıştır. 1933 malî yılı Bütçe Kanunu ile Millî Saraylar Müdürlüğü TBMM Bütçesine eklenmiş ve böylece yönetimi de TBMM Başkanlık Divanına geçmiştir.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Daha sonra Cumhuriyet döneminde yapılan Yalova Köşkleri de Milli saraylara devredilmiştir. Şu anda Milli Saraylar bünyesinde iki saray (Beylerbeyi ve Dolmabahçe Sarayları),</w:t>
      </w:r>
      <w:r w:rsidR="005F1FAE" w:rsidRPr="005F1FAE">
        <w:rPr>
          <w:rFonts w:ascii="Times New Roman" w:hAnsi="Times New Roman"/>
          <w:color w:val="010000"/>
        </w:rPr>
        <w:t xml:space="preserve"> </w:t>
      </w:r>
      <w:r w:rsidRPr="005F1FAE">
        <w:rPr>
          <w:rFonts w:ascii="Times New Roman" w:hAnsi="Times New Roman"/>
          <w:color w:val="010000"/>
        </w:rPr>
        <w:t xml:space="preserve">üç köşk (Yalova Atatürk Köşkleri, Florya Atatürk Deniz Köşkü), beş kasır (Yıldız Sarayı-Şale, Aynalıkavak, Beykoz, Ihlamur, Küçüksu ve Maslak kasırları), üç müze ve iki fabrika (Yıldız Çini Fabrikası ve Hereke Halı ve İpekli Dokuma Fabrikası) bulunmaktadır.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Tarih boyunca pek çok kez TBMM bünyesinden alınmak istenen milli saraylar günümüze kadar TBMM bünyesinde kalmaya devam etmiştir. TBMM çatısı altında olması bu tarihi ve kültürel ulusal hazineleri, siyasi iktidarların istismarından korumuştur. Diğer taraftan bu değerlerin TBMM bünyesi altında olmasının çok önemli sembolik bir </w:t>
      </w:r>
      <w:r w:rsidRPr="005F1FAE">
        <w:rPr>
          <w:rFonts w:ascii="Times New Roman" w:hAnsi="Times New Roman"/>
          <w:color w:val="010000"/>
        </w:rPr>
        <w:lastRenderedPageBreak/>
        <w:t>değeri de bulunmaktadır. Saltanatın kaldırılarak Padişahlık saraylarının mülkiyetinin millete geçirilmesi aynı zamanda Cumhuriyetin temeli olan ulusal egemenlik ilkesini de temsil etmektedir. Bu değerlerin korunması görevini ulus adına, ulusal egemenliğin somutlaşma mekânı olan TBMM’nin üstlenmesi, devletin Cumhuriyet olma niteliğine vurgu yapmakta ve onu sembolize etmektedir.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Milli Sarayların TBMM bünyesinden alınarak Cumhurbaşkanlığına bağlanması, bu sembolik değerin yok sayılması anlamına gelmekte ve devletin Cumhuriyet olma niteliğine aykırılık oluşturmaktadır.</w:t>
      </w:r>
      <w:r w:rsidR="005F1FAE" w:rsidRPr="005F1FAE">
        <w:rPr>
          <w:rFonts w:ascii="Times New Roman" w:hAnsi="Times New Roman"/>
          <w:color w:val="010000"/>
        </w:rPr>
        <w:t xml:space="preserve"> </w:t>
      </w:r>
      <w:r w:rsidRPr="005F1FAE">
        <w:rPr>
          <w:rFonts w:ascii="Times New Roman" w:hAnsi="Times New Roman"/>
          <w:color w:val="010000"/>
        </w:rPr>
        <w:t xml:space="preserve">Doğrudan halk tarafından seçilmiş olsa da Cumhurbaşkanı sonuçta toplumun bir kısmının oyunu temsil etmektedir. TBMM ise tüm ulusu temsil etme niteliğine haizdir. Bu nedenle ulusa ait olan ve onun egemenliğinin sembolü olan milli sarayların yönetiminin TBMM’de olması, Cumhuriyetin anlamına ve amacına daha uygundur. Bu nedenle de Cumhuriyet tarihi boyunca TBMM’nin işlevi ile çok uyumlu olmasa da milli sarayların korunması ve yönetimi yetkisi TBMM’de olmaya devam etmiştir ve hiçbir siyasi iktidar bunu değiştirmeye teşebbüs etmemiştir.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703 Sayılı KHK’nın 49. maddesinin (b), (d), (e), (ğ), (ı) ve (i) fıkraları ile 6253 Sayılı Türkiye Büyük Millet Meclisi Başkanlığı İdari Teşkilatı Kanun’da yapılan değişikliklerle Milli Saraylar Türkiye Büyük Millet Meclisine bağlı olmaktan çıkarılmış ve Türkiye Büyük Millet Meclisi idari teşkilatında yer alan buna ilişkin birimler kapatılmış ve kaldırılmıştır. Ancak bu değişiklikler hem yetki kanununun kapsamında olmaması dolayısıyla hem de esastan Anayasa’ya aykırıdır ve buna yönelik olarak Partimize mensup milletvekillerince Anayasa Mahkemesi’nde iptal davası açılmıştır.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Dolayısıyla söz konusu kuralların Anayasa Mahkemesi’nce iptal edilmesi gerekmektedir. Türkiye Büyük Millet Meclisinin idaresinden çıkarma işlemi Anayasaya aykırı olduğu gibi bu şekilde Milli Sarayların, milli mücadeleyi yürüten ve Cumhuriyeti kuran, ulusal egemenliğin gerçekleşme mekânı olan TBMM’nin manevi varlığından ayrıldığı da söylenemez.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Anayasanın 104. maddesine göre Cumhurbaşkanı, yürütme yetkisine ilişkin konularda Cumhurbaşkanlığı kararnamesi çıkarabilir.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Milli Sarayların TBMM idaresinde bulunması saltanattan Cumhuriyete geçişi ve ulusal egemenliği temsil etmektedir. Bu sembolik anlamı dolayısıyla Milli Sarayların yönetiminin yürütme yetkisine ilişkin bir konu olmadığı açıktır.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Diğer taraftan milli sarayların idaresinin düzenlenmesi Anayasada cumhurbaşkanlığı kararnamesi ile yapılabileceği belirtilen ve yukarıda incelenen diğer konulardan hiç birine de girmemektedir. Bu konu ne bakanlıkların kurulması ile ilgilidir ne de bir kamu tüzel kişiliği kurulması ile ilgilidir.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Bu nedenle milli sarayların idaresinin düzenlenmesi, cumhurbaşkanlığı kararnamesi ile düzenlenebilecek konulardan olmadığından 16/7/2018 tarihli Resmi Gazetede yayımlanan 12 sayılı Milli Saraylar İdaresi Başkanlığı Hakkında Cumhurbaşkanlığı Kararnamesinin tümü Anayasanın 104. maddesine aykırıdır, iptali gerekir.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C. 12 SAYILI CBK’NIN BAZI MADDELERİNİN ANAYASA AYKIRILIĞI </w:t>
      </w:r>
    </w:p>
    <w:p w:rsidR="00FE625A" w:rsidRPr="005F1FAE" w:rsidRDefault="00FE625A" w:rsidP="005F1FAE">
      <w:pPr>
        <w:pStyle w:val="ListeParagraf"/>
        <w:spacing w:after="200"/>
        <w:ind w:left="283" w:right="283" w:firstLine="709"/>
        <w:jc w:val="both"/>
        <w:rPr>
          <w:rFonts w:ascii="Times New Roman" w:hAnsi="Times New Roman"/>
          <w:color w:val="010000"/>
        </w:rPr>
      </w:pPr>
      <w:r w:rsidRPr="005F1FAE">
        <w:rPr>
          <w:rFonts w:ascii="Times New Roman" w:hAnsi="Times New Roman"/>
          <w:color w:val="010000"/>
        </w:rPr>
        <w:t>1. 12 sayılı CBK’nın 2. maddesinde yer alan “Cumhurbaşkanına bağlı olarak” ibaresinin,</w:t>
      </w:r>
      <w:r w:rsidR="005F1FAE" w:rsidRPr="005F1FAE">
        <w:rPr>
          <w:rFonts w:ascii="Times New Roman" w:hAnsi="Times New Roman"/>
          <w:color w:val="010000"/>
        </w:rPr>
        <w:t xml:space="preserve"> </w:t>
      </w:r>
      <w:r w:rsidRPr="005F1FAE">
        <w:rPr>
          <w:rFonts w:ascii="Times New Roman" w:hAnsi="Times New Roman"/>
          <w:color w:val="010000"/>
        </w:rPr>
        <w:t xml:space="preserve">4. maddesinin birinci fıkrasının (a) bendinde yer alan “Cumhurbaşkanlığının </w:t>
      </w:r>
      <w:r w:rsidRPr="005F1FAE">
        <w:rPr>
          <w:rFonts w:ascii="Times New Roman" w:hAnsi="Times New Roman"/>
          <w:color w:val="010000"/>
        </w:rPr>
        <w:lastRenderedPageBreak/>
        <w:t>yönetiminde bulunan” ibaresi ile (ç) fıkrasında yer alan “Cumhurbaşkanlığı bünyesindeki” ibaresinin,</w:t>
      </w:r>
      <w:r w:rsidR="005F1FAE" w:rsidRPr="005F1FAE">
        <w:rPr>
          <w:rFonts w:ascii="Times New Roman" w:hAnsi="Times New Roman"/>
          <w:color w:val="010000"/>
        </w:rPr>
        <w:t xml:space="preserve"> </w:t>
      </w:r>
      <w:r w:rsidRPr="005F1FAE">
        <w:rPr>
          <w:rFonts w:ascii="Times New Roman" w:hAnsi="Times New Roman"/>
          <w:color w:val="010000"/>
        </w:rPr>
        <w:t>5. maddesinin birinci fıkrasının (a) bendinde yer alan “Cumhurbaşkanına”, (b) bendinde yer alan “Cumhurbaşkanı” ve (d) bendinde yer alan “veya Cumhurbaşkanınca”</w:t>
      </w:r>
      <w:r w:rsidR="005F1FAE" w:rsidRPr="005F1FAE">
        <w:rPr>
          <w:rFonts w:ascii="Times New Roman" w:hAnsi="Times New Roman"/>
          <w:color w:val="010000"/>
        </w:rPr>
        <w:t xml:space="preserve"> </w:t>
      </w:r>
      <w:r w:rsidRPr="005F1FAE">
        <w:rPr>
          <w:rFonts w:ascii="Times New Roman" w:hAnsi="Times New Roman"/>
          <w:color w:val="010000"/>
        </w:rPr>
        <w:t>ibarelerinin,</w:t>
      </w:r>
      <w:r w:rsidR="005F1FAE" w:rsidRPr="005F1FAE">
        <w:rPr>
          <w:rFonts w:ascii="Times New Roman" w:hAnsi="Times New Roman"/>
          <w:color w:val="010000"/>
        </w:rPr>
        <w:t xml:space="preserve"> </w:t>
      </w:r>
      <w:r w:rsidRPr="005F1FAE">
        <w:rPr>
          <w:rFonts w:ascii="Times New Roman" w:hAnsi="Times New Roman"/>
          <w:color w:val="010000"/>
        </w:rPr>
        <w:t xml:space="preserve">14. maddesinde yer alan “Cumhurbaşkanı tarafından” ibaresinin, 17. maddesinin birinci fıkrasının son cümlesi ile ikinci fıkrasında yer alan “Cumhurbaşkanlığına bağlı” ibaresinin Anayasaya aykırılığına ilişkin ortak gerekçe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İptali istenen kuralların tamamı Milli Sarayların ve Milli Saraylar İdaresi Başkanlığının Cumhurbaşkanlığına bağlanmasına ilişkin olup, söz konusu kurallar Milli Sarayların yönetimini Cumhurbaşkanlığına bağlamaktadır. 12 sayılı CBK’nın 2. maddesi, Milli Sarayların</w:t>
      </w:r>
      <w:r w:rsidR="005F1FAE" w:rsidRPr="005F1FAE">
        <w:rPr>
          <w:rFonts w:ascii="Times New Roman" w:hAnsi="Times New Roman"/>
          <w:color w:val="010000"/>
        </w:rPr>
        <w:t xml:space="preserve"> </w:t>
      </w:r>
      <w:r w:rsidRPr="005F1FAE">
        <w:rPr>
          <w:rFonts w:ascii="Times New Roman" w:hAnsi="Times New Roman"/>
          <w:color w:val="010000"/>
        </w:rPr>
        <w:t>(saray,</w:t>
      </w:r>
      <w:r w:rsidR="005F1FAE" w:rsidRPr="005F1FAE">
        <w:rPr>
          <w:rFonts w:ascii="Times New Roman" w:hAnsi="Times New Roman"/>
          <w:color w:val="010000"/>
        </w:rPr>
        <w:t xml:space="preserve"> </w:t>
      </w:r>
      <w:r w:rsidRPr="005F1FAE">
        <w:rPr>
          <w:rFonts w:ascii="Times New Roman" w:hAnsi="Times New Roman"/>
          <w:color w:val="010000"/>
        </w:rPr>
        <w:t>müze, köşk, kasır ve fabrikalar</w:t>
      </w:r>
      <w:r w:rsidR="005F1FAE" w:rsidRPr="005F1FAE">
        <w:rPr>
          <w:rFonts w:ascii="Times New Roman" w:hAnsi="Times New Roman"/>
          <w:color w:val="010000"/>
        </w:rPr>
        <w:t xml:space="preserve"> </w:t>
      </w:r>
      <w:r w:rsidRPr="005F1FAE">
        <w:rPr>
          <w:rFonts w:ascii="Times New Roman" w:hAnsi="Times New Roman"/>
          <w:color w:val="010000"/>
        </w:rPr>
        <w:t>ile bunlara bağlı taşınır ve taşınmaz kültür varlıkları)</w:t>
      </w:r>
      <w:r w:rsidR="005F1FAE" w:rsidRPr="005F1FAE">
        <w:rPr>
          <w:rFonts w:ascii="Times New Roman" w:hAnsi="Times New Roman"/>
          <w:color w:val="010000"/>
        </w:rPr>
        <w:t xml:space="preserve"> </w:t>
      </w:r>
      <w:r w:rsidRPr="005F1FAE">
        <w:rPr>
          <w:rFonts w:ascii="Times New Roman" w:hAnsi="Times New Roman"/>
          <w:color w:val="010000"/>
        </w:rPr>
        <w:t>yönetimi ve tanıtımı için Cumhurbaşkanlığına bağlı olarak genel bütçeye tabi Milli Saraylar İdaresi Başkanlığı kurulduğu hükmünü içermektedir. 12 sayılı CBK’nın 4. maddesinde Başkanlığın görevleri sayılmakta ve Cumhurbaşkanlığının yönetiminde bulunan saray, köşk, kasır, müzeler ve tarihi fabrikaların bakımı ve muhafazasına ilişkin yetkilerden söz edilmektedir.</w:t>
      </w:r>
      <w:r w:rsidR="005F1FAE" w:rsidRPr="005F1FAE">
        <w:rPr>
          <w:rFonts w:ascii="Times New Roman" w:hAnsi="Times New Roman"/>
          <w:color w:val="010000"/>
        </w:rPr>
        <w:t xml:space="preserve"> </w:t>
      </w:r>
      <w:r w:rsidRPr="005F1FAE">
        <w:rPr>
          <w:rFonts w:ascii="Times New Roman" w:hAnsi="Times New Roman"/>
          <w:color w:val="010000"/>
        </w:rPr>
        <w:t xml:space="preserve">Aynı şekilde Cumhurbaşkanlığı bünyesindeki müzelerin tanıtılması ve ziyarete açılmasına ilişkin kurallara yer verilmiştir.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12 sayılı CBK’nın 5. maddesinde Başkanın, Cumhurbaşkanına karşı sorumlu olduğu, Cumhurbaşkanı tarafından belirlenen amaç, politika ve stratejilere uygun olarak Başkanlığı yöneteceği ve Cumhurbaşkanınca verilen diğer görevleri yapacağı kurallarına yer verilmiştir. 12 sayılı CBK’nın 10. maddesinde Personel Dairesi Başkanlığının görevleri arasında personelle ilgili gerekli işlemlerin ve birimlerin muhasebe işlemlerinin Cumhurbaşkanlığınca belirlenen çerçevede yürütüleceği kuralı yer almaktadır. 14. maddede yöneticilerin Cumhurbaşkanı tarafından verilecek emir ve direktiflere uyma yükümlülüğüne yer verilmiştir. 17. maddenin birinci fıkrasında Başkanlıkta istihdam edilen sözleşmeli personele ilişkin sözleşme usul ve esasları ile ücret ve her türlü ödemelerin Cumhurbaşkanınca tespit edileceği ve ikinci fıkrasında da Cumhurbaşkanlığına bağılı saraylardan elde edilecek gelirlerin nasıl kullanılacağı düzenlenmiştir. Dolayısıyla iptali istenen kuralların tamamı Milli Sarayların ve Milli Saraylar İdaresi Başkanlığının Cumhurbaşkanlığına bağlanmasına ilişkindir. Bu nedenle iptali istenen kuralların tamamı aynı gerekçeyle Anayasaya aykırıdır.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Yukarıda açıklandığı gibi Milli Saraylar, Osmanlı İmparatorluğu döneminde devlet başkanı olan Padişahlar tarafından kullanılan ve saltanat ve hilafetin kaldırılması ve Osmanlı Hanedanının ülke dışına çıkarılması ile birlikte mülkiyeti millete geçen saraylardır. 3/3/1924 tarihli ve 431 sayılı Kanun’un 8 ila 10. maddelerine göre Osmanlı İmparatorluğunda Padişahlık etmiş kimselerin Türkiye Cumhuriyeti sınırları içinde tapuya kayıtlı taşınmazları, mülga Padişahlık sarayları, kasırları ve emakini sairesi dahilindeki mefruşat, takımlar, tablolar, asarı nefise ve sair bilumum emvali menkule, ve emlaki Hakaniye namı altında olup evvelce Millete devredilen emlak ile beraber mülga Padişahlığa ait bilcümle emlak ve sabık Hazinei Humayun, muhteviyatlariyle birlikte saray ve kasırlar ve mebani ve arazi Millete intikal etmiştir.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Bu şekilde mülkiyeti millete geçen taşınmazlardan bir kısmı müze yapılmış ya da başka kamu hizmetlerine tahsis edilmiş, bir kısmı da kurulan Milli Saraylar Müdürlüğü yönetimine verilmiştir. Milli Saraylar Müdürlüğü 1925-1933 yılları arasında Maliye Bakanlığına bağlı olarak hizmet vermiş, bu tarihte ise Türkiye Büyük Millet Meclisine bağlanmıştır. 1933 malî yılı Bütçe Kanunu ile Millî Saraylar Müdürlüğü TBMM Bütçesine eklenmiş ve böylece yönetimi de TBMM Başkanlık Divanına geçmiştir.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lastRenderedPageBreak/>
        <w:t>Daha sonra Cumhuriyet döneminde yapılan Yalova Köşkleri de Milli saraylara devredilmiştir. Şu anda Milli Saraylar bünyesinde iki saray (Beylerbeyi ve Dolmabahçe Sarayları),</w:t>
      </w:r>
      <w:r w:rsidR="005F1FAE" w:rsidRPr="005F1FAE">
        <w:rPr>
          <w:rFonts w:ascii="Times New Roman" w:hAnsi="Times New Roman"/>
          <w:color w:val="010000"/>
        </w:rPr>
        <w:t xml:space="preserve"> </w:t>
      </w:r>
      <w:r w:rsidRPr="005F1FAE">
        <w:rPr>
          <w:rFonts w:ascii="Times New Roman" w:hAnsi="Times New Roman"/>
          <w:color w:val="010000"/>
        </w:rPr>
        <w:t xml:space="preserve">üç köşk (Yalova Atatürk Köşkleri, Florya Atatürk Deniz Köşkü), beş kasır (Yıldız Sarayı-Şale, Aynalıkavak, Beykoz, Ihlamur, Küçüksu ve Maslak kasırları), üç müze ve iki fabrika (Yıldız Çini Fabrikası ve Hereke Halı ve İpekli Dokuma Fabrikası) bulunmaktadır.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Tarih boyunca pek çok kez TBMM bünyesinden alınmak istenen milli saraylar günümüze kadar TBMM bünyesinde kalmaya devam etmiştir. TBMM çatısı altında olması bu tarihi ve kültürel ulusal hazineleri, siyasi iktidarların istismarından korumuştur. Diğer taraftan bu değerlerin TBMM bünyesi altında olmasının çok önemli sembolik bir değeri de bulunmaktadır. Saltanatın kaldırılarak Padişahlık saraylarının mülkiyetinin millete geçirilmesi aynı zamanda Cumhuriyetin temeli olan ulusal egemenlik ilkesini de temsil etmektedir. Bu değerlerin korunması görevini ulus adına, ulusal egemenliğin somutlaşma mekânı olan TBMM’nin üstlenmesi, devletin Cumhuriyet olma niteliğine vurgu yapmakta ve onu sembolize etmektedir.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Milli Sarayların TBMM bünyesinden alınarak Cumhurbaşkanlığı’na bağlanması, bu sembolik değerin yok sayılması anlamına gelmekte ve devletin Cumhuriyet olma niteliğine aykırılık oluşturmaktadır.</w:t>
      </w:r>
      <w:r w:rsidR="005F1FAE" w:rsidRPr="005F1FAE">
        <w:rPr>
          <w:rFonts w:ascii="Times New Roman" w:hAnsi="Times New Roman"/>
          <w:color w:val="010000"/>
        </w:rPr>
        <w:t xml:space="preserve"> </w:t>
      </w:r>
      <w:r w:rsidRPr="005F1FAE">
        <w:rPr>
          <w:rFonts w:ascii="Times New Roman" w:hAnsi="Times New Roman"/>
          <w:color w:val="010000"/>
        </w:rPr>
        <w:t xml:space="preserve">Doğrudan halk tarafından seçilmiş olsa da Cumhurbaşkanı sonuçta toplumun bir kısmının oyunu temsil etmektedir. TBMM ise tüm ulusu temsil etme niteliğine haizdir. Bu nedenle ulusa ait olan ve onun egemenliğinin sembolü olan milli sarayların yönetiminin TBMM’de olması Cumhuriyetin anlamına ve amacına daha uygundur. Bu nedenle de Cumhuriyet tarihi boyunca TBMM’nin işlevi ile çok uyumlu olmasa da milli sarayların korunması ve yönetimi yetkisi TBMM’de olmaya devam etmiştir ve hiçbir siyasi iktidar bunu değiştirmeye teşebbüs etmemiştir.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703 Sayılı KHK’nin 49. maddesinin (b), (d), (e), (ğ), (ı) ve (i) fıkraları ile 6253 Sayılı Türkiye Büyük Millet Meclisi Başkanlığı İdari Teşkilatı Kanun’da yapılan değişikliklerle Milli Saraylar Türkiye Büyük Millet Meclisine bağlı olmaktan çıkarılmış ve Türkiye Büyük Millet Meclisi idari teşkilatında yer alan buna ilişkin birimler kapatılmış ve kaldırılmıştır. Ancak bu değişiklikler hem yetki kanununun kapsamında olmaması dolayısıyla hem de esastan Anayasa’ya aykırıdır ve buna yönelik olarak Partimize mensup milletvekillerince Anayasa Mahkemesinde iptal davası açılmıştır. Söz konusu kuralların Anayasa mahkemesince iptal edilmesi gerekmektedir.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Türkiye Büyük Millet Meclisinin idaresinden çıkarma işlemi Anayasaya aykırı olduğu gibi bu şekilde milli sarayların, milli mücadeleyi yürüten ve Cumhuriyeti kuran, ulusal egemenliğin gerçekleşme mekânı olan TBMM’nin manevi varlığından ayrıldığı da söylenemez. Bu nedenle Milli Sarayların ve Milli Saraylar İdaresi Başkanlığının Cumhurbaşkanlığına bağlılığını düzenleyen konusu hükümler Anayasanın 1. ve 6. maddelerine aykırıdır ve iptal edilmeleri gerekir.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Ayrıca Milli saraylar, Anayasa’nın 63. maddesi kapsamında “tarihi ve kültürel varlıklar”dır. Bu tarihi ve kültürel varlıkların korunması, TBMM ile bütünleşmiş olup, yasal düzenleme kaydına bağlanmıştır. Bu nedenle, bu yetkinin Cumhurbaşkanlığı kararnamesiyle TBMM’den alınarak -Padişah gibi- sorumsuz olan CB’ye devri, madde 63’e de aykırılık teşkil etmektedir. Milli sarayların TBMM’den alınarak CB’na devri hususunu Cumhuriyet’in kurucu ilke ve değerleri, milli egemenlik ve tarihsel bellek açısından da değerlendirmek gerekmektedir. Bir asır boyunca oluşan geleneğin hiçbir zorlayıcı neden olmaması bir yana herhangi bir gerekçe de gösterilmeden, sorumsuz tek </w:t>
      </w:r>
      <w:r w:rsidRPr="005F1FAE">
        <w:rPr>
          <w:rFonts w:ascii="Times New Roman" w:hAnsi="Times New Roman"/>
          <w:color w:val="010000"/>
        </w:rPr>
        <w:lastRenderedPageBreak/>
        <w:t>kişi uhdesine verilmesi, Cumhuriyet’in nitelikleri ile de bağdaşmaz; çünkü, milli saraylar, madde 63 anlamında, Türkiye Cumhuriyeti yurttaşlarının</w:t>
      </w:r>
      <w:r w:rsidR="005F1FAE" w:rsidRPr="005F1FAE">
        <w:rPr>
          <w:rFonts w:ascii="Times New Roman" w:hAnsi="Times New Roman"/>
          <w:color w:val="010000"/>
        </w:rPr>
        <w:t xml:space="preserve"> </w:t>
      </w:r>
      <w:r w:rsidRPr="005F1FAE">
        <w:rPr>
          <w:rFonts w:ascii="Times New Roman" w:hAnsi="Times New Roman"/>
          <w:color w:val="010000"/>
        </w:rPr>
        <w:t xml:space="preserve">“ortak tarihsel ve kültürel miras hakkı” olarak nitelenebilir. Bu sebeple iptali talep eden düzenleme Anayasa’nın 63. maddesine de aykırılık teşkil eder.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Yukarıda yer alan gerekçelerle iptali talep edilen hükümler Anayasanın 1, 6 ve 63. Maddelerine aykırıdır, iptalleri gerekir. </w:t>
      </w:r>
    </w:p>
    <w:p w:rsidR="00FE625A" w:rsidRPr="005F1FAE" w:rsidRDefault="00FE625A" w:rsidP="005F1FAE">
      <w:pPr>
        <w:numPr>
          <w:ilvl w:val="0"/>
          <w:numId w:val="5"/>
        </w:numPr>
        <w:tabs>
          <w:tab w:val="clear" w:pos="927"/>
        </w:tabs>
        <w:spacing w:after="200"/>
        <w:ind w:left="283" w:right="283" w:firstLine="709"/>
        <w:jc w:val="both"/>
        <w:rPr>
          <w:rFonts w:ascii="Times New Roman" w:hAnsi="Times New Roman"/>
          <w:color w:val="010000"/>
        </w:rPr>
      </w:pPr>
      <w:r w:rsidRPr="005F1FAE">
        <w:rPr>
          <w:rFonts w:ascii="Times New Roman" w:hAnsi="Times New Roman"/>
          <w:color w:val="010000"/>
        </w:rPr>
        <w:t>12 sayılı CBK’nın 17. maddesinin birinci fıkrasının son cümlesinin Anayasaya aykırılığına ilişkin ek gerekçe</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12 sayılı CBK’nın 17. maddesinin birinci fıkrasında Başkanlık personelinin statüsü düzenlenmiştir. Bu çerçevede personelin 657 sayılı Kanuna tabi olduğu ve Başkanlığın 375 sayılı KHK’nin ek 26 ve ek 31. maddesine göre de personel istihdam edilebileceği ve aynı KHK’nin ek 25. maddesine göre kurumlar arası geçici görevlendirme yapabileceği kuralına yer verilmiştir. İptali istenen kuralda ise bu şekilde çalıştırılacakların sözleşme usul ve esasları ile ücret miktarı ve her çeşit ödemelerin Cumhurbaşkanınca tespit edileceği hükmü yer almaktadır.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375 sayılı KHK’nin “Unvan itibarıyla ilk kez ihdas edilen kadro ve pozisyonlara karşılık belirlenmesi” başlıklı ek 30. maddesinde ise “Cumhurbaşkanlığı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Bu hükümler ışığında Cumhurbaşkanlığı kararnameleri ile ihdas edilen kadrolarda istihdam edilecek olan kamu görevlilerine verilecek olan mali hakların ya kanunla ya da kanunun belirlediği usul çerçevesinde belirlenmesi gerekmekte olup bunun dışında cumhurbaşkanlığı kararnameleri ile bu konularda belirleme yapılması mümkün değildir. Belirtilen nedenlerle itiraz konusu düzenleme Anayasa’nın 128. maddesine aykırıdır.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Anayasa’nın 104. maddesinin on yedinci fıkrasında “…Anayasada münhasıran kanunla düzenlenmesi öngörülen konularda Cumhurbaşkanlığı kararnamesi çıkarılamaz. …” hükmüne yer verilmiştir.</w:t>
      </w:r>
    </w:p>
    <w:p w:rsidR="00692B74"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12 sayılı CBK’nın 17. maddesinin birinci fıkrasının son cümlesiyle kamu görevlisi olduğunda kuşku olmayan Başkanlık çalışanlarının sözleşme koşulları, ücretleri ve diğer mali haklarına ilişkin olarak yapılmış bulunan düzenleme Anayasa’nın 104. maddesine aykırıdır.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Anayasa’nın 8. maddesinde “Yürütme yetkisi ve görevi, Cumhurbaşkanı tarafından, Anayasaya ve kanunlara uygun olarak kullanılır ve yerine getirilir” hükmüne yer verilmiştir.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lastRenderedPageBreak/>
        <w:t xml:space="preserve">12 Sayılı CBK’nın 17. maddesinin birinci fıkrasının son cümlesinde yer alan düzenlemelerde yürütme görevi ve yetkisi Anayasaya ve kanunlara uygun olarak kullanılmamıştır. Yukarıda açıklandığı üzere kamu görevlilerinin aylık ve mali haklarına ilişkin konularda ne Anayasa’da ne de Kanunlarda Cumhurbaşkanı’nın, herhangi bir kural ile bağlı olmaksızın doğrudan belirleme ve düzenleme yapma yetkisi bulunmamaktadır. Oysa itiraz konusu kural ile Cumhurbaşkanı tarafından kamu görevlilerinin mali haklarına ilişkin konularda düzenleme yapılmıştır. Bu nedenle kural Anayasa’nın 8. maddesine aykırıdır.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Açıklanan nedenlerle 12 sayılı CBK’nın 17. maddesinin birinci fıkrasının son cümlesi Anayasanın 8., 104/17. ve 128. maddelerine de aykırıdır, iptali gerekir. </w:t>
      </w:r>
    </w:p>
    <w:p w:rsidR="00FE625A" w:rsidRPr="005F1FAE" w:rsidRDefault="00FE625A" w:rsidP="005F1FAE">
      <w:pPr>
        <w:numPr>
          <w:ilvl w:val="0"/>
          <w:numId w:val="1"/>
        </w:numPr>
        <w:tabs>
          <w:tab w:val="clear" w:pos="1440"/>
        </w:tabs>
        <w:spacing w:after="200"/>
        <w:ind w:left="283" w:right="283" w:firstLine="709"/>
        <w:jc w:val="both"/>
        <w:rPr>
          <w:rFonts w:ascii="Times New Roman" w:hAnsi="Times New Roman"/>
          <w:color w:val="010000"/>
        </w:rPr>
      </w:pPr>
      <w:r w:rsidRPr="005F1FAE">
        <w:rPr>
          <w:rFonts w:ascii="Times New Roman" w:hAnsi="Times New Roman"/>
          <w:color w:val="010000"/>
        </w:rPr>
        <w:t>YÜRÜRLÜĞÜ DURDURMA İSTEMİNİN GEREKÇESİ</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Cumhurbaşkanlığı Kararnameleri hukukumuza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asli bir yasama yetkisi tanınmıştır. Anayasa’da önemli sınırlamalar getirilerek tanınmış olan bu yetkinin kötüye kullanılmaması ve yasama yetkisinin devri niteliği taşımaması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güçlü yürütmenin keyfi yönetimine dönüştürecektir.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Göreve başlamasının hemen ardından Cumhurbaşkanınca oldukça kapsamlı pek çok CBK çıkarıldığı görülmektedir. Bu CBK’ların pek çoğunda da anayasal yetki sınırlarının aşıldığı, Anayasanın CBK ile düzenlenmesini yasakladığı alanlarda düzenlemeler yapıldığı görülmektedir. Bu nedenle Anayasa Mahkemesince ivedilikle CBK’ların hukuki çerçevesinin tespit edilerek yetki dışı düzenlemelerin iptal edilmesi ve hukuk sisteminden ayıklanması hayati önem taşımaktadır.</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Anayasanın tanıdığı yetki çerçevesinin dışında yapılan işlemler ultra vires geçersizlikle maluldür. Geçersiz düzenlemelere dayanarak işlemler tesis edilmesi birey haklarına telafisi imkânsız zararlar verecektir. Bu nedenle bu düzenlemelerin bir an önce yürürlüklerinin durdurulması hayati önem taşımaktadır. İptali istenen kurallarla pek çok kişinin statüsünde de değişiklikler öngörülmektedir. Bu kuralların uygulanmasıyla geri dönüşü olmayan hak kayıplarının ortaya çıkması kaçınılmazdır.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FE625A" w:rsidRPr="005F1FAE" w:rsidRDefault="00FE625A" w:rsidP="005F1FAE">
      <w:pPr>
        <w:pStyle w:val="NormalWeb"/>
        <w:spacing w:before="0" w:beforeAutospacing="0" w:after="200" w:afterAutospacing="0"/>
        <w:ind w:left="283" w:right="283" w:firstLine="709"/>
        <w:jc w:val="both"/>
        <w:rPr>
          <w:color w:val="010000"/>
          <w:sz w:val="24"/>
          <w:szCs w:val="24"/>
        </w:rPr>
      </w:pPr>
      <w:r w:rsidRPr="005F1FAE">
        <w:rPr>
          <w:color w:val="010000"/>
          <w:sz w:val="24"/>
          <w:szCs w:val="24"/>
        </w:rPr>
        <w:lastRenderedPageBreak/>
        <w:t>Bu zarar ve durumların doğmasını önlemek amacıyla, Anayasaya açıkça aykırı olan söz konusu maddelerin iptal davası sonuçlanıncaya kadar yürürlüklerinin de durdurulması istenerek Anayasa Mahkemesine dava açılmıştır.</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IV. SONUÇ VE İSTEM</w:t>
      </w:r>
      <w:r w:rsidR="005F1FAE" w:rsidRPr="005F1FAE">
        <w:rPr>
          <w:rFonts w:ascii="Times New Roman" w:hAnsi="Times New Roman"/>
          <w:color w:val="010000"/>
        </w:rPr>
        <w:t xml:space="preserve"> </w:t>
      </w:r>
    </w:p>
    <w:p w:rsidR="00FE625A"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16.07.2018 tarihli ve 12 sayılı “Milli Saraylar İdaresi Başkanlığı Hakkında Cumhurbaşkanlığı Kararnamesi”nin;</w:t>
      </w:r>
    </w:p>
    <w:p w:rsidR="00FE625A" w:rsidRPr="005F1FAE" w:rsidRDefault="00FE625A" w:rsidP="005F1FAE">
      <w:pPr>
        <w:numPr>
          <w:ilvl w:val="0"/>
          <w:numId w:val="7"/>
        </w:numPr>
        <w:tabs>
          <w:tab w:val="clear" w:pos="927"/>
        </w:tabs>
        <w:spacing w:after="200"/>
        <w:ind w:left="283" w:right="283" w:firstLine="709"/>
        <w:jc w:val="both"/>
        <w:rPr>
          <w:rFonts w:ascii="Times New Roman" w:hAnsi="Times New Roman"/>
          <w:color w:val="010000"/>
        </w:rPr>
      </w:pPr>
      <w:r w:rsidRPr="005F1FAE">
        <w:rPr>
          <w:rFonts w:ascii="Times New Roman" w:hAnsi="Times New Roman"/>
          <w:color w:val="010000"/>
        </w:rPr>
        <w:t>Tümünün, Anayasanın 104/17. maddesine,</w:t>
      </w:r>
    </w:p>
    <w:p w:rsidR="00692B74" w:rsidRPr="005F1FAE" w:rsidRDefault="00FE625A" w:rsidP="005F1FAE">
      <w:pPr>
        <w:numPr>
          <w:ilvl w:val="0"/>
          <w:numId w:val="7"/>
        </w:numPr>
        <w:tabs>
          <w:tab w:val="clear" w:pos="927"/>
        </w:tabs>
        <w:spacing w:after="200"/>
        <w:ind w:left="283" w:right="283" w:firstLine="709"/>
        <w:jc w:val="both"/>
        <w:rPr>
          <w:rFonts w:ascii="Times New Roman" w:hAnsi="Times New Roman"/>
          <w:color w:val="010000"/>
        </w:rPr>
      </w:pPr>
      <w:r w:rsidRPr="005F1FAE">
        <w:rPr>
          <w:rFonts w:ascii="Times New Roman" w:hAnsi="Times New Roman"/>
          <w:color w:val="010000"/>
        </w:rPr>
        <w:t>Aşağıdaki maddelerinin;</w:t>
      </w:r>
    </w:p>
    <w:p w:rsidR="00FE625A" w:rsidRPr="005F1FAE" w:rsidRDefault="00FE625A" w:rsidP="005F1FAE">
      <w:pPr>
        <w:pStyle w:val="ListeParagraf"/>
        <w:spacing w:after="200"/>
        <w:ind w:left="283" w:right="283" w:firstLine="709"/>
        <w:jc w:val="both"/>
        <w:rPr>
          <w:rFonts w:ascii="Times New Roman" w:hAnsi="Times New Roman"/>
          <w:color w:val="010000"/>
        </w:rPr>
      </w:pPr>
      <w:r w:rsidRPr="005F1FAE">
        <w:rPr>
          <w:rFonts w:ascii="Times New Roman" w:hAnsi="Times New Roman"/>
          <w:color w:val="010000"/>
        </w:rPr>
        <w:t>1.)</w:t>
      </w:r>
      <w:r w:rsidR="005F1FAE" w:rsidRPr="005F1FAE">
        <w:rPr>
          <w:rFonts w:ascii="Times New Roman" w:hAnsi="Times New Roman"/>
          <w:color w:val="010000"/>
        </w:rPr>
        <w:t xml:space="preserve"> </w:t>
      </w:r>
      <w:r w:rsidRPr="005F1FAE">
        <w:rPr>
          <w:rFonts w:ascii="Times New Roman" w:hAnsi="Times New Roman"/>
          <w:color w:val="010000"/>
        </w:rPr>
        <w:t>2. maddesinde yer alan “Cumhurbaşkanına bağlı olarak” ibaresinin, Anayasa’nın 1., 6. ve 63.</w:t>
      </w:r>
      <w:r w:rsidR="005F1FAE" w:rsidRPr="005F1FAE">
        <w:rPr>
          <w:rFonts w:ascii="Times New Roman" w:hAnsi="Times New Roman"/>
          <w:color w:val="010000"/>
        </w:rPr>
        <w:t xml:space="preserve"> </w:t>
      </w:r>
      <w:r w:rsidRPr="005F1FAE">
        <w:rPr>
          <w:rFonts w:ascii="Times New Roman" w:hAnsi="Times New Roman"/>
          <w:color w:val="010000"/>
        </w:rPr>
        <w:t>maddelerine,</w:t>
      </w:r>
    </w:p>
    <w:p w:rsidR="00FE625A" w:rsidRPr="005F1FAE" w:rsidRDefault="00FE625A" w:rsidP="005F1FAE">
      <w:pPr>
        <w:pStyle w:val="ListeParagraf"/>
        <w:spacing w:after="200"/>
        <w:ind w:left="283" w:right="283" w:firstLine="709"/>
        <w:jc w:val="both"/>
        <w:rPr>
          <w:rFonts w:ascii="Times New Roman" w:hAnsi="Times New Roman"/>
          <w:color w:val="010000"/>
        </w:rPr>
      </w:pPr>
      <w:r w:rsidRPr="005F1FAE">
        <w:rPr>
          <w:rFonts w:ascii="Times New Roman" w:hAnsi="Times New Roman"/>
          <w:color w:val="010000"/>
        </w:rPr>
        <w:t>2.) 4. maddesinin birinci fıkrasının (a) bendinde yer alan “Cumhurbaşkanlığının yönetiminde bulunan” ibaresi ile (ç) fıkrasında yer alan “Cumhurbaşkanlığı bünyesindeki” ibaresinin, Anayasa’nın 1., 6. ve 63.</w:t>
      </w:r>
      <w:r w:rsidR="005F1FAE" w:rsidRPr="005F1FAE">
        <w:rPr>
          <w:rFonts w:ascii="Times New Roman" w:hAnsi="Times New Roman"/>
          <w:color w:val="010000"/>
        </w:rPr>
        <w:t xml:space="preserve"> </w:t>
      </w:r>
      <w:r w:rsidRPr="005F1FAE">
        <w:rPr>
          <w:rFonts w:ascii="Times New Roman" w:hAnsi="Times New Roman"/>
          <w:color w:val="010000"/>
        </w:rPr>
        <w:t>maddelerine,</w:t>
      </w:r>
    </w:p>
    <w:p w:rsidR="00FE625A" w:rsidRPr="005F1FAE" w:rsidRDefault="00FE625A" w:rsidP="005F1FAE">
      <w:pPr>
        <w:pStyle w:val="ListeParagraf"/>
        <w:spacing w:after="200"/>
        <w:ind w:left="283" w:right="283" w:firstLine="709"/>
        <w:jc w:val="both"/>
        <w:rPr>
          <w:rFonts w:ascii="Times New Roman" w:hAnsi="Times New Roman"/>
          <w:color w:val="010000"/>
        </w:rPr>
      </w:pPr>
      <w:r w:rsidRPr="005F1FAE">
        <w:rPr>
          <w:rFonts w:ascii="Times New Roman" w:hAnsi="Times New Roman"/>
          <w:color w:val="010000"/>
        </w:rPr>
        <w:t>3.) 5. maddesinin birinci fıkrasının (a) bendinde yer alan “Cumhurbaşkanına”, (b) bendinde yer alan “Cumhurbaşkanı” ve (d) bendinde yer alan “veya Cumhurbaşkanınca”</w:t>
      </w:r>
      <w:r w:rsidR="005F1FAE" w:rsidRPr="005F1FAE">
        <w:rPr>
          <w:rFonts w:ascii="Times New Roman" w:hAnsi="Times New Roman"/>
          <w:color w:val="010000"/>
        </w:rPr>
        <w:t xml:space="preserve"> </w:t>
      </w:r>
      <w:r w:rsidRPr="005F1FAE">
        <w:rPr>
          <w:rFonts w:ascii="Times New Roman" w:hAnsi="Times New Roman"/>
          <w:color w:val="010000"/>
        </w:rPr>
        <w:t>ibarelerinin, Anayasa’nın 1., 6. ve 63.</w:t>
      </w:r>
      <w:r w:rsidR="005F1FAE" w:rsidRPr="005F1FAE">
        <w:rPr>
          <w:rFonts w:ascii="Times New Roman" w:hAnsi="Times New Roman"/>
          <w:color w:val="010000"/>
        </w:rPr>
        <w:t xml:space="preserve"> </w:t>
      </w:r>
      <w:r w:rsidRPr="005F1FAE">
        <w:rPr>
          <w:rFonts w:ascii="Times New Roman" w:hAnsi="Times New Roman"/>
          <w:color w:val="010000"/>
        </w:rPr>
        <w:t>maddelerine,</w:t>
      </w:r>
    </w:p>
    <w:p w:rsidR="005F1FAE" w:rsidRPr="005F1FAE" w:rsidRDefault="005F1FAE" w:rsidP="005F1FAE">
      <w:pPr>
        <w:pStyle w:val="ListeParagraf"/>
        <w:spacing w:after="200"/>
        <w:ind w:left="283" w:right="283" w:firstLine="709"/>
        <w:jc w:val="both"/>
        <w:rPr>
          <w:rFonts w:ascii="Times New Roman" w:hAnsi="Times New Roman"/>
          <w:color w:val="010000"/>
        </w:rPr>
      </w:pPr>
      <w:r w:rsidRPr="005F1FAE">
        <w:rPr>
          <w:rFonts w:ascii="Times New Roman" w:hAnsi="Times New Roman"/>
          <w:color w:val="010000"/>
        </w:rPr>
        <w:t>4. ) 14. maddesinde yer alan “Cumhurbaşkanı tarafından” ibaresinin, Anayasa’nın 1., 6. ve 63. maddelerine,</w:t>
      </w:r>
    </w:p>
    <w:p w:rsidR="005F1FAE" w:rsidRPr="005F1FAE" w:rsidRDefault="005F1FAE" w:rsidP="005F1FAE">
      <w:pPr>
        <w:spacing w:after="200"/>
        <w:ind w:left="283" w:right="283" w:firstLine="709"/>
        <w:jc w:val="both"/>
        <w:rPr>
          <w:rFonts w:ascii="Times New Roman" w:hAnsi="Times New Roman"/>
          <w:color w:val="010000"/>
        </w:rPr>
      </w:pPr>
      <w:r w:rsidRPr="005F1FAE">
        <w:rPr>
          <w:rFonts w:ascii="Times New Roman" w:hAnsi="Times New Roman"/>
          <w:color w:val="010000"/>
        </w:rPr>
        <w:t>5. ) 17. maddesinin birinci fıkrasının son cümlesi ile ikinci fıkrasında yer alan “Cumhurbaşkanlığına bağlı” ibaresinin, Anayasanın 1., 6., 8., 63, 104/17. ve 128. maddelerine,</w:t>
      </w:r>
    </w:p>
    <w:p w:rsidR="00993DD9" w:rsidRPr="005F1FAE" w:rsidRDefault="00FE625A" w:rsidP="005F1FAE">
      <w:pPr>
        <w:spacing w:after="200"/>
        <w:ind w:left="283" w:right="283" w:firstLine="709"/>
        <w:jc w:val="both"/>
        <w:rPr>
          <w:rFonts w:ascii="Times New Roman" w:hAnsi="Times New Roman"/>
          <w:color w:val="010000"/>
        </w:rPr>
      </w:pPr>
      <w:r w:rsidRPr="005F1FAE">
        <w:rPr>
          <w:rFonts w:ascii="Times New Roman" w:hAnsi="Times New Roman"/>
          <w:color w:val="010000"/>
        </w:rPr>
        <w:t>aykırı olmaları nedeniyle iptallerine ve dava sonuçlanıncaya kadar yürürlüklerinin durdurulmasına, karar verilmesine ilişkin istemimizi saygı ile arz ederiz.</w:t>
      </w:r>
      <w:r w:rsidR="00C00698" w:rsidRPr="005F1FAE">
        <w:rPr>
          <w:rFonts w:ascii="Times New Roman" w:hAnsi="Times New Roman"/>
          <w:color w:val="010000"/>
        </w:rPr>
        <w:t>”</w:t>
      </w:r>
    </w:p>
    <w:sectPr w:rsidR="00993DD9" w:rsidRPr="005F1FAE" w:rsidSect="008E1203">
      <w:headerReference w:type="default" r:id="rId9"/>
      <w:footerReference w:type="default" r:id="rId10"/>
      <w:headerReference w:type="first" r:id="rId11"/>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D2D" w:rsidRDefault="00D06D2D" w:rsidP="00EA2431">
      <w:r>
        <w:separator/>
      </w:r>
    </w:p>
  </w:endnote>
  <w:endnote w:type="continuationSeparator" w:id="0">
    <w:p w:rsidR="00D06D2D" w:rsidRDefault="00D06D2D" w:rsidP="00EA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New York">
    <w:panose1 w:val="020405030605060203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617223385"/>
      <w:docPartObj>
        <w:docPartGallery w:val="Page Numbers (Bottom of Page)"/>
        <w:docPartUnique/>
      </w:docPartObj>
    </w:sdtPr>
    <w:sdtEndPr/>
    <w:sdtContent>
      <w:p w:rsidR="00AE3FFB" w:rsidRPr="00011171" w:rsidRDefault="00AE3FFB">
        <w:pPr>
          <w:pStyle w:val="AltBilgi"/>
          <w:jc w:val="right"/>
          <w:rPr>
            <w:rFonts w:ascii="Times New Roman" w:hAnsi="Times New Roman"/>
          </w:rPr>
        </w:pPr>
        <w:r w:rsidRPr="00011171">
          <w:rPr>
            <w:rFonts w:ascii="Times New Roman" w:hAnsi="Times New Roman"/>
          </w:rPr>
          <w:fldChar w:fldCharType="begin"/>
        </w:r>
        <w:r w:rsidRPr="00011171">
          <w:rPr>
            <w:rFonts w:ascii="Times New Roman" w:hAnsi="Times New Roman"/>
          </w:rPr>
          <w:instrText>PAGE   \* MERGEFORMAT</w:instrText>
        </w:r>
        <w:r w:rsidRPr="00011171">
          <w:rPr>
            <w:rFonts w:ascii="Times New Roman" w:hAnsi="Times New Roman"/>
          </w:rPr>
          <w:fldChar w:fldCharType="separate"/>
        </w:r>
        <w:r w:rsidR="00692B74">
          <w:rPr>
            <w:rFonts w:ascii="Times New Roman" w:hAnsi="Times New Roman"/>
            <w:noProof/>
          </w:rPr>
          <w:t>1</w:t>
        </w:r>
        <w:r w:rsidRPr="00011171">
          <w:rPr>
            <w:rFonts w:ascii="Times New Roman" w:hAnsi="Times New Roman"/>
          </w:rPr>
          <w:fldChar w:fldCharType="end"/>
        </w:r>
      </w:p>
    </w:sdtContent>
  </w:sdt>
  <w:p w:rsidR="003312FB" w:rsidRPr="00011171" w:rsidRDefault="003312FB">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D2D" w:rsidRDefault="00D06D2D" w:rsidP="00EA2431">
      <w:r>
        <w:separator/>
      </w:r>
    </w:p>
  </w:footnote>
  <w:footnote w:type="continuationSeparator" w:id="0">
    <w:p w:rsidR="00D06D2D" w:rsidRDefault="00D06D2D" w:rsidP="00EA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7E" w:rsidRDefault="00876D4F" w:rsidP="00E31AD5">
    <w:pPr>
      <w:pStyle w:val="stBilgi"/>
      <w:tabs>
        <w:tab w:val="clear" w:pos="4536"/>
        <w:tab w:val="clear" w:pos="9072"/>
        <w:tab w:val="left" w:pos="2507"/>
      </w:tabs>
      <w:rPr>
        <w:rFonts w:ascii="Times New Roman" w:hAnsi="Times New Roman"/>
        <w:sz w:val="22"/>
        <w:szCs w:val="22"/>
      </w:rPr>
    </w:pPr>
    <w:r w:rsidRPr="004B3633">
      <w:rPr>
        <w:rFonts w:ascii="Times New Roman" w:hAnsi="Times New Roman"/>
        <w:sz w:val="22"/>
        <w:szCs w:val="22"/>
      </w:rPr>
      <w:t>Esas Sayısı   : 2018/</w:t>
    </w:r>
    <w:r w:rsidR="008E1203">
      <w:rPr>
        <w:rFonts w:ascii="Times New Roman" w:hAnsi="Times New Roman"/>
        <w:sz w:val="22"/>
        <w:szCs w:val="22"/>
      </w:rPr>
      <w:t>12</w:t>
    </w:r>
    <w:r w:rsidR="00863D58">
      <w:rPr>
        <w:rFonts w:ascii="Times New Roman" w:hAnsi="Times New Roman"/>
        <w:sz w:val="22"/>
        <w:szCs w:val="22"/>
      </w:rPr>
      <w:t>8</w:t>
    </w:r>
  </w:p>
  <w:p w:rsidR="00876D4F" w:rsidRDefault="00876D4F">
    <w:pPr>
      <w:pStyle w:val="stBilgi"/>
    </w:pPr>
    <w:r w:rsidRPr="004B3633">
      <w:rPr>
        <w:rFonts w:ascii="Times New Roman" w:hAnsi="Times New Roman"/>
        <w:sz w:val="22"/>
        <w:szCs w:val="22"/>
      </w:rPr>
      <w:t>Karar Sayısı : 20</w:t>
    </w:r>
    <w:r w:rsidR="0078120A">
      <w:rPr>
        <w:rFonts w:ascii="Times New Roman" w:hAnsi="Times New Roman"/>
        <w:sz w:val="22"/>
        <w:szCs w:val="22"/>
      </w:rPr>
      <w:t>23</w:t>
    </w:r>
    <w:r w:rsidRPr="004B3633">
      <w:rPr>
        <w:rFonts w:ascii="Times New Roman" w:hAnsi="Times New Roman"/>
        <w:sz w:val="22"/>
        <w:szCs w:val="22"/>
      </w:rPr>
      <w:t>/</w:t>
    </w:r>
    <w:r w:rsidR="0078120A">
      <w:rPr>
        <w:rFonts w:ascii="Times New Roman" w:hAnsi="Times New Roman"/>
        <w:sz w:val="22"/>
        <w:szCs w:val="22"/>
      </w:rPr>
      <w:t>159</w:t>
    </w:r>
  </w:p>
  <w:p w:rsidR="00876D4F" w:rsidRDefault="00876D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2FB" w:rsidRPr="004B3633" w:rsidRDefault="003312FB">
    <w:pPr>
      <w:pStyle w:val="stBilgi"/>
      <w:rPr>
        <w:rFonts w:ascii="Times New Roman" w:hAnsi="Times New Roman"/>
        <w:sz w:val="22"/>
        <w:szCs w:val="22"/>
      </w:rPr>
    </w:pPr>
    <w:r w:rsidRPr="004B3633">
      <w:rPr>
        <w:rFonts w:ascii="Times New Roman" w:hAnsi="Times New Roman"/>
        <w:sz w:val="22"/>
        <w:szCs w:val="22"/>
      </w:rPr>
      <w:t>Esas Sayısı   : 2018/</w:t>
    </w:r>
    <w:r w:rsidR="00876D4F">
      <w:rPr>
        <w:rFonts w:ascii="Times New Roman" w:hAnsi="Times New Roman"/>
        <w:sz w:val="22"/>
        <w:szCs w:val="22"/>
      </w:rPr>
      <w:t>112</w:t>
    </w:r>
  </w:p>
  <w:p w:rsidR="003312FB" w:rsidRPr="004B3633" w:rsidRDefault="003312FB">
    <w:pPr>
      <w:pStyle w:val="stBilgi"/>
      <w:rPr>
        <w:rFonts w:ascii="Times New Roman" w:hAnsi="Times New Roman"/>
        <w:sz w:val="22"/>
        <w:szCs w:val="22"/>
      </w:rPr>
    </w:pPr>
    <w:r w:rsidRPr="004B3633">
      <w:rPr>
        <w:rFonts w:ascii="Times New Roman" w:hAnsi="Times New Roman"/>
        <w:sz w:val="22"/>
        <w:szCs w:val="22"/>
      </w:rPr>
      <w:t>Karar Sayısı : 2018/</w:t>
    </w:r>
  </w:p>
  <w:p w:rsidR="003312FB" w:rsidRDefault="003312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004E"/>
    <w:multiLevelType w:val="hybridMultilevel"/>
    <w:tmpl w:val="59B849E6"/>
    <w:lvl w:ilvl="0" w:tplc="61BE40D0">
      <w:start w:val="1"/>
      <w:numFmt w:val="upperLetter"/>
      <w:lvlText w:val="%1."/>
      <w:lvlJc w:val="left"/>
      <w:pPr>
        <w:tabs>
          <w:tab w:val="num" w:pos="927"/>
        </w:tabs>
        <w:ind w:left="927" w:hanging="360"/>
      </w:pPr>
      <w:rPr>
        <w:rFonts w:hint="default"/>
        <w:b w:val="0"/>
      </w:rPr>
    </w:lvl>
    <w:lvl w:ilvl="1" w:tplc="041F0019">
      <w:start w:val="1"/>
      <w:numFmt w:val="lowerLetter"/>
      <w:lvlText w:val="%2."/>
      <w:lvlJc w:val="left"/>
      <w:pPr>
        <w:tabs>
          <w:tab w:val="num" w:pos="1647"/>
        </w:tabs>
        <w:ind w:left="1647" w:hanging="360"/>
      </w:pPr>
    </w:lvl>
    <w:lvl w:ilvl="2" w:tplc="ADEE0CC0">
      <w:start w:val="2"/>
      <w:numFmt w:val="decimal"/>
      <w:lvlText w:val="%3.)"/>
      <w:lvlJc w:val="left"/>
      <w:pPr>
        <w:tabs>
          <w:tab w:val="num" w:pos="2547"/>
        </w:tabs>
        <w:ind w:left="2547" w:hanging="360"/>
      </w:pPr>
      <w:rPr>
        <w:rFonts w:hint="default"/>
      </w:r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 w15:restartNumberingAfterBreak="0">
    <w:nsid w:val="08137D81"/>
    <w:multiLevelType w:val="hybridMultilevel"/>
    <w:tmpl w:val="0C72C452"/>
    <w:styleLink w:val="ImportedStyle3"/>
    <w:lvl w:ilvl="0" w:tplc="321E2DE8">
      <w:start w:val="1"/>
      <w:numFmt w:val="upperRoman"/>
      <w:lvlText w:val="%1."/>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12EFD4">
      <w:start w:val="1"/>
      <w:numFmt w:val="lowerLetter"/>
      <w:lvlText w:val="%2."/>
      <w:lvlJc w:val="left"/>
      <w:pPr>
        <w:tabs>
          <w:tab w:val="left" w:pos="144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F3AC0CC">
      <w:start w:val="1"/>
      <w:numFmt w:val="lowerRoman"/>
      <w:lvlText w:val="%3."/>
      <w:lvlJc w:val="left"/>
      <w:pPr>
        <w:tabs>
          <w:tab w:val="left" w:pos="1440"/>
        </w:tabs>
        <w:ind w:left="25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5CA04C">
      <w:start w:val="1"/>
      <w:numFmt w:val="decimal"/>
      <w:lvlText w:val="%4."/>
      <w:lvlJc w:val="left"/>
      <w:pPr>
        <w:tabs>
          <w:tab w:val="left" w:pos="144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24D0FA">
      <w:start w:val="1"/>
      <w:numFmt w:val="lowerLetter"/>
      <w:lvlText w:val="%5."/>
      <w:lvlJc w:val="left"/>
      <w:pPr>
        <w:tabs>
          <w:tab w:val="left" w:pos="144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BE9D98">
      <w:start w:val="1"/>
      <w:numFmt w:val="lowerRoman"/>
      <w:lvlText w:val="%6."/>
      <w:lvlJc w:val="left"/>
      <w:pPr>
        <w:tabs>
          <w:tab w:val="left" w:pos="1440"/>
        </w:tabs>
        <w:ind w:left="46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00AB0D6">
      <w:start w:val="1"/>
      <w:numFmt w:val="decimal"/>
      <w:lvlText w:val="%7."/>
      <w:lvlJc w:val="left"/>
      <w:pPr>
        <w:tabs>
          <w:tab w:val="left" w:pos="144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63DCA">
      <w:start w:val="1"/>
      <w:numFmt w:val="lowerLetter"/>
      <w:lvlText w:val="%8."/>
      <w:lvlJc w:val="left"/>
      <w:pPr>
        <w:tabs>
          <w:tab w:val="left" w:pos="144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566760">
      <w:start w:val="1"/>
      <w:numFmt w:val="lowerRoman"/>
      <w:lvlText w:val="%9."/>
      <w:lvlJc w:val="left"/>
      <w:pPr>
        <w:tabs>
          <w:tab w:val="left" w:pos="1440"/>
        </w:tabs>
        <w:ind w:left="684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A567B2"/>
    <w:multiLevelType w:val="hybridMultilevel"/>
    <w:tmpl w:val="6FC8DC64"/>
    <w:lvl w:ilvl="0" w:tplc="06CE7DCC">
      <w:start w:val="1"/>
      <w:numFmt w:val="upperLetter"/>
      <w:lvlText w:val="%1."/>
      <w:lvlJc w:val="left"/>
      <w:pPr>
        <w:ind w:left="1692" w:hanging="112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D8E35A8"/>
    <w:multiLevelType w:val="hybridMultilevel"/>
    <w:tmpl w:val="72ACA2D2"/>
    <w:styleLink w:val="ImportedStyle2"/>
    <w:lvl w:ilvl="0" w:tplc="D7FEAFDE">
      <w:start w:val="1"/>
      <w:numFmt w:val="decimal"/>
      <w:lvlText w:val="%1."/>
      <w:lvlJc w:val="left"/>
      <w:pPr>
        <w:tabs>
          <w:tab w:val="num" w:pos="1416"/>
        </w:tabs>
        <w:ind w:left="709"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B82CF16">
      <w:start w:val="1"/>
      <w:numFmt w:val="lowerLetter"/>
      <w:lvlText w:val="%2."/>
      <w:lvlJc w:val="left"/>
      <w:pPr>
        <w:tabs>
          <w:tab w:val="num" w:pos="2136"/>
        </w:tabs>
        <w:ind w:left="1429" w:firstLine="12"/>
      </w:pPr>
      <w:rPr>
        <w:rFonts w:hAnsi="Arial Unicode MS"/>
        <w:b/>
        <w:bCs/>
        <w:caps w:val="0"/>
        <w:smallCaps w:val="0"/>
        <w:strike w:val="0"/>
        <w:dstrike w:val="0"/>
        <w:outline w:val="0"/>
        <w:emboss w:val="0"/>
        <w:imprint w:val="0"/>
        <w:spacing w:val="0"/>
        <w:w w:val="100"/>
        <w:kern w:val="0"/>
        <w:position w:val="0"/>
        <w:highlight w:val="none"/>
        <w:vertAlign w:val="baseline"/>
      </w:rPr>
    </w:lvl>
    <w:lvl w:ilvl="2" w:tplc="0A7C8A66">
      <w:start w:val="1"/>
      <w:numFmt w:val="lowerRoman"/>
      <w:lvlText w:val="%3."/>
      <w:lvlJc w:val="left"/>
      <w:pPr>
        <w:tabs>
          <w:tab w:val="num" w:pos="2856"/>
        </w:tabs>
        <w:ind w:left="2149" w:firstLine="71"/>
      </w:pPr>
      <w:rPr>
        <w:rFonts w:hAnsi="Arial Unicode MS"/>
        <w:b/>
        <w:bCs/>
        <w:caps w:val="0"/>
        <w:smallCaps w:val="0"/>
        <w:strike w:val="0"/>
        <w:dstrike w:val="0"/>
        <w:outline w:val="0"/>
        <w:emboss w:val="0"/>
        <w:imprint w:val="0"/>
        <w:spacing w:val="0"/>
        <w:w w:val="100"/>
        <w:kern w:val="0"/>
        <w:position w:val="0"/>
        <w:highlight w:val="none"/>
        <w:vertAlign w:val="baseline"/>
      </w:rPr>
    </w:lvl>
    <w:lvl w:ilvl="3" w:tplc="F3B29D30">
      <w:start w:val="1"/>
      <w:numFmt w:val="decimal"/>
      <w:lvlText w:val="%4."/>
      <w:lvlJc w:val="left"/>
      <w:pPr>
        <w:tabs>
          <w:tab w:val="num" w:pos="3576"/>
        </w:tabs>
        <w:ind w:left="2869" w:firstLine="36"/>
      </w:pPr>
      <w:rPr>
        <w:rFonts w:hAnsi="Arial Unicode MS"/>
        <w:b/>
        <w:bCs/>
        <w:caps w:val="0"/>
        <w:smallCaps w:val="0"/>
        <w:strike w:val="0"/>
        <w:dstrike w:val="0"/>
        <w:outline w:val="0"/>
        <w:emboss w:val="0"/>
        <w:imprint w:val="0"/>
        <w:spacing w:val="0"/>
        <w:w w:val="100"/>
        <w:kern w:val="0"/>
        <w:position w:val="0"/>
        <w:highlight w:val="none"/>
        <w:vertAlign w:val="baseline"/>
      </w:rPr>
    </w:lvl>
    <w:lvl w:ilvl="4" w:tplc="B3BA5F94">
      <w:start w:val="1"/>
      <w:numFmt w:val="lowerLetter"/>
      <w:lvlText w:val="%5."/>
      <w:lvlJc w:val="left"/>
      <w:pPr>
        <w:tabs>
          <w:tab w:val="num" w:pos="4296"/>
        </w:tabs>
        <w:ind w:left="3589" w:firstLine="48"/>
      </w:pPr>
      <w:rPr>
        <w:rFonts w:hAnsi="Arial Unicode MS"/>
        <w:b/>
        <w:bCs/>
        <w:caps w:val="0"/>
        <w:smallCaps w:val="0"/>
        <w:strike w:val="0"/>
        <w:dstrike w:val="0"/>
        <w:outline w:val="0"/>
        <w:emboss w:val="0"/>
        <w:imprint w:val="0"/>
        <w:spacing w:val="0"/>
        <w:w w:val="100"/>
        <w:kern w:val="0"/>
        <w:position w:val="0"/>
        <w:highlight w:val="none"/>
        <w:vertAlign w:val="baseline"/>
      </w:rPr>
    </w:lvl>
    <w:lvl w:ilvl="5" w:tplc="37448892">
      <w:start w:val="1"/>
      <w:numFmt w:val="lowerRoman"/>
      <w:lvlText w:val="%6."/>
      <w:lvlJc w:val="left"/>
      <w:pPr>
        <w:tabs>
          <w:tab w:val="num" w:pos="5016"/>
        </w:tabs>
        <w:ind w:left="4309" w:firstLine="1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A70CB7C">
      <w:start w:val="1"/>
      <w:numFmt w:val="decimal"/>
      <w:lvlText w:val="%7."/>
      <w:lvlJc w:val="left"/>
      <w:pPr>
        <w:tabs>
          <w:tab w:val="num" w:pos="5736"/>
        </w:tabs>
        <w:ind w:left="5029" w:firstLine="72"/>
      </w:pPr>
      <w:rPr>
        <w:rFonts w:hAnsi="Arial Unicode MS"/>
        <w:b/>
        <w:bCs/>
        <w:caps w:val="0"/>
        <w:smallCaps w:val="0"/>
        <w:strike w:val="0"/>
        <w:dstrike w:val="0"/>
        <w:outline w:val="0"/>
        <w:emboss w:val="0"/>
        <w:imprint w:val="0"/>
        <w:spacing w:val="0"/>
        <w:w w:val="100"/>
        <w:kern w:val="0"/>
        <w:position w:val="0"/>
        <w:highlight w:val="none"/>
        <w:vertAlign w:val="baseline"/>
      </w:rPr>
    </w:lvl>
    <w:lvl w:ilvl="7" w:tplc="D5F0E4FA">
      <w:start w:val="1"/>
      <w:numFmt w:val="lowerLetter"/>
      <w:lvlText w:val="%8."/>
      <w:lvlJc w:val="left"/>
      <w:pPr>
        <w:tabs>
          <w:tab w:val="num" w:pos="6456"/>
        </w:tabs>
        <w:ind w:left="5749" w:firstLine="84"/>
      </w:pPr>
      <w:rPr>
        <w:rFonts w:hAnsi="Arial Unicode MS"/>
        <w:b/>
        <w:bCs/>
        <w:caps w:val="0"/>
        <w:smallCaps w:val="0"/>
        <w:strike w:val="0"/>
        <w:dstrike w:val="0"/>
        <w:outline w:val="0"/>
        <w:emboss w:val="0"/>
        <w:imprint w:val="0"/>
        <w:spacing w:val="0"/>
        <w:w w:val="100"/>
        <w:kern w:val="0"/>
        <w:position w:val="0"/>
        <w:highlight w:val="none"/>
        <w:vertAlign w:val="baseline"/>
      </w:rPr>
    </w:lvl>
    <w:lvl w:ilvl="8" w:tplc="F67478A4">
      <w:start w:val="1"/>
      <w:numFmt w:val="lowerRoman"/>
      <w:lvlText w:val="%9."/>
      <w:lvlJc w:val="left"/>
      <w:pPr>
        <w:tabs>
          <w:tab w:val="num" w:pos="7176"/>
        </w:tabs>
        <w:ind w:left="6469" w:firstLine="1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A45516"/>
    <w:multiLevelType w:val="hybridMultilevel"/>
    <w:tmpl w:val="1422BEAE"/>
    <w:lvl w:ilvl="0" w:tplc="FEF6C53C">
      <w:start w:val="3"/>
      <w:numFmt w:val="upperRoman"/>
      <w:lvlText w:val="%1."/>
      <w:lvlJc w:val="left"/>
      <w:pPr>
        <w:tabs>
          <w:tab w:val="num" w:pos="1440"/>
        </w:tabs>
        <w:ind w:left="1440" w:hanging="72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5" w15:restartNumberingAfterBreak="0">
    <w:nsid w:val="46C40431"/>
    <w:multiLevelType w:val="hybridMultilevel"/>
    <w:tmpl w:val="22C2B330"/>
    <w:lvl w:ilvl="0" w:tplc="A8DEF15E">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6" w15:restartNumberingAfterBreak="0">
    <w:nsid w:val="6B7A6DDF"/>
    <w:multiLevelType w:val="hybridMultilevel"/>
    <w:tmpl w:val="8B70EC42"/>
    <w:styleLink w:val="ImportedStyle1"/>
    <w:lvl w:ilvl="0" w:tplc="43A8F958">
      <w:start w:val="1"/>
      <w:numFmt w:val="decimal"/>
      <w:lvlText w:val="%1."/>
      <w:lvlJc w:val="left"/>
      <w:pPr>
        <w:ind w:left="41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64C17C">
      <w:start w:val="1"/>
      <w:numFmt w:val="lowerLetter"/>
      <w:lvlText w:val="%2."/>
      <w:lvlJc w:val="left"/>
      <w:pPr>
        <w:ind w:left="49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2C7444">
      <w:start w:val="1"/>
      <w:numFmt w:val="lowerRoman"/>
      <w:lvlText w:val="%3."/>
      <w:lvlJc w:val="left"/>
      <w:pPr>
        <w:ind w:left="5625"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C4ACA828">
      <w:start w:val="1"/>
      <w:numFmt w:val="decimal"/>
      <w:lvlText w:val="%4."/>
      <w:lvlJc w:val="left"/>
      <w:pPr>
        <w:ind w:left="63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40A834">
      <w:start w:val="1"/>
      <w:numFmt w:val="lowerLetter"/>
      <w:lvlText w:val="%5."/>
      <w:lvlJc w:val="left"/>
      <w:pPr>
        <w:ind w:left="70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EAE9BA">
      <w:start w:val="1"/>
      <w:numFmt w:val="lowerRoman"/>
      <w:lvlText w:val="%6."/>
      <w:lvlJc w:val="left"/>
      <w:pPr>
        <w:ind w:left="7785"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710B728">
      <w:start w:val="1"/>
      <w:numFmt w:val="decimal"/>
      <w:lvlText w:val="%7."/>
      <w:lvlJc w:val="left"/>
      <w:pPr>
        <w:ind w:left="8496" w:hanging="351"/>
      </w:pPr>
      <w:rPr>
        <w:rFonts w:hAnsi="Arial Unicode MS"/>
        <w:caps w:val="0"/>
        <w:smallCaps w:val="0"/>
        <w:strike w:val="0"/>
        <w:dstrike w:val="0"/>
        <w:outline w:val="0"/>
        <w:emboss w:val="0"/>
        <w:imprint w:val="0"/>
        <w:spacing w:val="0"/>
        <w:w w:val="100"/>
        <w:kern w:val="0"/>
        <w:position w:val="0"/>
        <w:highlight w:val="none"/>
        <w:vertAlign w:val="baseline"/>
      </w:rPr>
    </w:lvl>
    <w:lvl w:ilvl="7" w:tplc="ECCE46FC">
      <w:start w:val="1"/>
      <w:numFmt w:val="lowerLetter"/>
      <w:lvlText w:val="%8."/>
      <w:lvlJc w:val="left"/>
      <w:pPr>
        <w:ind w:left="9204" w:hanging="339"/>
      </w:pPr>
      <w:rPr>
        <w:rFonts w:hAnsi="Arial Unicode MS"/>
        <w:caps w:val="0"/>
        <w:smallCaps w:val="0"/>
        <w:strike w:val="0"/>
        <w:dstrike w:val="0"/>
        <w:outline w:val="0"/>
        <w:emboss w:val="0"/>
        <w:imprint w:val="0"/>
        <w:spacing w:val="0"/>
        <w:w w:val="100"/>
        <w:kern w:val="0"/>
        <w:position w:val="0"/>
        <w:highlight w:val="none"/>
        <w:vertAlign w:val="baseline"/>
      </w:rPr>
    </w:lvl>
    <w:lvl w:ilvl="8" w:tplc="B75A69B4">
      <w:start w:val="1"/>
      <w:numFmt w:val="lowerRoman"/>
      <w:lvlText w:val="%9."/>
      <w:lvlJc w:val="left"/>
      <w:pPr>
        <w:ind w:left="9912"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CE1577"/>
    <w:multiLevelType w:val="hybridMultilevel"/>
    <w:tmpl w:val="3EEE8540"/>
    <w:styleLink w:val="ImportedStyle4"/>
    <w:lvl w:ilvl="0" w:tplc="5E4AC69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3326A9FC">
      <w:start w:val="1"/>
      <w:numFmt w:val="lowerLetter"/>
      <w:lvlText w:val="%2."/>
      <w:lvlJc w:val="left"/>
      <w:pPr>
        <w:ind w:left="1417" w:hanging="697"/>
      </w:pPr>
      <w:rPr>
        <w:rFonts w:hAnsi="Arial Unicode MS"/>
        <w:caps w:val="0"/>
        <w:smallCaps w:val="0"/>
        <w:strike w:val="0"/>
        <w:dstrike w:val="0"/>
        <w:outline w:val="0"/>
        <w:emboss w:val="0"/>
        <w:imprint w:val="0"/>
        <w:spacing w:val="0"/>
        <w:w w:val="100"/>
        <w:kern w:val="0"/>
        <w:position w:val="0"/>
        <w:highlight w:val="none"/>
        <w:vertAlign w:val="baseline"/>
      </w:rPr>
    </w:lvl>
    <w:lvl w:ilvl="2" w:tplc="AA0C162C">
      <w:start w:val="1"/>
      <w:numFmt w:val="lowerRoman"/>
      <w:lvlText w:val="%3."/>
      <w:lvlJc w:val="left"/>
      <w:pPr>
        <w:ind w:left="2125" w:hanging="638"/>
      </w:pPr>
      <w:rPr>
        <w:rFonts w:hAnsi="Arial Unicode MS"/>
        <w:caps w:val="0"/>
        <w:smallCaps w:val="0"/>
        <w:strike w:val="0"/>
        <w:dstrike w:val="0"/>
        <w:outline w:val="0"/>
        <w:emboss w:val="0"/>
        <w:imprint w:val="0"/>
        <w:spacing w:val="0"/>
        <w:w w:val="100"/>
        <w:kern w:val="0"/>
        <w:position w:val="0"/>
        <w:highlight w:val="none"/>
        <w:vertAlign w:val="baseline"/>
      </w:rPr>
    </w:lvl>
    <w:lvl w:ilvl="3" w:tplc="EE223A5A">
      <w:start w:val="1"/>
      <w:numFmt w:val="decimal"/>
      <w:lvlText w:val="%4."/>
      <w:lvlJc w:val="left"/>
      <w:pPr>
        <w:ind w:left="2833" w:hanging="673"/>
      </w:pPr>
      <w:rPr>
        <w:rFonts w:hAnsi="Arial Unicode MS"/>
        <w:caps w:val="0"/>
        <w:smallCaps w:val="0"/>
        <w:strike w:val="0"/>
        <w:dstrike w:val="0"/>
        <w:outline w:val="0"/>
        <w:emboss w:val="0"/>
        <w:imprint w:val="0"/>
        <w:spacing w:val="0"/>
        <w:w w:val="100"/>
        <w:kern w:val="0"/>
        <w:position w:val="0"/>
        <w:highlight w:val="none"/>
        <w:vertAlign w:val="baseline"/>
      </w:rPr>
    </w:lvl>
    <w:lvl w:ilvl="4" w:tplc="171E2E04">
      <w:start w:val="1"/>
      <w:numFmt w:val="lowerLetter"/>
      <w:lvlText w:val="%5."/>
      <w:lvlJc w:val="left"/>
      <w:pPr>
        <w:ind w:left="3541" w:hanging="661"/>
      </w:pPr>
      <w:rPr>
        <w:rFonts w:hAnsi="Arial Unicode MS"/>
        <w:caps w:val="0"/>
        <w:smallCaps w:val="0"/>
        <w:strike w:val="0"/>
        <w:dstrike w:val="0"/>
        <w:outline w:val="0"/>
        <w:emboss w:val="0"/>
        <w:imprint w:val="0"/>
        <w:spacing w:val="0"/>
        <w:w w:val="100"/>
        <w:kern w:val="0"/>
        <w:position w:val="0"/>
        <w:highlight w:val="none"/>
        <w:vertAlign w:val="baseline"/>
      </w:rPr>
    </w:lvl>
    <w:lvl w:ilvl="5" w:tplc="B57E4328">
      <w:start w:val="1"/>
      <w:numFmt w:val="lowerRoman"/>
      <w:lvlText w:val="%6."/>
      <w:lvlJc w:val="left"/>
      <w:pPr>
        <w:ind w:left="4249"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C64ABF8C">
      <w:start w:val="1"/>
      <w:numFmt w:val="decimal"/>
      <w:lvlText w:val="%7."/>
      <w:lvlJc w:val="left"/>
      <w:pPr>
        <w:ind w:left="4957" w:hanging="637"/>
      </w:pPr>
      <w:rPr>
        <w:rFonts w:hAnsi="Arial Unicode MS"/>
        <w:caps w:val="0"/>
        <w:smallCaps w:val="0"/>
        <w:strike w:val="0"/>
        <w:dstrike w:val="0"/>
        <w:outline w:val="0"/>
        <w:emboss w:val="0"/>
        <w:imprint w:val="0"/>
        <w:spacing w:val="0"/>
        <w:w w:val="100"/>
        <w:kern w:val="0"/>
        <w:position w:val="0"/>
        <w:highlight w:val="none"/>
        <w:vertAlign w:val="baseline"/>
      </w:rPr>
    </w:lvl>
    <w:lvl w:ilvl="7" w:tplc="D5C69506">
      <w:start w:val="1"/>
      <w:numFmt w:val="lowerLetter"/>
      <w:lvlText w:val="%8."/>
      <w:lvlJc w:val="left"/>
      <w:pPr>
        <w:ind w:left="5665" w:hanging="625"/>
      </w:pPr>
      <w:rPr>
        <w:rFonts w:hAnsi="Arial Unicode MS"/>
        <w:caps w:val="0"/>
        <w:smallCaps w:val="0"/>
        <w:strike w:val="0"/>
        <w:dstrike w:val="0"/>
        <w:outline w:val="0"/>
        <w:emboss w:val="0"/>
        <w:imprint w:val="0"/>
        <w:spacing w:val="0"/>
        <w:w w:val="100"/>
        <w:kern w:val="0"/>
        <w:position w:val="0"/>
        <w:highlight w:val="none"/>
        <w:vertAlign w:val="baseline"/>
      </w:rPr>
    </w:lvl>
    <w:lvl w:ilvl="8" w:tplc="75920398">
      <w:start w:val="1"/>
      <w:numFmt w:val="lowerRoman"/>
      <w:lvlText w:val="%9."/>
      <w:lvlJc w:val="left"/>
      <w:pPr>
        <w:ind w:left="6373" w:hanging="5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1"/>
  </w:num>
  <w:num w:numId="4">
    <w:abstractNumId w:val="7"/>
  </w:num>
  <w:num w:numId="5">
    <w:abstractNumId w:val="5"/>
  </w:num>
  <w:num w:numId="6">
    <w:abstractNumId w:val="6"/>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DD"/>
    <w:rsid w:val="00007317"/>
    <w:rsid w:val="00011171"/>
    <w:rsid w:val="00013B91"/>
    <w:rsid w:val="000175F6"/>
    <w:rsid w:val="0002281D"/>
    <w:rsid w:val="00023DAA"/>
    <w:rsid w:val="000256D5"/>
    <w:rsid w:val="0002650E"/>
    <w:rsid w:val="0003175A"/>
    <w:rsid w:val="000410CE"/>
    <w:rsid w:val="00062830"/>
    <w:rsid w:val="000671D3"/>
    <w:rsid w:val="000731AE"/>
    <w:rsid w:val="00073499"/>
    <w:rsid w:val="00075306"/>
    <w:rsid w:val="000763F4"/>
    <w:rsid w:val="00076AB7"/>
    <w:rsid w:val="0008504D"/>
    <w:rsid w:val="00095DE7"/>
    <w:rsid w:val="000C36E1"/>
    <w:rsid w:val="000D3FC2"/>
    <w:rsid w:val="000D6ECD"/>
    <w:rsid w:val="000D7AA3"/>
    <w:rsid w:val="00105296"/>
    <w:rsid w:val="00137757"/>
    <w:rsid w:val="001401F6"/>
    <w:rsid w:val="0014721D"/>
    <w:rsid w:val="00151E11"/>
    <w:rsid w:val="00154D02"/>
    <w:rsid w:val="00174408"/>
    <w:rsid w:val="001A653E"/>
    <w:rsid w:val="001B0A7E"/>
    <w:rsid w:val="001B6277"/>
    <w:rsid w:val="001D18B4"/>
    <w:rsid w:val="001D581A"/>
    <w:rsid w:val="001F057F"/>
    <w:rsid w:val="001F0BC5"/>
    <w:rsid w:val="001F3B8D"/>
    <w:rsid w:val="001F6643"/>
    <w:rsid w:val="00212260"/>
    <w:rsid w:val="00212E50"/>
    <w:rsid w:val="00226BA8"/>
    <w:rsid w:val="00253075"/>
    <w:rsid w:val="00253225"/>
    <w:rsid w:val="00255C2A"/>
    <w:rsid w:val="00263F53"/>
    <w:rsid w:val="00270AF0"/>
    <w:rsid w:val="0027210A"/>
    <w:rsid w:val="00274B0E"/>
    <w:rsid w:val="00283A8B"/>
    <w:rsid w:val="002B58B4"/>
    <w:rsid w:val="002D5064"/>
    <w:rsid w:val="002E2169"/>
    <w:rsid w:val="002F4F07"/>
    <w:rsid w:val="002F6403"/>
    <w:rsid w:val="003067EF"/>
    <w:rsid w:val="00313B9E"/>
    <w:rsid w:val="00321BF1"/>
    <w:rsid w:val="003312FB"/>
    <w:rsid w:val="00352816"/>
    <w:rsid w:val="00364C53"/>
    <w:rsid w:val="00370E70"/>
    <w:rsid w:val="00381A60"/>
    <w:rsid w:val="00387007"/>
    <w:rsid w:val="003A1FE0"/>
    <w:rsid w:val="003B2525"/>
    <w:rsid w:val="003C42AF"/>
    <w:rsid w:val="003D2796"/>
    <w:rsid w:val="003D715A"/>
    <w:rsid w:val="003E7351"/>
    <w:rsid w:val="003F2304"/>
    <w:rsid w:val="003F3826"/>
    <w:rsid w:val="00405A26"/>
    <w:rsid w:val="00425FD5"/>
    <w:rsid w:val="0043188B"/>
    <w:rsid w:val="00432CFE"/>
    <w:rsid w:val="00442338"/>
    <w:rsid w:val="004432F9"/>
    <w:rsid w:val="00462127"/>
    <w:rsid w:val="00485043"/>
    <w:rsid w:val="004960E4"/>
    <w:rsid w:val="004A1102"/>
    <w:rsid w:val="004A6DF3"/>
    <w:rsid w:val="004B033A"/>
    <w:rsid w:val="004B3633"/>
    <w:rsid w:val="004B3796"/>
    <w:rsid w:val="004B5F40"/>
    <w:rsid w:val="004C09B7"/>
    <w:rsid w:val="004D77DE"/>
    <w:rsid w:val="004E532D"/>
    <w:rsid w:val="004F15F8"/>
    <w:rsid w:val="004F5261"/>
    <w:rsid w:val="005102BC"/>
    <w:rsid w:val="00531754"/>
    <w:rsid w:val="00534866"/>
    <w:rsid w:val="00536878"/>
    <w:rsid w:val="00537723"/>
    <w:rsid w:val="00540CF3"/>
    <w:rsid w:val="005457D7"/>
    <w:rsid w:val="0059322A"/>
    <w:rsid w:val="005A7DEE"/>
    <w:rsid w:val="005B3846"/>
    <w:rsid w:val="005B593C"/>
    <w:rsid w:val="005D3059"/>
    <w:rsid w:val="005D4E35"/>
    <w:rsid w:val="005F1FAE"/>
    <w:rsid w:val="006233B0"/>
    <w:rsid w:val="00631429"/>
    <w:rsid w:val="006402C1"/>
    <w:rsid w:val="00680BED"/>
    <w:rsid w:val="00692B74"/>
    <w:rsid w:val="006D0227"/>
    <w:rsid w:val="006D2BA8"/>
    <w:rsid w:val="006D69CF"/>
    <w:rsid w:val="006F63B8"/>
    <w:rsid w:val="0070787A"/>
    <w:rsid w:val="007119B2"/>
    <w:rsid w:val="00721640"/>
    <w:rsid w:val="00724A9D"/>
    <w:rsid w:val="00741F4C"/>
    <w:rsid w:val="00747CDD"/>
    <w:rsid w:val="00774263"/>
    <w:rsid w:val="00776AA9"/>
    <w:rsid w:val="0078120A"/>
    <w:rsid w:val="0079008C"/>
    <w:rsid w:val="00795A16"/>
    <w:rsid w:val="007A1B6C"/>
    <w:rsid w:val="007A46A3"/>
    <w:rsid w:val="007B4B5E"/>
    <w:rsid w:val="007C182F"/>
    <w:rsid w:val="007C1DFD"/>
    <w:rsid w:val="007C3C83"/>
    <w:rsid w:val="007D3CB6"/>
    <w:rsid w:val="007E6B66"/>
    <w:rsid w:val="007E7779"/>
    <w:rsid w:val="007F0DF5"/>
    <w:rsid w:val="008054C5"/>
    <w:rsid w:val="0080768A"/>
    <w:rsid w:val="00807F6A"/>
    <w:rsid w:val="00817800"/>
    <w:rsid w:val="008363BE"/>
    <w:rsid w:val="0083654D"/>
    <w:rsid w:val="008401D5"/>
    <w:rsid w:val="0084067C"/>
    <w:rsid w:val="00843AAD"/>
    <w:rsid w:val="008445A8"/>
    <w:rsid w:val="008634E3"/>
    <w:rsid w:val="00863D58"/>
    <w:rsid w:val="00876D4F"/>
    <w:rsid w:val="008800B3"/>
    <w:rsid w:val="0088457E"/>
    <w:rsid w:val="008A1D1E"/>
    <w:rsid w:val="008B219E"/>
    <w:rsid w:val="008D3D6C"/>
    <w:rsid w:val="008E1203"/>
    <w:rsid w:val="008E58CF"/>
    <w:rsid w:val="00917F29"/>
    <w:rsid w:val="0093015E"/>
    <w:rsid w:val="009539AC"/>
    <w:rsid w:val="009628AB"/>
    <w:rsid w:val="00962E09"/>
    <w:rsid w:val="0096361C"/>
    <w:rsid w:val="00972907"/>
    <w:rsid w:val="00984BEE"/>
    <w:rsid w:val="00993DD9"/>
    <w:rsid w:val="00994970"/>
    <w:rsid w:val="00997E5A"/>
    <w:rsid w:val="009B183C"/>
    <w:rsid w:val="009B5D3C"/>
    <w:rsid w:val="009F6150"/>
    <w:rsid w:val="00A05453"/>
    <w:rsid w:val="00A13C65"/>
    <w:rsid w:val="00A1586B"/>
    <w:rsid w:val="00A34F97"/>
    <w:rsid w:val="00A35A5C"/>
    <w:rsid w:val="00A44775"/>
    <w:rsid w:val="00A51B8A"/>
    <w:rsid w:val="00A6536D"/>
    <w:rsid w:val="00A65B88"/>
    <w:rsid w:val="00A7003E"/>
    <w:rsid w:val="00A73537"/>
    <w:rsid w:val="00A76535"/>
    <w:rsid w:val="00A77D04"/>
    <w:rsid w:val="00A905F2"/>
    <w:rsid w:val="00AA0B24"/>
    <w:rsid w:val="00AC4266"/>
    <w:rsid w:val="00AC7C6E"/>
    <w:rsid w:val="00AD2A4F"/>
    <w:rsid w:val="00AE3FFB"/>
    <w:rsid w:val="00AE55F6"/>
    <w:rsid w:val="00AF1FB9"/>
    <w:rsid w:val="00AF7F91"/>
    <w:rsid w:val="00B01CF1"/>
    <w:rsid w:val="00B363F2"/>
    <w:rsid w:val="00B36F0B"/>
    <w:rsid w:val="00B47E28"/>
    <w:rsid w:val="00B47EF7"/>
    <w:rsid w:val="00B47F61"/>
    <w:rsid w:val="00B61396"/>
    <w:rsid w:val="00B66BBC"/>
    <w:rsid w:val="00B749DB"/>
    <w:rsid w:val="00BA551B"/>
    <w:rsid w:val="00BA5798"/>
    <w:rsid w:val="00BA734D"/>
    <w:rsid w:val="00BB1A24"/>
    <w:rsid w:val="00BC39DF"/>
    <w:rsid w:val="00BC592D"/>
    <w:rsid w:val="00BC5CBE"/>
    <w:rsid w:val="00BC6759"/>
    <w:rsid w:val="00BD08C4"/>
    <w:rsid w:val="00BD1732"/>
    <w:rsid w:val="00BD572F"/>
    <w:rsid w:val="00BE3476"/>
    <w:rsid w:val="00C00698"/>
    <w:rsid w:val="00C10876"/>
    <w:rsid w:val="00C13834"/>
    <w:rsid w:val="00C25520"/>
    <w:rsid w:val="00C25E14"/>
    <w:rsid w:val="00C30D1D"/>
    <w:rsid w:val="00C472C3"/>
    <w:rsid w:val="00C66C86"/>
    <w:rsid w:val="00C731F4"/>
    <w:rsid w:val="00C7607E"/>
    <w:rsid w:val="00C80A4C"/>
    <w:rsid w:val="00CB4624"/>
    <w:rsid w:val="00CC46EB"/>
    <w:rsid w:val="00CF6B1F"/>
    <w:rsid w:val="00D00DC1"/>
    <w:rsid w:val="00D06D2D"/>
    <w:rsid w:val="00D4070F"/>
    <w:rsid w:val="00D47B0D"/>
    <w:rsid w:val="00D73A06"/>
    <w:rsid w:val="00D77B30"/>
    <w:rsid w:val="00D8602E"/>
    <w:rsid w:val="00D94B8F"/>
    <w:rsid w:val="00D9774C"/>
    <w:rsid w:val="00DA1D65"/>
    <w:rsid w:val="00DA7E2C"/>
    <w:rsid w:val="00DB42EC"/>
    <w:rsid w:val="00DB6B95"/>
    <w:rsid w:val="00DC0DF8"/>
    <w:rsid w:val="00DC1C07"/>
    <w:rsid w:val="00DC2D91"/>
    <w:rsid w:val="00DD3344"/>
    <w:rsid w:val="00DD6B0C"/>
    <w:rsid w:val="00DD712B"/>
    <w:rsid w:val="00DE612C"/>
    <w:rsid w:val="00DF4DA7"/>
    <w:rsid w:val="00DF51EA"/>
    <w:rsid w:val="00E0439E"/>
    <w:rsid w:val="00E30011"/>
    <w:rsid w:val="00E31AD5"/>
    <w:rsid w:val="00E37B47"/>
    <w:rsid w:val="00E53E19"/>
    <w:rsid w:val="00E55700"/>
    <w:rsid w:val="00E717C6"/>
    <w:rsid w:val="00E801A3"/>
    <w:rsid w:val="00E81827"/>
    <w:rsid w:val="00E82B93"/>
    <w:rsid w:val="00E91C65"/>
    <w:rsid w:val="00EA2431"/>
    <w:rsid w:val="00EA4E06"/>
    <w:rsid w:val="00EB2BD1"/>
    <w:rsid w:val="00EB37D5"/>
    <w:rsid w:val="00EE17BE"/>
    <w:rsid w:val="00F03C98"/>
    <w:rsid w:val="00F22A1F"/>
    <w:rsid w:val="00F233F5"/>
    <w:rsid w:val="00F256AD"/>
    <w:rsid w:val="00F33A6D"/>
    <w:rsid w:val="00F46226"/>
    <w:rsid w:val="00F6442A"/>
    <w:rsid w:val="00F77483"/>
    <w:rsid w:val="00F842AA"/>
    <w:rsid w:val="00F84AD4"/>
    <w:rsid w:val="00FA24B5"/>
    <w:rsid w:val="00FA4679"/>
    <w:rsid w:val="00FA56AD"/>
    <w:rsid w:val="00FA691B"/>
    <w:rsid w:val="00FC4BF7"/>
    <w:rsid w:val="00FC6D58"/>
    <w:rsid w:val="00FD22CF"/>
    <w:rsid w:val="00FE2500"/>
    <w:rsid w:val="00FE625A"/>
    <w:rsid w:val="00FF3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46F3A1-ACB6-4257-A2D0-12840B5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2C1"/>
    <w:rPr>
      <w:sz w:val="24"/>
      <w:szCs w:val="24"/>
      <w:lang w:eastAsia="en-US"/>
    </w:rPr>
  </w:style>
  <w:style w:type="paragraph" w:styleId="Balk1">
    <w:name w:val="heading 1"/>
    <w:basedOn w:val="Normal"/>
    <w:next w:val="Normal"/>
    <w:link w:val="Balk1Char"/>
    <w:qFormat/>
    <w:rsid w:val="004A6DF3"/>
    <w:pPr>
      <w:keepNext/>
      <w:keepLines/>
      <w:spacing w:before="240"/>
      <w:outlineLvl w:val="0"/>
    </w:pPr>
    <w:rPr>
      <w:rFonts w:ascii="Calibri Light" w:eastAsia="Times New Roman" w:hAnsi="Calibri Light"/>
      <w:color w:val="2E74B5"/>
      <w:sz w:val="32"/>
      <w:szCs w:val="32"/>
    </w:rPr>
  </w:style>
  <w:style w:type="paragraph" w:styleId="Balk2">
    <w:name w:val="heading 2"/>
    <w:basedOn w:val="Normal"/>
    <w:next w:val="Normal"/>
    <w:link w:val="Balk2Char"/>
    <w:qFormat/>
    <w:rsid w:val="00AF7F91"/>
    <w:pPr>
      <w:spacing w:before="120" w:after="120" w:line="360" w:lineRule="auto"/>
      <w:outlineLvl w:val="1"/>
    </w:pPr>
    <w:rPr>
      <w:sz w:val="22"/>
      <w:szCs w:val="22"/>
    </w:rPr>
  </w:style>
  <w:style w:type="paragraph" w:styleId="Balk3">
    <w:name w:val="heading 3"/>
    <w:basedOn w:val="Normal"/>
    <w:next w:val="Normal"/>
    <w:link w:val="Balk3Char"/>
    <w:qFormat/>
    <w:rsid w:val="00540CF3"/>
    <w:pPr>
      <w:keepNext/>
      <w:keepLines/>
      <w:spacing w:before="40"/>
      <w:outlineLvl w:val="2"/>
    </w:pPr>
    <w:rPr>
      <w:rFonts w:ascii="Calibri Light" w:eastAsia="Times New Roman" w:hAnsi="Calibri Light"/>
      <w:color w:val="1F4D78"/>
    </w:rPr>
  </w:style>
  <w:style w:type="paragraph" w:styleId="Balk6">
    <w:name w:val="heading 6"/>
    <w:basedOn w:val="Normal"/>
    <w:next w:val="Normal"/>
    <w:link w:val="Balk6Char"/>
    <w:qFormat/>
    <w:locked/>
    <w:rsid w:val="007A46A3"/>
    <w:pPr>
      <w:spacing w:before="240" w:after="60" w:line="276" w:lineRule="auto"/>
      <w:outlineLvl w:val="5"/>
    </w:pPr>
    <w:rPr>
      <w:rFonts w:eastAsia="Times New Roman"/>
      <w:b/>
      <w:bCs/>
      <w:sz w:val="22"/>
      <w:szCs w:val="22"/>
    </w:rPr>
  </w:style>
  <w:style w:type="paragraph" w:styleId="Balk7">
    <w:name w:val="heading 7"/>
    <w:basedOn w:val="Normal"/>
    <w:next w:val="Normal"/>
    <w:link w:val="Balk7Char"/>
    <w:qFormat/>
    <w:locked/>
    <w:rsid w:val="007A46A3"/>
    <w:pPr>
      <w:spacing w:before="240" w:after="60" w:line="276" w:lineRule="auto"/>
      <w:outlineLvl w:val="6"/>
    </w:pPr>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4A6DF3"/>
    <w:rPr>
      <w:rFonts w:ascii="Calibri Light" w:hAnsi="Calibri Light" w:cs="Times New Roman"/>
      <w:color w:val="2E74B5"/>
      <w:sz w:val="32"/>
      <w:szCs w:val="32"/>
    </w:rPr>
  </w:style>
  <w:style w:type="character" w:customStyle="1" w:styleId="Balk2Char">
    <w:name w:val="Başlık 2 Char"/>
    <w:basedOn w:val="VarsaylanParagrafYazTipi"/>
    <w:link w:val="Balk2"/>
    <w:locked/>
    <w:rsid w:val="00AF7F91"/>
    <w:rPr>
      <w:rFonts w:cs="Times New Roman"/>
      <w:sz w:val="22"/>
      <w:szCs w:val="22"/>
    </w:rPr>
  </w:style>
  <w:style w:type="character" w:customStyle="1" w:styleId="Balk3Char">
    <w:name w:val="Başlık 3 Char"/>
    <w:basedOn w:val="VarsaylanParagrafYazTipi"/>
    <w:link w:val="Balk3"/>
    <w:locked/>
    <w:rsid w:val="00540CF3"/>
    <w:rPr>
      <w:rFonts w:ascii="Calibri Light" w:hAnsi="Calibri Light" w:cs="Times New Roman"/>
      <w:color w:val="1F4D78"/>
    </w:rPr>
  </w:style>
  <w:style w:type="paragraph" w:styleId="ListeParagraf">
    <w:name w:val="List Paragraph"/>
    <w:aliases w:val="içindekiler vb,LİSTE PARAF,KODLAMA,ALT BAŞLIK,List Paragraph"/>
    <w:basedOn w:val="Normal"/>
    <w:link w:val="ListeParagrafChar"/>
    <w:qFormat/>
    <w:rsid w:val="004B033A"/>
    <w:pPr>
      <w:ind w:left="720"/>
      <w:contextualSpacing/>
    </w:pPr>
  </w:style>
  <w:style w:type="character" w:customStyle="1" w:styleId="grame">
    <w:name w:val="grame"/>
    <w:basedOn w:val="VarsaylanParagrafYazTipi"/>
    <w:uiPriority w:val="99"/>
    <w:rsid w:val="003F3826"/>
    <w:rPr>
      <w:rFonts w:cs="Times New Roman"/>
    </w:rPr>
  </w:style>
  <w:style w:type="character" w:customStyle="1" w:styleId="apple-converted-space">
    <w:name w:val="apple-converted-space"/>
    <w:basedOn w:val="VarsaylanParagrafYazTipi"/>
    <w:rsid w:val="003F3826"/>
    <w:rPr>
      <w:rFonts w:cs="Times New Roman"/>
    </w:rPr>
  </w:style>
  <w:style w:type="character" w:customStyle="1" w:styleId="ListeParagrafChar">
    <w:name w:val="Liste Paragraf Char"/>
    <w:aliases w:val="içindekiler vb Char,LİSTE PARAF Char,KODLAMA Char,ALT BAŞLIK Char,List Paragraph Char"/>
    <w:link w:val="ListeParagraf"/>
    <w:locked/>
    <w:rsid w:val="005457D7"/>
  </w:style>
  <w:style w:type="character" w:styleId="Kpr">
    <w:name w:val="Hyperlink"/>
    <w:basedOn w:val="VarsaylanParagrafYazTipi"/>
    <w:rsid w:val="004F5261"/>
    <w:rPr>
      <w:rFonts w:cs="Times New Roman"/>
      <w:color w:val="0000FF"/>
      <w:u w:val="single"/>
    </w:rPr>
  </w:style>
  <w:style w:type="character" w:customStyle="1" w:styleId="Dipnot">
    <w:name w:val="Dipnot_"/>
    <w:basedOn w:val="VarsaylanParagrafYazTipi"/>
    <w:link w:val="Dipnot0"/>
    <w:locked/>
    <w:rsid w:val="00EA2431"/>
    <w:rPr>
      <w:rFonts w:ascii="Times New Roman" w:hAnsi="Times New Roman" w:cs="Times New Roman"/>
      <w:sz w:val="18"/>
      <w:szCs w:val="18"/>
      <w:shd w:val="clear" w:color="auto" w:fill="FFFFFF"/>
    </w:rPr>
  </w:style>
  <w:style w:type="character" w:customStyle="1" w:styleId="Dipnottalik">
    <w:name w:val="Dipnot + İtalik"/>
    <w:basedOn w:val="Dipnot"/>
    <w:uiPriority w:val="99"/>
    <w:rsid w:val="00EA2431"/>
    <w:rPr>
      <w:rFonts w:ascii="Times New Roman" w:hAnsi="Times New Roman" w:cs="Times New Roman"/>
      <w:i/>
      <w:iCs/>
      <w:color w:val="000000"/>
      <w:spacing w:val="0"/>
      <w:w w:val="100"/>
      <w:position w:val="0"/>
      <w:sz w:val="18"/>
      <w:szCs w:val="18"/>
      <w:shd w:val="clear" w:color="auto" w:fill="FFFFFF"/>
      <w:lang w:val="tr-TR" w:eastAsia="tr-TR"/>
    </w:rPr>
  </w:style>
  <w:style w:type="character" w:customStyle="1" w:styleId="Gvdemetni2">
    <w:name w:val="Gövde metni (2)_"/>
    <w:basedOn w:val="VarsaylanParagrafYazTipi"/>
    <w:link w:val="Gvdemetni20"/>
    <w:locked/>
    <w:rsid w:val="00EA2431"/>
    <w:rPr>
      <w:rFonts w:ascii="Tahoma" w:eastAsia="Times New Roman" w:hAnsi="Tahoma" w:cs="Tahoma"/>
      <w:sz w:val="20"/>
      <w:szCs w:val="20"/>
      <w:shd w:val="clear" w:color="auto" w:fill="FFFFFF"/>
    </w:rPr>
  </w:style>
  <w:style w:type="character" w:customStyle="1" w:styleId="Gvdemetni5">
    <w:name w:val="Gövde metni (5)_"/>
    <w:basedOn w:val="VarsaylanParagrafYazTipi"/>
    <w:link w:val="Gvdemetni50"/>
    <w:locked/>
    <w:rsid w:val="00EA2431"/>
    <w:rPr>
      <w:rFonts w:ascii="Tahoma" w:eastAsia="Times New Roman" w:hAnsi="Tahoma" w:cs="Tahoma"/>
      <w:i/>
      <w:iCs/>
      <w:sz w:val="20"/>
      <w:szCs w:val="20"/>
      <w:shd w:val="clear" w:color="auto" w:fill="FFFFFF"/>
    </w:rPr>
  </w:style>
  <w:style w:type="paragraph" w:customStyle="1" w:styleId="Dipnot0">
    <w:name w:val="Dipnot"/>
    <w:basedOn w:val="Normal"/>
    <w:link w:val="Dipnot"/>
    <w:rsid w:val="00EA2431"/>
    <w:pPr>
      <w:widowControl w:val="0"/>
      <w:shd w:val="clear" w:color="auto" w:fill="FFFFFF"/>
      <w:spacing w:line="322" w:lineRule="exact"/>
      <w:ind w:hanging="220"/>
      <w:jc w:val="both"/>
    </w:pPr>
    <w:rPr>
      <w:rFonts w:ascii="Times New Roman" w:eastAsia="Times New Roman" w:hAnsi="Times New Roman"/>
      <w:sz w:val="18"/>
      <w:szCs w:val="18"/>
    </w:rPr>
  </w:style>
  <w:style w:type="paragraph" w:customStyle="1" w:styleId="Gvdemetni20">
    <w:name w:val="Gövde metni (2)"/>
    <w:basedOn w:val="Normal"/>
    <w:link w:val="Gvdemetni2"/>
    <w:rsid w:val="00EA2431"/>
    <w:pPr>
      <w:widowControl w:val="0"/>
      <w:shd w:val="clear" w:color="auto" w:fill="FFFFFF"/>
      <w:spacing w:before="240" w:line="240" w:lineRule="exact"/>
      <w:jc w:val="both"/>
    </w:pPr>
    <w:rPr>
      <w:rFonts w:ascii="Tahoma" w:hAnsi="Tahoma" w:cs="Tahoma"/>
      <w:sz w:val="20"/>
      <w:szCs w:val="20"/>
    </w:rPr>
  </w:style>
  <w:style w:type="paragraph" w:customStyle="1" w:styleId="Gvdemetni50">
    <w:name w:val="Gövde metni (5)"/>
    <w:basedOn w:val="Normal"/>
    <w:link w:val="Gvdemetni5"/>
    <w:rsid w:val="00EA2431"/>
    <w:pPr>
      <w:widowControl w:val="0"/>
      <w:shd w:val="clear" w:color="auto" w:fill="FFFFFF"/>
      <w:spacing w:line="240" w:lineRule="exact"/>
      <w:jc w:val="both"/>
    </w:pPr>
    <w:rPr>
      <w:rFonts w:ascii="Tahoma" w:hAnsi="Tahoma" w:cs="Tahoma"/>
      <w:i/>
      <w:iCs/>
      <w:sz w:val="20"/>
      <w:szCs w:val="20"/>
    </w:rPr>
  </w:style>
  <w:style w:type="character" w:customStyle="1" w:styleId="Gvdemetni5talikdeil">
    <w:name w:val="Gövde metni (5) + İtalik değil"/>
    <w:basedOn w:val="Gvdemetni5"/>
    <w:uiPriority w:val="99"/>
    <w:rsid w:val="003D2796"/>
    <w:rPr>
      <w:rFonts w:ascii="Tahoma" w:eastAsia="Times New Roman" w:hAnsi="Tahoma" w:cs="Tahoma"/>
      <w:i/>
      <w:iCs/>
      <w:color w:val="000000"/>
      <w:spacing w:val="0"/>
      <w:w w:val="100"/>
      <w:position w:val="0"/>
      <w:sz w:val="20"/>
      <w:szCs w:val="20"/>
      <w:shd w:val="clear" w:color="auto" w:fill="FFFFFF"/>
      <w:lang w:val="tr-TR" w:eastAsia="tr-TR"/>
    </w:rPr>
  </w:style>
  <w:style w:type="paragraph" w:styleId="NormalWeb">
    <w:name w:val="Normal (Web)"/>
    <w:basedOn w:val="Normal"/>
    <w:link w:val="NormalWebChar"/>
    <w:rsid w:val="001F057F"/>
    <w:pPr>
      <w:spacing w:before="100" w:beforeAutospacing="1" w:after="100" w:afterAutospacing="1"/>
    </w:pPr>
    <w:rPr>
      <w:rFonts w:ascii="Times New Roman" w:eastAsia="Times New Roman" w:hAnsi="Times New Roman"/>
      <w:sz w:val="20"/>
      <w:szCs w:val="20"/>
      <w:lang w:eastAsia="tr-TR"/>
    </w:rPr>
  </w:style>
  <w:style w:type="character" w:customStyle="1" w:styleId="NormalWebChar">
    <w:name w:val="Normal (Web) Char"/>
    <w:link w:val="NormalWeb"/>
    <w:locked/>
    <w:rsid w:val="001F057F"/>
    <w:rPr>
      <w:rFonts w:ascii="Times New Roman" w:hAnsi="Times New Roman"/>
      <w:lang w:eastAsia="tr-TR"/>
    </w:rPr>
  </w:style>
  <w:style w:type="character" w:customStyle="1" w:styleId="ver2">
    <w:name w:val="ver2"/>
    <w:basedOn w:val="VarsaylanParagrafYazTipi"/>
    <w:uiPriority w:val="99"/>
    <w:rsid w:val="001F057F"/>
    <w:rPr>
      <w:rFonts w:cs="Times New Roman"/>
    </w:rPr>
  </w:style>
  <w:style w:type="character" w:customStyle="1" w:styleId="Balk310">
    <w:name w:val="Başlık #3 + 10"/>
    <w:aliases w:val="5 pt,Kalın Değil"/>
    <w:basedOn w:val="VarsaylanParagrafYazTipi"/>
    <w:uiPriority w:val="99"/>
    <w:rsid w:val="00537723"/>
    <w:rPr>
      <w:rFonts w:ascii="Times New Roman" w:hAnsi="Times New Roman" w:cs="Times New Roman"/>
      <w:b/>
      <w:bCs/>
      <w:color w:val="000000"/>
      <w:spacing w:val="0"/>
      <w:w w:val="100"/>
      <w:position w:val="0"/>
      <w:sz w:val="21"/>
      <w:szCs w:val="21"/>
      <w:u w:val="none"/>
      <w:lang w:val="tr-TR" w:eastAsia="tr-TR"/>
    </w:rPr>
  </w:style>
  <w:style w:type="paragraph" w:customStyle="1" w:styleId="Standard">
    <w:name w:val="Standard"/>
    <w:uiPriority w:val="99"/>
    <w:rsid w:val="005A7DEE"/>
    <w:pPr>
      <w:widowControl w:val="0"/>
      <w:suppressAutoHyphens/>
      <w:textAlignment w:val="baseline"/>
    </w:pPr>
    <w:rPr>
      <w:rFonts w:ascii="Times New Roman" w:hAnsi="Times New Roman"/>
      <w:kern w:val="1"/>
      <w:sz w:val="24"/>
      <w:szCs w:val="24"/>
      <w:lang w:val="de-DE" w:eastAsia="fa-IR" w:bidi="fa-IR"/>
    </w:rPr>
  </w:style>
  <w:style w:type="character" w:customStyle="1" w:styleId="fontstyle01">
    <w:name w:val="fontstyle01"/>
    <w:basedOn w:val="VarsaylanParagrafYazTipi"/>
    <w:uiPriority w:val="99"/>
    <w:rsid w:val="00C10876"/>
    <w:rPr>
      <w:rFonts w:ascii="Bold" w:hAnsi="Bold" w:cs="Times New Roman"/>
      <w:b/>
      <w:bCs/>
      <w:color w:val="000000"/>
      <w:sz w:val="20"/>
      <w:szCs w:val="20"/>
    </w:rPr>
  </w:style>
  <w:style w:type="character" w:customStyle="1" w:styleId="fontstyle21">
    <w:name w:val="fontstyle21"/>
    <w:basedOn w:val="VarsaylanParagrafYazTipi"/>
    <w:uiPriority w:val="99"/>
    <w:rsid w:val="00C10876"/>
    <w:rPr>
      <w:rFonts w:ascii="TimesNewRomanPS-BoldMT" w:hAnsi="TimesNewRomanPS-BoldMT" w:cs="Times New Roman"/>
      <w:b/>
      <w:bCs/>
      <w:color w:val="000000"/>
      <w:sz w:val="20"/>
      <w:szCs w:val="20"/>
    </w:rPr>
  </w:style>
  <w:style w:type="character" w:customStyle="1" w:styleId="fontstyle31">
    <w:name w:val="fontstyle31"/>
    <w:basedOn w:val="VarsaylanParagrafYazTipi"/>
    <w:uiPriority w:val="99"/>
    <w:rsid w:val="00C10876"/>
    <w:rPr>
      <w:rFonts w:ascii="TimesNewRoman" w:hAnsi="TimesNewRoman" w:cs="Times New Roman"/>
      <w:i/>
      <w:iCs/>
      <w:color w:val="000000"/>
      <w:sz w:val="24"/>
      <w:szCs w:val="24"/>
    </w:rPr>
  </w:style>
  <w:style w:type="character" w:customStyle="1" w:styleId="fontstyle41">
    <w:name w:val="fontstyle41"/>
    <w:basedOn w:val="VarsaylanParagrafYazTipi"/>
    <w:uiPriority w:val="99"/>
    <w:rsid w:val="00C10876"/>
    <w:rPr>
      <w:rFonts w:ascii="TimesNewRomanPS-ItalicMT" w:hAnsi="TimesNewRomanPS-ItalicMT" w:cs="Times New Roman"/>
      <w:i/>
      <w:iCs/>
      <w:color w:val="000000"/>
      <w:sz w:val="20"/>
      <w:szCs w:val="20"/>
    </w:rPr>
  </w:style>
  <w:style w:type="paragraph" w:styleId="BalonMetni">
    <w:name w:val="Balloon Text"/>
    <w:basedOn w:val="Normal"/>
    <w:link w:val="BalonMetniChar"/>
    <w:rsid w:val="007E6B66"/>
    <w:rPr>
      <w:rFonts w:ascii="Tahoma" w:hAnsi="Tahoma" w:cs="Tahoma"/>
      <w:sz w:val="16"/>
      <w:szCs w:val="16"/>
    </w:rPr>
  </w:style>
  <w:style w:type="character" w:customStyle="1" w:styleId="BalonMetniChar">
    <w:name w:val="Balon Metni Char"/>
    <w:basedOn w:val="VarsaylanParagrafYazTipi"/>
    <w:link w:val="BalonMetni"/>
    <w:rsid w:val="00416C83"/>
    <w:rPr>
      <w:rFonts w:ascii="Times New Roman" w:hAnsi="Times New Roman"/>
      <w:sz w:val="0"/>
      <w:szCs w:val="0"/>
      <w:lang w:eastAsia="en-US"/>
    </w:rPr>
  </w:style>
  <w:style w:type="paragraph" w:styleId="stBilgi">
    <w:name w:val="header"/>
    <w:basedOn w:val="Normal"/>
    <w:link w:val="stBilgiChar1"/>
    <w:uiPriority w:val="99"/>
    <w:unhideWhenUsed/>
    <w:rsid w:val="006D0227"/>
    <w:pPr>
      <w:tabs>
        <w:tab w:val="center" w:pos="4536"/>
        <w:tab w:val="right" w:pos="9072"/>
      </w:tabs>
    </w:pPr>
  </w:style>
  <w:style w:type="character" w:customStyle="1" w:styleId="stBilgiChar1">
    <w:name w:val="Üst Bilgi Char1"/>
    <w:basedOn w:val="VarsaylanParagrafYazTipi"/>
    <w:link w:val="stBilgi"/>
    <w:uiPriority w:val="99"/>
    <w:rsid w:val="006D0227"/>
    <w:rPr>
      <w:sz w:val="24"/>
      <w:szCs w:val="24"/>
      <w:lang w:eastAsia="en-US"/>
    </w:rPr>
  </w:style>
  <w:style w:type="paragraph" w:styleId="AltBilgi">
    <w:name w:val="footer"/>
    <w:basedOn w:val="Normal"/>
    <w:link w:val="AltBilgiChar1"/>
    <w:uiPriority w:val="99"/>
    <w:unhideWhenUsed/>
    <w:rsid w:val="006D0227"/>
    <w:pPr>
      <w:tabs>
        <w:tab w:val="center" w:pos="4536"/>
        <w:tab w:val="right" w:pos="9072"/>
      </w:tabs>
    </w:pPr>
  </w:style>
  <w:style w:type="character" w:customStyle="1" w:styleId="AltBilgiChar1">
    <w:name w:val="Alt Bilgi Char1"/>
    <w:basedOn w:val="VarsaylanParagrafYazTipi"/>
    <w:link w:val="AltBilgi"/>
    <w:uiPriority w:val="99"/>
    <w:rsid w:val="006D0227"/>
    <w:rPr>
      <w:sz w:val="24"/>
      <w:szCs w:val="24"/>
      <w:lang w:eastAsia="en-US"/>
    </w:rPr>
  </w:style>
  <w:style w:type="character" w:customStyle="1" w:styleId="Balk10">
    <w:name w:val="Başlık #1_"/>
    <w:basedOn w:val="VarsaylanParagrafYazTipi"/>
    <w:link w:val="Balk11"/>
    <w:rsid w:val="00DF4DA7"/>
    <w:rPr>
      <w:rFonts w:ascii="Arial" w:eastAsia="Arial" w:hAnsi="Arial" w:cs="Arial"/>
      <w:b/>
      <w:bCs/>
      <w:sz w:val="21"/>
      <w:szCs w:val="21"/>
      <w:shd w:val="clear" w:color="auto" w:fill="FFFFFF"/>
    </w:rPr>
  </w:style>
  <w:style w:type="character" w:customStyle="1" w:styleId="Gvdemetni2Kaln">
    <w:name w:val="Gövde metni (2) + Kalın"/>
    <w:basedOn w:val="Gvdemetni2"/>
    <w:rsid w:val="00DF4DA7"/>
    <w:rPr>
      <w:rFonts w:ascii="Arial" w:eastAsia="Arial" w:hAnsi="Arial" w:cs="Arial"/>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talik">
    <w:name w:val="Gövde metni (2) + İtalik"/>
    <w:basedOn w:val="Gvdemetni2"/>
    <w:rsid w:val="00DF4DA7"/>
    <w:rPr>
      <w:rFonts w:ascii="Arial" w:eastAsia="Arial" w:hAnsi="Arial" w:cs="Arial"/>
      <w:b w:val="0"/>
      <w:bCs w:val="0"/>
      <w:i/>
      <w:iCs/>
      <w:smallCaps w:val="0"/>
      <w:strike w:val="0"/>
      <w:color w:val="000000"/>
      <w:spacing w:val="0"/>
      <w:w w:val="100"/>
      <w:position w:val="0"/>
      <w:sz w:val="21"/>
      <w:szCs w:val="21"/>
      <w:u w:val="none"/>
      <w:shd w:val="clear" w:color="auto" w:fill="FFFFFF"/>
      <w:lang w:val="tr-TR" w:eastAsia="tr-TR" w:bidi="tr-TR"/>
    </w:rPr>
  </w:style>
  <w:style w:type="character" w:customStyle="1" w:styleId="Gvdemetni2Kalntalik">
    <w:name w:val="Gövde metni (2) + Kalın;İtalik"/>
    <w:basedOn w:val="Gvdemetni2"/>
    <w:rsid w:val="00DF4DA7"/>
    <w:rPr>
      <w:rFonts w:ascii="Arial" w:eastAsia="Arial" w:hAnsi="Arial" w:cs="Arial"/>
      <w:b/>
      <w:bCs/>
      <w:i/>
      <w:iCs/>
      <w:smallCaps w:val="0"/>
      <w:strike w:val="0"/>
      <w:color w:val="000000"/>
      <w:spacing w:val="0"/>
      <w:w w:val="100"/>
      <w:position w:val="0"/>
      <w:sz w:val="21"/>
      <w:szCs w:val="21"/>
      <w:u w:val="none"/>
      <w:shd w:val="clear" w:color="auto" w:fill="FFFFFF"/>
      <w:lang w:val="tr-TR" w:eastAsia="tr-TR" w:bidi="tr-TR"/>
    </w:rPr>
  </w:style>
  <w:style w:type="paragraph" w:customStyle="1" w:styleId="Balk11">
    <w:name w:val="Başlık #1"/>
    <w:basedOn w:val="Normal"/>
    <w:link w:val="Balk10"/>
    <w:rsid w:val="00DF4DA7"/>
    <w:pPr>
      <w:widowControl w:val="0"/>
      <w:shd w:val="clear" w:color="auto" w:fill="FFFFFF"/>
      <w:spacing w:after="420" w:line="0" w:lineRule="atLeast"/>
      <w:ind w:hanging="180"/>
      <w:jc w:val="both"/>
      <w:outlineLvl w:val="0"/>
    </w:pPr>
    <w:rPr>
      <w:rFonts w:ascii="Arial" w:eastAsia="Arial" w:hAnsi="Arial" w:cs="Arial"/>
      <w:b/>
      <w:bCs/>
      <w:sz w:val="21"/>
      <w:szCs w:val="21"/>
      <w:lang w:eastAsia="tr-TR"/>
    </w:rPr>
  </w:style>
  <w:style w:type="paragraph" w:customStyle="1" w:styleId="metin0">
    <w:name w:val="metin0"/>
    <w:basedOn w:val="Normal"/>
    <w:rsid w:val="00062830"/>
    <w:pPr>
      <w:spacing w:before="100" w:beforeAutospacing="1" w:after="100" w:afterAutospacing="1"/>
    </w:pPr>
    <w:rPr>
      <w:rFonts w:ascii="Times New Roman" w:eastAsia="Times New Roman" w:hAnsi="Times New Roman"/>
      <w:lang w:eastAsia="tr-TR"/>
    </w:rPr>
  </w:style>
  <w:style w:type="paragraph" w:styleId="GvdeMetniGirintisi">
    <w:name w:val="Body Text Indent"/>
    <w:basedOn w:val="Normal"/>
    <w:link w:val="GvdeMetniGirintisiChar"/>
    <w:rsid w:val="00062830"/>
    <w:pPr>
      <w:tabs>
        <w:tab w:val="center" w:pos="1524"/>
        <w:tab w:val="center" w:pos="3660"/>
        <w:tab w:val="center" w:pos="5928"/>
      </w:tabs>
      <w:spacing w:after="60"/>
      <w:ind w:firstLine="340"/>
      <w:jc w:val="both"/>
    </w:pPr>
    <w:rPr>
      <w:rFonts w:ascii="Times New Roman" w:hAnsi="Times New Roman"/>
      <w:sz w:val="20"/>
      <w:szCs w:val="18"/>
    </w:rPr>
  </w:style>
  <w:style w:type="character" w:customStyle="1" w:styleId="GvdeMetniGirintisiChar">
    <w:name w:val="Gövde Metni Girintisi Char"/>
    <w:basedOn w:val="VarsaylanParagrafYazTipi"/>
    <w:link w:val="GvdeMetniGirintisi"/>
    <w:rsid w:val="00062830"/>
    <w:rPr>
      <w:rFonts w:ascii="Times New Roman" w:hAnsi="Times New Roman"/>
      <w:sz w:val="20"/>
      <w:szCs w:val="18"/>
      <w:lang w:eastAsia="en-US"/>
    </w:rPr>
  </w:style>
  <w:style w:type="character" w:styleId="SayfaNumaras">
    <w:name w:val="page number"/>
    <w:basedOn w:val="VarsaylanParagrafYazTipi"/>
    <w:rsid w:val="00062830"/>
  </w:style>
  <w:style w:type="paragraph" w:styleId="DipnotMetni">
    <w:name w:val="footnote text"/>
    <w:basedOn w:val="Normal"/>
    <w:link w:val="DipnotMetniChar"/>
    <w:rsid w:val="00062830"/>
    <w:rPr>
      <w:rFonts w:eastAsia="MS ??"/>
      <w:lang w:val="en-US"/>
    </w:rPr>
  </w:style>
  <w:style w:type="character" w:customStyle="1" w:styleId="DipnotMetniChar">
    <w:name w:val="Dipnot Metni Char"/>
    <w:basedOn w:val="VarsaylanParagrafYazTipi"/>
    <w:link w:val="DipnotMetni"/>
    <w:rsid w:val="00062830"/>
    <w:rPr>
      <w:rFonts w:eastAsia="MS ??"/>
      <w:sz w:val="24"/>
      <w:szCs w:val="24"/>
      <w:lang w:val="en-US" w:eastAsia="en-US"/>
    </w:rPr>
  </w:style>
  <w:style w:type="character" w:customStyle="1" w:styleId="sb8d990e2">
    <w:name w:val="sb8d990e2"/>
    <w:rsid w:val="00062830"/>
    <w:rPr>
      <w:rFonts w:cs="Times New Roman"/>
    </w:rPr>
  </w:style>
  <w:style w:type="character" w:customStyle="1" w:styleId="s6b621b36">
    <w:name w:val="s6b621b36"/>
    <w:rsid w:val="00062830"/>
    <w:rPr>
      <w:rFonts w:cs="Times New Roman"/>
    </w:rPr>
  </w:style>
  <w:style w:type="character" w:customStyle="1" w:styleId="columncolumn01">
    <w:name w:val="column column01"/>
    <w:basedOn w:val="VarsaylanParagrafYazTipi"/>
    <w:rsid w:val="00062830"/>
  </w:style>
  <w:style w:type="character" w:styleId="zlenenKpr">
    <w:name w:val="FollowedHyperlink"/>
    <w:rsid w:val="00062830"/>
    <w:rPr>
      <w:color w:val="800080"/>
      <w:u w:val="single"/>
    </w:rPr>
  </w:style>
  <w:style w:type="paragraph" w:customStyle="1" w:styleId="a">
    <w:basedOn w:val="Normal"/>
    <w:next w:val="stBilgi"/>
    <w:link w:val="stBilgiChar"/>
    <w:rsid w:val="00062830"/>
    <w:pPr>
      <w:tabs>
        <w:tab w:val="center" w:pos="4536"/>
        <w:tab w:val="right" w:pos="9072"/>
      </w:tabs>
    </w:pPr>
  </w:style>
  <w:style w:type="character" w:customStyle="1" w:styleId="stBilgiChar">
    <w:name w:val="Üst Bilgi Char"/>
    <w:link w:val="a"/>
    <w:rsid w:val="00062830"/>
    <w:rPr>
      <w:rFonts w:ascii="Calibri" w:hAnsi="Calibri"/>
      <w:sz w:val="24"/>
      <w:szCs w:val="24"/>
      <w:lang w:eastAsia="en-US"/>
    </w:rPr>
  </w:style>
  <w:style w:type="character" w:customStyle="1" w:styleId="AltBilgiChar">
    <w:name w:val="Alt Bilgi Char"/>
    <w:link w:val="a0"/>
    <w:uiPriority w:val="99"/>
    <w:rsid w:val="00062830"/>
    <w:rPr>
      <w:sz w:val="24"/>
      <w:szCs w:val="24"/>
    </w:rPr>
  </w:style>
  <w:style w:type="numbering" w:customStyle="1" w:styleId="ImportedStyle2">
    <w:name w:val="Imported Style 2"/>
    <w:rsid w:val="00E31AD5"/>
    <w:pPr>
      <w:numPr>
        <w:numId w:val="2"/>
      </w:numPr>
    </w:pPr>
  </w:style>
  <w:style w:type="numbering" w:customStyle="1" w:styleId="ImportedStyle3">
    <w:name w:val="Imported Style 3"/>
    <w:rsid w:val="00E31AD5"/>
    <w:pPr>
      <w:numPr>
        <w:numId w:val="3"/>
      </w:numPr>
    </w:pPr>
  </w:style>
  <w:style w:type="numbering" w:customStyle="1" w:styleId="ImportedStyle4">
    <w:name w:val="Imported Style 4"/>
    <w:rsid w:val="00E31AD5"/>
    <w:pPr>
      <w:numPr>
        <w:numId w:val="4"/>
      </w:numPr>
    </w:pPr>
  </w:style>
  <w:style w:type="character" w:styleId="Gl">
    <w:name w:val="Strong"/>
    <w:qFormat/>
    <w:locked/>
    <w:rsid w:val="00011171"/>
    <w:rPr>
      <w:b/>
      <w:bCs/>
    </w:rPr>
  </w:style>
  <w:style w:type="paragraph" w:customStyle="1" w:styleId="Nor">
    <w:name w:val="Nor."/>
    <w:basedOn w:val="Normal"/>
    <w:next w:val="Normal"/>
    <w:rsid w:val="00011171"/>
    <w:pPr>
      <w:tabs>
        <w:tab w:val="left" w:pos="567"/>
      </w:tabs>
      <w:jc w:val="both"/>
    </w:pPr>
    <w:rPr>
      <w:rFonts w:ascii="New York" w:eastAsia="Times New Roman" w:hAnsi="New York"/>
      <w:sz w:val="18"/>
      <w:szCs w:val="20"/>
      <w:lang w:val="en-US" w:eastAsia="tr-TR"/>
    </w:rPr>
  </w:style>
  <w:style w:type="paragraph" w:customStyle="1" w:styleId="CharChar1">
    <w:name w:val="Char Char1"/>
    <w:basedOn w:val="Normal"/>
    <w:rsid w:val="00011171"/>
    <w:pPr>
      <w:spacing w:after="160" w:line="240" w:lineRule="exact"/>
    </w:pPr>
    <w:rPr>
      <w:rFonts w:ascii="Verdana" w:eastAsia="Times New Roman" w:hAnsi="Verdana"/>
      <w:sz w:val="20"/>
      <w:szCs w:val="20"/>
      <w:lang w:val="en-US"/>
    </w:rPr>
  </w:style>
  <w:style w:type="paragraph" w:customStyle="1" w:styleId="AralkYok1">
    <w:name w:val="Aralık Yok1"/>
    <w:rsid w:val="00011171"/>
    <w:rPr>
      <w:rFonts w:eastAsia="Times New Roman"/>
      <w:lang w:eastAsia="en-US"/>
    </w:rPr>
  </w:style>
  <w:style w:type="paragraph" w:customStyle="1" w:styleId="nor0">
    <w:name w:val="nor0"/>
    <w:basedOn w:val="Normal"/>
    <w:rsid w:val="00011171"/>
    <w:pPr>
      <w:jc w:val="both"/>
    </w:pPr>
    <w:rPr>
      <w:rFonts w:ascii="New York" w:eastAsia="Times New Roman" w:hAnsi="New York"/>
      <w:sz w:val="18"/>
      <w:szCs w:val="18"/>
      <w:lang w:eastAsia="tr-TR"/>
    </w:rPr>
  </w:style>
  <w:style w:type="paragraph" w:customStyle="1" w:styleId="KanTab">
    <w:name w:val="Kan Tab"/>
    <w:basedOn w:val="Normal"/>
    <w:rsid w:val="00011171"/>
    <w:pPr>
      <w:tabs>
        <w:tab w:val="left" w:pos="567"/>
        <w:tab w:val="left" w:pos="2835"/>
      </w:tabs>
      <w:jc w:val="both"/>
    </w:pPr>
    <w:rPr>
      <w:rFonts w:ascii="New York" w:eastAsia="Times New Roman" w:hAnsi="New York"/>
      <w:b/>
      <w:sz w:val="22"/>
      <w:lang w:val="en-US" w:eastAsia="tr-TR"/>
    </w:rPr>
  </w:style>
  <w:style w:type="paragraph" w:customStyle="1" w:styleId="CharChar2">
    <w:name w:val="Char Char2"/>
    <w:basedOn w:val="Normal"/>
    <w:rsid w:val="00011171"/>
    <w:pPr>
      <w:spacing w:after="160" w:line="240" w:lineRule="exact"/>
    </w:pPr>
    <w:rPr>
      <w:rFonts w:ascii="Verdana" w:eastAsia="Times New Roman" w:hAnsi="Verdana"/>
      <w:sz w:val="20"/>
      <w:szCs w:val="20"/>
      <w:lang w:val="en-US"/>
    </w:rPr>
  </w:style>
  <w:style w:type="paragraph" w:customStyle="1" w:styleId="CharCharCharCharCharCharCharCharCharChar">
    <w:name w:val="Char Char Char Char Char Char Char Char Char Char"/>
    <w:basedOn w:val="Normal"/>
    <w:rsid w:val="00011171"/>
    <w:pPr>
      <w:spacing w:after="160" w:line="240" w:lineRule="exact"/>
      <w:jc w:val="both"/>
    </w:pPr>
    <w:rPr>
      <w:rFonts w:ascii="Verdana" w:eastAsia="Times New Roman" w:hAnsi="Verdana"/>
      <w:sz w:val="20"/>
      <w:szCs w:val="20"/>
      <w:lang w:val="en-US"/>
    </w:rPr>
  </w:style>
  <w:style w:type="paragraph" w:customStyle="1" w:styleId="nor1">
    <w:name w:val="nor"/>
    <w:basedOn w:val="Normal"/>
    <w:rsid w:val="00011171"/>
    <w:pPr>
      <w:jc w:val="both"/>
    </w:pPr>
    <w:rPr>
      <w:rFonts w:ascii="New York" w:eastAsia="Times New Roman" w:hAnsi="New York"/>
      <w:sz w:val="18"/>
      <w:szCs w:val="18"/>
      <w:lang w:eastAsia="tr-TR"/>
    </w:rPr>
  </w:style>
  <w:style w:type="paragraph" w:customStyle="1" w:styleId="a0">
    <w:basedOn w:val="Normal"/>
    <w:next w:val="AltBilgi"/>
    <w:link w:val="AltBilgiChar"/>
    <w:uiPriority w:val="99"/>
    <w:rsid w:val="00011171"/>
    <w:pPr>
      <w:tabs>
        <w:tab w:val="center" w:pos="4536"/>
        <w:tab w:val="right" w:pos="9072"/>
      </w:tabs>
    </w:pPr>
    <w:rPr>
      <w:lang w:eastAsia="tr-TR"/>
    </w:rPr>
  </w:style>
  <w:style w:type="character" w:customStyle="1" w:styleId="Balk6Char">
    <w:name w:val="Başlık 6 Char"/>
    <w:basedOn w:val="VarsaylanParagrafYazTipi"/>
    <w:link w:val="Balk6"/>
    <w:rsid w:val="007A46A3"/>
    <w:rPr>
      <w:rFonts w:eastAsia="Times New Roman"/>
      <w:b/>
      <w:bCs/>
      <w:lang w:eastAsia="en-US"/>
    </w:rPr>
  </w:style>
  <w:style w:type="character" w:customStyle="1" w:styleId="Balk7Char">
    <w:name w:val="Başlık 7 Char"/>
    <w:basedOn w:val="VarsaylanParagrafYazTipi"/>
    <w:link w:val="Balk7"/>
    <w:rsid w:val="007A46A3"/>
    <w:rPr>
      <w:rFonts w:eastAsia="Times New Roman"/>
      <w:sz w:val="24"/>
      <w:szCs w:val="24"/>
      <w:lang w:eastAsia="en-US"/>
    </w:rPr>
  </w:style>
  <w:style w:type="character" w:customStyle="1" w:styleId="KonuBalChar">
    <w:name w:val="Konu Başlığı Char"/>
    <w:link w:val="KonuBal"/>
    <w:rsid w:val="007A46A3"/>
    <w:rPr>
      <w:sz w:val="24"/>
      <w:szCs w:val="24"/>
    </w:rPr>
  </w:style>
  <w:style w:type="paragraph" w:styleId="KonuBal">
    <w:name w:val="Title"/>
    <w:basedOn w:val="Normal"/>
    <w:link w:val="KonuBalChar"/>
    <w:qFormat/>
    <w:locked/>
    <w:rsid w:val="007A46A3"/>
    <w:pPr>
      <w:spacing w:before="100" w:beforeAutospacing="1" w:after="100" w:afterAutospacing="1"/>
    </w:pPr>
    <w:rPr>
      <w:lang w:eastAsia="tr-TR"/>
    </w:rPr>
  </w:style>
  <w:style w:type="character" w:customStyle="1" w:styleId="KonuBalChar1">
    <w:name w:val="Konu Başlığı Char1"/>
    <w:basedOn w:val="VarsaylanParagrafYazTipi"/>
    <w:rsid w:val="007A46A3"/>
    <w:rPr>
      <w:rFonts w:asciiTheme="majorHAnsi" w:eastAsiaTheme="majorEastAsia" w:hAnsiTheme="majorHAnsi" w:cstheme="majorBidi"/>
      <w:spacing w:val="-10"/>
      <w:kern w:val="28"/>
      <w:sz w:val="56"/>
      <w:szCs w:val="56"/>
      <w:lang w:eastAsia="en-US"/>
    </w:rPr>
  </w:style>
  <w:style w:type="character" w:customStyle="1" w:styleId="FontStyle38">
    <w:name w:val="Font Style38"/>
    <w:rsid w:val="007A46A3"/>
    <w:rPr>
      <w:rFonts w:ascii="Times New Roman" w:hAnsi="Times New Roman" w:cs="Times New Roman"/>
      <w:b/>
      <w:bCs/>
      <w:sz w:val="16"/>
      <w:szCs w:val="16"/>
    </w:rPr>
  </w:style>
  <w:style w:type="paragraph" w:customStyle="1" w:styleId="Style3">
    <w:name w:val="Style3"/>
    <w:basedOn w:val="Normal"/>
    <w:rsid w:val="007A46A3"/>
    <w:pPr>
      <w:widowControl w:val="0"/>
      <w:autoSpaceDE w:val="0"/>
      <w:autoSpaceDN w:val="0"/>
      <w:adjustRightInd w:val="0"/>
      <w:spacing w:line="212" w:lineRule="exact"/>
      <w:ind w:firstLine="504"/>
      <w:jc w:val="both"/>
    </w:pPr>
    <w:rPr>
      <w:rFonts w:ascii="Times New Roman" w:eastAsia="Times New Roman" w:hAnsi="Times New Roman"/>
      <w:lang w:eastAsia="tr-TR"/>
    </w:rPr>
  </w:style>
  <w:style w:type="character" w:customStyle="1" w:styleId="fontstyle361">
    <w:name w:val="fontstyle361"/>
    <w:rsid w:val="007A46A3"/>
    <w:rPr>
      <w:rFonts w:ascii="Times New Roman" w:hAnsi="Times New Roman" w:cs="Times New Roman" w:hint="default"/>
    </w:rPr>
  </w:style>
  <w:style w:type="paragraph" w:customStyle="1" w:styleId="style51">
    <w:name w:val="style51"/>
    <w:basedOn w:val="Normal"/>
    <w:rsid w:val="007A46A3"/>
    <w:pPr>
      <w:autoSpaceDE w:val="0"/>
      <w:autoSpaceDN w:val="0"/>
    </w:pPr>
    <w:rPr>
      <w:rFonts w:ascii="Times New Roman" w:eastAsia="Times New Roman" w:hAnsi="Times New Roman"/>
      <w:lang w:eastAsia="tr-TR"/>
    </w:rPr>
  </w:style>
  <w:style w:type="paragraph" w:customStyle="1" w:styleId="Style4">
    <w:name w:val="Style4"/>
    <w:basedOn w:val="Normal"/>
    <w:rsid w:val="007A46A3"/>
    <w:pPr>
      <w:widowControl w:val="0"/>
      <w:autoSpaceDE w:val="0"/>
      <w:autoSpaceDN w:val="0"/>
      <w:adjustRightInd w:val="0"/>
      <w:spacing w:line="230" w:lineRule="exact"/>
      <w:jc w:val="both"/>
    </w:pPr>
    <w:rPr>
      <w:rFonts w:ascii="Times New Roman" w:eastAsia="Times New Roman" w:hAnsi="Times New Roman"/>
      <w:lang w:eastAsia="tr-TR"/>
    </w:rPr>
  </w:style>
  <w:style w:type="paragraph" w:customStyle="1" w:styleId="maddebasl">
    <w:name w:val="maddebasl"/>
    <w:basedOn w:val="Normal"/>
    <w:rsid w:val="007A46A3"/>
    <w:pPr>
      <w:spacing w:before="113"/>
    </w:pPr>
    <w:rPr>
      <w:rFonts w:ascii="New York" w:eastAsia="Times New Roman" w:hAnsi="New York"/>
      <w:i/>
      <w:iCs/>
      <w:sz w:val="18"/>
      <w:szCs w:val="18"/>
      <w:lang w:eastAsia="tr-TR"/>
    </w:rPr>
  </w:style>
  <w:style w:type="paragraph" w:customStyle="1" w:styleId="nor9">
    <w:name w:val="nor9"/>
    <w:basedOn w:val="Normal"/>
    <w:rsid w:val="007A46A3"/>
    <w:pPr>
      <w:spacing w:line="360" w:lineRule="atLeast"/>
      <w:jc w:val="both"/>
    </w:pPr>
    <w:rPr>
      <w:rFonts w:ascii="New York" w:eastAsia="Times New Roman" w:hAnsi="New York"/>
      <w:sz w:val="18"/>
      <w:szCs w:val="18"/>
      <w:lang w:eastAsia="tr-TR"/>
    </w:rPr>
  </w:style>
  <w:style w:type="paragraph" w:customStyle="1" w:styleId="a1">
    <w:basedOn w:val="Normal"/>
    <w:next w:val="stBilgi"/>
    <w:uiPriority w:val="99"/>
    <w:unhideWhenUsed/>
    <w:rsid w:val="00D73A06"/>
    <w:pPr>
      <w:pBdr>
        <w:top w:val="nil"/>
        <w:left w:val="nil"/>
        <w:bottom w:val="nil"/>
        <w:right w:val="nil"/>
        <w:between w:val="nil"/>
        <w:bar w:val="nil"/>
      </w:pBdr>
      <w:tabs>
        <w:tab w:val="center" w:pos="4536"/>
        <w:tab w:val="right" w:pos="9072"/>
      </w:tabs>
    </w:pPr>
    <w:rPr>
      <w:rFonts w:cs="Calibri"/>
      <w:color w:val="000000"/>
      <w:u w:color="000000"/>
      <w:bdr w:val="nil"/>
      <w:lang w:eastAsia="tr-TR"/>
    </w:rPr>
  </w:style>
  <w:style w:type="table" w:customStyle="1" w:styleId="TableNormal">
    <w:name w:val="Table Normal"/>
    <w:rsid w:val="00D73A06"/>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HeaderFooter">
    <w:name w:val="Header &amp; Footer"/>
    <w:rsid w:val="00D73A0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1">
    <w:name w:val="Imported Style 1"/>
    <w:rsid w:val="00D73A06"/>
    <w:pPr>
      <w:numPr>
        <w:numId w:val="6"/>
      </w:numPr>
    </w:pPr>
  </w:style>
  <w:style w:type="paragraph" w:customStyle="1" w:styleId="1">
    <w:name w:val="1"/>
    <w:basedOn w:val="Normal"/>
    <w:rsid w:val="00D73A06"/>
    <w:pPr>
      <w:spacing w:after="160" w:line="240" w:lineRule="exact"/>
    </w:pPr>
    <w:rPr>
      <w:rFonts w:ascii="Verdana" w:eastAsia="Times New Roman" w:hAnsi="Verdana"/>
      <w:sz w:val="20"/>
      <w:szCs w:val="20"/>
      <w:u w:color="000000"/>
      <w:lang w:val="en-US"/>
    </w:rPr>
  </w:style>
  <w:style w:type="character" w:customStyle="1" w:styleId="AltbilgiChar10">
    <w:name w:val="Altbilgi Char1"/>
    <w:uiPriority w:val="99"/>
    <w:rsid w:val="00D73A06"/>
    <w:rPr>
      <w:rFonts w:ascii="Times New Roman" w:eastAsia="Times New Roman" w:hAnsi="Times New Roman"/>
      <w:u w:color="000000"/>
    </w:rPr>
  </w:style>
  <w:style w:type="paragraph" w:styleId="AklamaMetni">
    <w:name w:val="annotation text"/>
    <w:basedOn w:val="Normal"/>
    <w:link w:val="AklamaMetniChar"/>
    <w:semiHidden/>
    <w:unhideWhenUsed/>
    <w:rsid w:val="008E1203"/>
    <w:pPr>
      <w:spacing w:after="160" w:line="259" w:lineRule="auto"/>
    </w:pPr>
    <w:rPr>
      <w:rFonts w:ascii="Times New Roman" w:hAnsi="Times New Roman"/>
      <w:sz w:val="20"/>
      <w:szCs w:val="20"/>
    </w:rPr>
  </w:style>
  <w:style w:type="character" w:customStyle="1" w:styleId="AklamaMetniChar">
    <w:name w:val="Açıklama Metni Char"/>
    <w:basedOn w:val="VarsaylanParagrafYazTipi"/>
    <w:link w:val="AklamaMetni"/>
    <w:semiHidden/>
    <w:rsid w:val="008E1203"/>
    <w:rPr>
      <w:rFonts w:ascii="Times New Roman" w:hAnsi="Times New Roman"/>
      <w:sz w:val="20"/>
      <w:szCs w:val="20"/>
      <w:lang w:eastAsia="en-US"/>
    </w:rPr>
  </w:style>
  <w:style w:type="character" w:customStyle="1" w:styleId="highlighted">
    <w:name w:val="highlighted"/>
    <w:basedOn w:val="VarsaylanParagrafYazTipi"/>
    <w:rsid w:val="008E1203"/>
  </w:style>
  <w:style w:type="paragraph" w:customStyle="1" w:styleId="3-NormalYaz">
    <w:name w:val="3-Normal Yazı"/>
    <w:rsid w:val="008E1203"/>
    <w:pPr>
      <w:tabs>
        <w:tab w:val="left" w:pos="566"/>
      </w:tabs>
      <w:jc w:val="both"/>
    </w:pPr>
    <w:rPr>
      <w:rFonts w:ascii="Times New Roman" w:eastAsia="Times New Roman" w:hAnsi="Times New Roman"/>
      <w:sz w:val="19"/>
      <w:szCs w:val="20"/>
      <w:lang w:eastAsia="en-US"/>
    </w:rPr>
  </w:style>
  <w:style w:type="paragraph" w:customStyle="1" w:styleId="Metin">
    <w:name w:val="Metin"/>
    <w:rsid w:val="008E1203"/>
    <w:pPr>
      <w:tabs>
        <w:tab w:val="left" w:pos="566"/>
      </w:tabs>
      <w:ind w:firstLine="566"/>
      <w:jc w:val="both"/>
    </w:pPr>
    <w:rPr>
      <w:rFonts w:ascii="Times New Roman" w:eastAsia="Times New Roman" w:hAnsi="Times New Roman"/>
      <w:sz w:val="19"/>
      <w:szCs w:val="20"/>
    </w:rPr>
  </w:style>
  <w:style w:type="paragraph" w:customStyle="1" w:styleId="kantab7">
    <w:name w:val="kantab7"/>
    <w:basedOn w:val="Normal"/>
    <w:rsid w:val="008E1203"/>
    <w:pPr>
      <w:jc w:val="both"/>
    </w:pPr>
    <w:rPr>
      <w:rFonts w:ascii="New York" w:eastAsia="Arial Unicode MS" w:hAnsi="New York" w:cs="Arial Unicode MS"/>
      <w:b/>
      <w:bCs/>
      <w:sz w:val="22"/>
      <w:szCs w:val="22"/>
      <w:lang w:eastAsia="tr-TR"/>
    </w:rPr>
  </w:style>
  <w:style w:type="paragraph" w:customStyle="1" w:styleId="a2">
    <w:basedOn w:val="Normal"/>
    <w:next w:val="AltBilgi"/>
    <w:uiPriority w:val="99"/>
    <w:rsid w:val="008E1203"/>
    <w:pPr>
      <w:tabs>
        <w:tab w:val="center" w:pos="4536"/>
        <w:tab w:val="right" w:pos="9072"/>
      </w:tabs>
    </w:pPr>
    <w:rPr>
      <w:rFonts w:ascii="Times New Roman" w:eastAsia="Times New Roman" w:hAnsi="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6891">
      <w:bodyDiv w:val="1"/>
      <w:marLeft w:val="0"/>
      <w:marRight w:val="0"/>
      <w:marTop w:val="0"/>
      <w:marBottom w:val="0"/>
      <w:divBdr>
        <w:top w:val="none" w:sz="0" w:space="0" w:color="auto"/>
        <w:left w:val="none" w:sz="0" w:space="0" w:color="auto"/>
        <w:bottom w:val="none" w:sz="0" w:space="0" w:color="auto"/>
        <w:right w:val="none" w:sz="0" w:space="0" w:color="auto"/>
      </w:divBdr>
    </w:div>
    <w:div w:id="835414533">
      <w:marLeft w:val="0"/>
      <w:marRight w:val="0"/>
      <w:marTop w:val="0"/>
      <w:marBottom w:val="0"/>
      <w:divBdr>
        <w:top w:val="none" w:sz="0" w:space="0" w:color="auto"/>
        <w:left w:val="none" w:sz="0" w:space="0" w:color="auto"/>
        <w:bottom w:val="none" w:sz="0" w:space="0" w:color="auto"/>
        <w:right w:val="none" w:sz="0" w:space="0" w:color="auto"/>
      </w:divBdr>
    </w:div>
    <w:div w:id="848527264">
      <w:bodyDiv w:val="1"/>
      <w:marLeft w:val="0"/>
      <w:marRight w:val="0"/>
      <w:marTop w:val="0"/>
      <w:marBottom w:val="0"/>
      <w:divBdr>
        <w:top w:val="none" w:sz="0" w:space="0" w:color="auto"/>
        <w:left w:val="none" w:sz="0" w:space="0" w:color="auto"/>
        <w:bottom w:val="none" w:sz="0" w:space="0" w:color="auto"/>
        <w:right w:val="none" w:sz="0" w:space="0" w:color="auto"/>
      </w:divBdr>
    </w:div>
    <w:div w:id="854731977">
      <w:bodyDiv w:val="1"/>
      <w:marLeft w:val="0"/>
      <w:marRight w:val="0"/>
      <w:marTop w:val="0"/>
      <w:marBottom w:val="0"/>
      <w:divBdr>
        <w:top w:val="none" w:sz="0" w:space="0" w:color="auto"/>
        <w:left w:val="none" w:sz="0" w:space="0" w:color="auto"/>
        <w:bottom w:val="none" w:sz="0" w:space="0" w:color="auto"/>
        <w:right w:val="none" w:sz="0" w:space="0" w:color="auto"/>
      </w:divBdr>
    </w:div>
    <w:div w:id="1089735067">
      <w:bodyDiv w:val="1"/>
      <w:marLeft w:val="0"/>
      <w:marRight w:val="0"/>
      <w:marTop w:val="0"/>
      <w:marBottom w:val="0"/>
      <w:divBdr>
        <w:top w:val="none" w:sz="0" w:space="0" w:color="auto"/>
        <w:left w:val="none" w:sz="0" w:space="0" w:color="auto"/>
        <w:bottom w:val="none" w:sz="0" w:space="0" w:color="auto"/>
        <w:right w:val="none" w:sz="0" w:space="0" w:color="auto"/>
      </w:divBdr>
    </w:div>
    <w:div w:id="1842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download/article-file/2359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E68D-A6C3-4F5F-94F4-A605279F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8088</Words>
  <Characters>46106</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
  <LinksUpToDate>false</LinksUpToDate>
  <CharactersWithSpaces>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Microsoft Office Kullanıcısı</dc:creator>
  <cp:keywords/>
  <dc:description/>
  <cp:lastModifiedBy>Şamil EŞSİZ</cp:lastModifiedBy>
  <cp:revision>2</cp:revision>
  <dcterms:created xsi:type="dcterms:W3CDTF">2023-12-05T11:12:00Z</dcterms:created>
  <dcterms:modified xsi:type="dcterms:W3CDTF">2023-12-05T11:12:00Z</dcterms:modified>
</cp:coreProperties>
</file>