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E1203" w:rsidRPr="001162EF" w:rsidRDefault="00AA59C4"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w:t>
      </w:r>
      <w:r w:rsidR="008E1203" w:rsidRPr="001162EF">
        <w:rPr>
          <w:rFonts w:ascii="Times New Roman" w:hAnsi="Times New Roman"/>
          <w:color w:val="010000"/>
        </w:rPr>
        <w:t>...</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A. </w:t>
      </w:r>
      <w:bookmarkStart w:id="0" w:name="_GoBack"/>
      <w:bookmarkEnd w:id="0"/>
      <w:r w:rsidRPr="001162EF">
        <w:rPr>
          <w:rFonts w:ascii="Times New Roman" w:hAnsi="Times New Roman"/>
          <w:color w:val="010000"/>
        </w:rPr>
        <w:t>CUMHURBAŞKANLIĞI KARARNAMELERİNİN (CBK) ANAYASAL ÇERÇEVESİ</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21/1/2017 tarihli ve 6771 sayılı Türkiye Cumhuriyeti Anayasasında Değişiklik Yapılmasına Dair Kanun, 16 Nisan 2017 tarihli halkoylamasıyla kabul edilmiş, böylece daha önce 1982 Anayasasının sadece 107. maddesinde belirtilen Cumhurbaşkanlığı kararnamesi, Anayasanın farklı maddelerinde hem kapsamı genişletilerek hem de niteliği farklılaştırılarak yeniden düzenlenmiştir. 107. maddenin önceki halinde Cumhurbaşkanlığı Genel Sekreterliği</w:t>
      </w:r>
      <w:r w:rsidR="00AA59C4" w:rsidRPr="001162EF">
        <w:rPr>
          <w:rFonts w:ascii="Times New Roman" w:hAnsi="Times New Roman"/>
          <w:color w:val="010000"/>
        </w:rPr>
        <w:t>’</w:t>
      </w:r>
      <w:r w:rsidRPr="001162EF">
        <w:rPr>
          <w:rFonts w:ascii="Times New Roman" w:hAnsi="Times New Roman"/>
          <w:color w:val="010000"/>
        </w:rPr>
        <w:t>nin kuruluşu, çalışma esasları ve personel atama işlemlerinin Cumhurbaşkanlığı kararnamesiyle düzenleneceğini belirtiliyordu. Burada bir ad benzerliği dışında iki tür düzenlemenin kapsam ve sınırları açısından oldukça farklı olduğu kabul edilmelidir.</w:t>
      </w:r>
      <w:r w:rsidR="001162EF" w:rsidRPr="001162EF">
        <w:rPr>
          <w:rFonts w:ascii="Times New Roman" w:hAnsi="Times New Roman"/>
          <w:color w:val="010000"/>
        </w:rPr>
        <w:t xml:space="preserve">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6771 sayılı Anayasa Değişikliği Kanunu ile getirilen yeni tip Cumhurbaşkanlığı kararnamesinin temel ilke ve koşulları Anayasa</w:t>
      </w:r>
      <w:r w:rsidR="00AA59C4" w:rsidRPr="001162EF">
        <w:rPr>
          <w:rFonts w:ascii="Times New Roman" w:hAnsi="Times New Roman"/>
          <w:color w:val="010000"/>
        </w:rPr>
        <w:t>’</w:t>
      </w:r>
      <w:r w:rsidRPr="001162EF">
        <w:rPr>
          <w:rFonts w:ascii="Times New Roman" w:hAnsi="Times New Roman"/>
          <w:color w:val="010000"/>
        </w:rPr>
        <w:t>nın 104. maddesinin 17. fıkrasında ortaya konulmuştur.</w:t>
      </w:r>
      <w:r w:rsidR="001162EF" w:rsidRPr="001162EF">
        <w:rPr>
          <w:rFonts w:ascii="Times New Roman" w:hAnsi="Times New Roman"/>
          <w:color w:val="010000"/>
        </w:rPr>
        <w:t xml:space="preserve"> </w:t>
      </w:r>
    </w:p>
    <w:p w:rsidR="00385641" w:rsidRPr="001162EF" w:rsidRDefault="001162EF"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 </w:t>
      </w:r>
      <w:r w:rsidR="00AA59C4" w:rsidRPr="001162EF">
        <w:rPr>
          <w:rFonts w:ascii="Times New Roman" w:hAnsi="Times New Roman"/>
          <w:color w:val="010000"/>
        </w:rPr>
        <w:t>“</w:t>
      </w:r>
      <w:r w:rsidR="00385641" w:rsidRPr="001162EF">
        <w:rPr>
          <w:rFonts w:ascii="Times New Roman" w:hAnsi="Times New Roman"/>
          <w:color w:val="010000"/>
        </w:rPr>
        <w:t xml:space="preserve">Cumhurbaşkanı, yürütme yetkisine ilişkin konularda Cumhurbaşkanlığı kararnamesi çıkarabilir.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Anayasanın ikinci kısmının birinci ve ikinci bölümlerinde yer alan temel haklar, kişi hakları ve ödevleriyle dördüncü bölümde yer alan siyasi haklar ve ödevler Cumhurbaşkanlığı kararnamesiyle düzenlenemez.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Anayasada münhasıran kanunla düzenlenmesi öngörülen konularda Cumhurbaşkanlığı kararnamesi çıkarılamaz.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Kanunda açıkça düzenlenen konularda Cumhurbaşkanlığı kararnamesi çıkarılamaz.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Cumhurbaşkanlığı kararnamesi ile kanunlarda farklı hükümler bulunması halinde, kanun hükümleri uygulanır.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Türkiye Büyük Millet Meclisinin aynı konuda kanun çıkarması durumunda, Cumhurbaşkanlığı kararnamesi hükümsüz hale gelir.</w:t>
      </w:r>
      <w:r w:rsidR="00AA59C4" w:rsidRPr="001162EF">
        <w:rPr>
          <w:rFonts w:ascii="Times New Roman" w:hAnsi="Times New Roman"/>
          <w:color w:val="010000"/>
        </w:rPr>
        <w:t>”</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Anayasanın 106. maddenin 11. fıkrasına göre </w:t>
      </w:r>
      <w:proofErr w:type="gramStart"/>
      <w:r w:rsidRPr="001162EF">
        <w:rPr>
          <w:rFonts w:ascii="Times New Roman" w:hAnsi="Times New Roman"/>
          <w:color w:val="010000"/>
        </w:rPr>
        <w:t>de;</w:t>
      </w:r>
      <w:proofErr w:type="gramEnd"/>
      <w:r w:rsidRPr="001162EF">
        <w:rPr>
          <w:rFonts w:ascii="Times New Roman" w:hAnsi="Times New Roman"/>
          <w:color w:val="010000"/>
        </w:rPr>
        <w:t xml:space="preserve"> </w:t>
      </w:r>
      <w:r w:rsidR="00AA59C4" w:rsidRPr="001162EF">
        <w:rPr>
          <w:rFonts w:ascii="Times New Roman" w:hAnsi="Times New Roman"/>
          <w:color w:val="010000"/>
        </w:rPr>
        <w:t>“</w:t>
      </w:r>
      <w:r w:rsidRPr="001162EF">
        <w:rPr>
          <w:rFonts w:ascii="Times New Roman" w:hAnsi="Times New Roman"/>
          <w:color w:val="010000"/>
        </w:rPr>
        <w:t>Bakanlıkların kurulması, kaldırılması, görevleri ve yetkileri, teşkilat yapısı ile merkez ve taşra teşkilatlarının kurulması Cumhurbaşkanlığı kararnamesiyle düzenlenir.</w:t>
      </w:r>
      <w:r w:rsidR="00AA59C4" w:rsidRPr="001162EF">
        <w:rPr>
          <w:rFonts w:ascii="Times New Roman" w:hAnsi="Times New Roman"/>
          <w:color w:val="010000"/>
        </w:rPr>
        <w:t>”</w:t>
      </w:r>
      <w:r w:rsidRPr="001162EF">
        <w:rPr>
          <w:rFonts w:ascii="Times New Roman" w:hAnsi="Times New Roman"/>
          <w:color w:val="010000"/>
        </w:rPr>
        <w:t xml:space="preserve">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13 sayılı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nin</w:t>
      </w:r>
      <w:proofErr w:type="spellEnd"/>
      <w:r w:rsidRPr="001162EF">
        <w:rPr>
          <w:rFonts w:ascii="Times New Roman" w:hAnsi="Times New Roman"/>
          <w:color w:val="010000"/>
        </w:rPr>
        <w:t xml:space="preserve"> anayasaya uygunluk denetiminde, yukarıdaki hüküm yanında, Anayasa</w:t>
      </w:r>
      <w:r w:rsidR="00AA59C4" w:rsidRPr="001162EF">
        <w:rPr>
          <w:rFonts w:ascii="Times New Roman" w:hAnsi="Times New Roman"/>
          <w:color w:val="010000"/>
        </w:rPr>
        <w:t>’</w:t>
      </w:r>
      <w:r w:rsidRPr="001162EF">
        <w:rPr>
          <w:rFonts w:ascii="Times New Roman" w:hAnsi="Times New Roman"/>
          <w:color w:val="010000"/>
        </w:rPr>
        <w:t xml:space="preserve">da yer alan iki temel ilkenin daha göz önünde bulundurulması gerekir: yasama yetkisinin devri yasağı ve kanuni idare ilkesi.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6771 sayılı Kanun ile Anayasa</w:t>
      </w:r>
      <w:r w:rsidR="00AA59C4" w:rsidRPr="001162EF">
        <w:rPr>
          <w:rFonts w:ascii="Times New Roman" w:hAnsi="Times New Roman"/>
          <w:color w:val="010000"/>
        </w:rPr>
        <w:t>’</w:t>
      </w:r>
      <w:r w:rsidRPr="001162EF">
        <w:rPr>
          <w:rFonts w:ascii="Times New Roman" w:hAnsi="Times New Roman"/>
          <w:color w:val="010000"/>
        </w:rPr>
        <w:t>dan kaynaklanan doğrudan düzenleme yetkisiyle yürütme fonksiyonu daha da güçlendirilmiştir. Bu noktada Türk anayasa hukukunda tartışılan konulardan biri olan idarenin kanunla düzenlenmeyen bir alanda düzenleme yapıp yapamayacağı hususu üzerinde durulmalıdır. Bu noktada yasama yetkisinin devri yasağı göz önüne alınmalıdır. Anayasa</w:t>
      </w:r>
      <w:r w:rsidR="00AA59C4" w:rsidRPr="001162EF">
        <w:rPr>
          <w:rFonts w:ascii="Times New Roman" w:hAnsi="Times New Roman"/>
          <w:color w:val="010000"/>
        </w:rPr>
        <w:t>’</w:t>
      </w:r>
      <w:r w:rsidRPr="001162EF">
        <w:rPr>
          <w:rFonts w:ascii="Times New Roman" w:hAnsi="Times New Roman"/>
          <w:color w:val="010000"/>
        </w:rPr>
        <w:t xml:space="preserve">nın 7. maddesinde, </w:t>
      </w:r>
      <w:r w:rsidR="00AA59C4" w:rsidRPr="001162EF">
        <w:rPr>
          <w:rFonts w:ascii="Times New Roman" w:hAnsi="Times New Roman"/>
          <w:color w:val="010000"/>
        </w:rPr>
        <w:t>“</w:t>
      </w:r>
      <w:r w:rsidRPr="001162EF">
        <w:rPr>
          <w:rFonts w:ascii="Times New Roman" w:hAnsi="Times New Roman"/>
          <w:color w:val="010000"/>
        </w:rPr>
        <w:t xml:space="preserve">Yasama yetkisi Türk Milleti adına Türkiye </w:t>
      </w:r>
      <w:r w:rsidRPr="001162EF">
        <w:rPr>
          <w:rFonts w:ascii="Times New Roman" w:hAnsi="Times New Roman"/>
          <w:color w:val="010000"/>
        </w:rPr>
        <w:lastRenderedPageBreak/>
        <w:t>Büyük Millet Meclisinindir. Bu yetki devredilemez.</w:t>
      </w:r>
      <w:r w:rsidR="00AA59C4" w:rsidRPr="001162EF">
        <w:rPr>
          <w:rFonts w:ascii="Times New Roman" w:hAnsi="Times New Roman"/>
          <w:color w:val="010000"/>
        </w:rPr>
        <w:t>”</w:t>
      </w:r>
      <w:r w:rsidRPr="001162EF">
        <w:rPr>
          <w:rFonts w:ascii="Times New Roman" w:hAnsi="Times New Roman"/>
          <w:color w:val="010000"/>
        </w:rPr>
        <w:t xml:space="preserve"> denilmiştir. Buna göre, Anayasa</w:t>
      </w:r>
      <w:r w:rsidR="00AA59C4" w:rsidRPr="001162EF">
        <w:rPr>
          <w:rFonts w:ascii="Times New Roman" w:hAnsi="Times New Roman"/>
          <w:color w:val="010000"/>
        </w:rPr>
        <w:t>’</w:t>
      </w:r>
      <w:r w:rsidRPr="001162EF">
        <w:rPr>
          <w:rFonts w:ascii="Times New Roman" w:hAnsi="Times New Roman"/>
          <w:color w:val="010000"/>
        </w:rPr>
        <w:t>da kanun ile düzenlenmesi öngörülen konularda yürütme organına genel ve sınırları belirsiz bir düzenleme yetkisinin verilmesi olanaklı değildir.</w:t>
      </w:r>
      <w:r w:rsidR="001162EF" w:rsidRPr="001162EF">
        <w:rPr>
          <w:rFonts w:ascii="Times New Roman" w:hAnsi="Times New Roman"/>
          <w:color w:val="010000"/>
        </w:rPr>
        <w:t xml:space="preserve"> </w:t>
      </w:r>
      <w:r w:rsidRPr="001162EF">
        <w:rPr>
          <w:rFonts w:ascii="Times New Roman" w:hAnsi="Times New Roman"/>
          <w:color w:val="010000"/>
        </w:rPr>
        <w:t>Ancak yasama organının temel kuralları saptadıktan sonra, uzmanlık ve idare tekniğine ilişkin hususları yürütmeye bırakması, yasama yetkisinin devri olarak yorumlanamayacağı gibi yürütme organının yasama organı tarafından çerçevesi çizilmiş alanda genel nitelikte hukuksal tasarruflarda bulunması, hukuk devletinin belirlilik ilkesine de aykırı düşmez.</w:t>
      </w:r>
      <w:r w:rsidR="00AA59C4" w:rsidRPr="001162EF">
        <w:rPr>
          <w:rFonts w:ascii="Times New Roman" w:hAnsi="Times New Roman"/>
          <w:color w:val="010000"/>
        </w:rPr>
        <w:t>”</w:t>
      </w:r>
      <w:r w:rsidRPr="001162EF">
        <w:rPr>
          <w:rFonts w:ascii="Times New Roman" w:hAnsi="Times New Roman"/>
          <w:color w:val="010000"/>
        </w:rPr>
        <w:t xml:space="preserve"> (Anayasa Mahkemesi Kararı E.2013/114 K.2014/184, 4.12.2014)</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Mahkeme bir başka kararında ise yasama yetkisinin </w:t>
      </w:r>
      <w:proofErr w:type="spellStart"/>
      <w:r w:rsidRPr="001162EF">
        <w:rPr>
          <w:rFonts w:ascii="Times New Roman" w:hAnsi="Times New Roman"/>
          <w:color w:val="010000"/>
        </w:rPr>
        <w:t>devredilmezliği</w:t>
      </w:r>
      <w:proofErr w:type="spellEnd"/>
      <w:r w:rsidRPr="001162EF">
        <w:rPr>
          <w:rFonts w:ascii="Times New Roman" w:hAnsi="Times New Roman"/>
          <w:color w:val="010000"/>
        </w:rPr>
        <w:t xml:space="preserve"> ilkesini şu şekilde ifade etmiştir. </w:t>
      </w:r>
      <w:r w:rsidR="00AA59C4" w:rsidRPr="001162EF">
        <w:rPr>
          <w:rFonts w:ascii="Times New Roman" w:hAnsi="Times New Roman"/>
          <w:color w:val="010000"/>
        </w:rPr>
        <w:t>“</w:t>
      </w:r>
      <w:r w:rsidRPr="001162EF">
        <w:rPr>
          <w:rFonts w:ascii="Times New Roman" w:hAnsi="Times New Roman"/>
          <w:color w:val="010000"/>
        </w:rPr>
        <w:t xml:space="preserve">Anayasa Mahkemesinin pek çok kararında yasama yetkisinin </w:t>
      </w:r>
      <w:proofErr w:type="spellStart"/>
      <w:r w:rsidRPr="001162EF">
        <w:rPr>
          <w:rFonts w:ascii="Times New Roman" w:hAnsi="Times New Roman"/>
          <w:color w:val="010000"/>
        </w:rPr>
        <w:t>devredilmezliği</w:t>
      </w:r>
      <w:proofErr w:type="spellEnd"/>
      <w:r w:rsidRPr="001162EF">
        <w:rPr>
          <w:rFonts w:ascii="Times New Roman" w:hAnsi="Times New Roman"/>
          <w:color w:val="010000"/>
        </w:rPr>
        <w:t xml:space="preserve"> ilkesinden ne anlaşılması gerektiği hususu açıklanmıştır. Buna göre, kanunla düzenleme ilkesi, düzenlenen konudan yalnız kavram, ad ve kurum olarak söz edilmesi değil, bunların kanun metninde kurallaştırılmasıdır. Kurallaştırma ise düzenlenen alanda temel ilkelerin konulmasını ve çerçevenin çizilmiş olmasını ifade eder… Anayasa</w:t>
      </w:r>
      <w:r w:rsidR="00AA59C4" w:rsidRPr="001162EF">
        <w:rPr>
          <w:rFonts w:ascii="Times New Roman" w:hAnsi="Times New Roman"/>
          <w:color w:val="010000"/>
        </w:rPr>
        <w:t>’</w:t>
      </w:r>
      <w:r w:rsidRPr="001162EF">
        <w:rPr>
          <w:rFonts w:ascii="Times New Roman" w:hAnsi="Times New Roman"/>
          <w:color w:val="010000"/>
        </w:rPr>
        <w:t>da öngörülen ayrık durumlar dışında, kanunlarla düzenlenmemiş bir alanda, kanun ile yürütmeye genel nitelikte kural koyma yetkisi verilemez. Yürütme organına düzenleme yetkisi veren bir yasa kuralının Anayasa</w:t>
      </w:r>
      <w:r w:rsidR="00AA59C4" w:rsidRPr="001162EF">
        <w:rPr>
          <w:rFonts w:ascii="Times New Roman" w:hAnsi="Times New Roman"/>
          <w:color w:val="010000"/>
        </w:rPr>
        <w:t>’</w:t>
      </w:r>
      <w:r w:rsidRPr="001162EF">
        <w:rPr>
          <w:rFonts w:ascii="Times New Roman" w:hAnsi="Times New Roman"/>
          <w:color w:val="010000"/>
        </w:rPr>
        <w:t>nın 7. maddesine uygun olabilmesi için temel ilkeleri koyması, çerçeveyi çizmesi, sınırsız, belirsiz, geniş bir alanı yürütmenin düzenlemesine bırakmaması gerekir</w:t>
      </w:r>
      <w:r w:rsidR="00AA59C4" w:rsidRPr="001162EF">
        <w:rPr>
          <w:rFonts w:ascii="Times New Roman" w:hAnsi="Times New Roman"/>
          <w:color w:val="010000"/>
        </w:rPr>
        <w:t>”</w:t>
      </w:r>
      <w:r w:rsidRPr="001162EF">
        <w:rPr>
          <w:rFonts w:ascii="Times New Roman" w:hAnsi="Times New Roman"/>
          <w:color w:val="010000"/>
        </w:rPr>
        <w:t xml:space="preserve"> (Anayasa Mahkemesi Kararı E.2013/47 K.2013/72, 6/6/2013).</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Bununla beraber Anayasa Mahkemesi</w:t>
      </w:r>
      <w:r w:rsidR="00AA59C4" w:rsidRPr="001162EF">
        <w:rPr>
          <w:rFonts w:ascii="Times New Roman" w:hAnsi="Times New Roman"/>
          <w:color w:val="010000"/>
        </w:rPr>
        <w:t>’</w:t>
      </w:r>
      <w:r w:rsidRPr="001162EF">
        <w:rPr>
          <w:rFonts w:ascii="Times New Roman" w:hAnsi="Times New Roman"/>
          <w:color w:val="010000"/>
        </w:rPr>
        <w:t xml:space="preserve">nin daha yakın tarihli kararlarında bu içtihadı bir miktar esnettiği görülmektedir. </w:t>
      </w:r>
      <w:r w:rsidR="00AA59C4" w:rsidRPr="001162EF">
        <w:rPr>
          <w:rFonts w:ascii="Times New Roman" w:hAnsi="Times New Roman"/>
          <w:color w:val="010000"/>
        </w:rPr>
        <w:t>“</w:t>
      </w:r>
      <w:r w:rsidRPr="001162EF">
        <w:rPr>
          <w:rFonts w:ascii="Times New Roman" w:hAnsi="Times New Roman"/>
          <w:color w:val="010000"/>
        </w:rPr>
        <w:t xml:space="preserve">15… yasama yetkisinin </w:t>
      </w:r>
      <w:proofErr w:type="spellStart"/>
      <w:r w:rsidRPr="001162EF">
        <w:rPr>
          <w:rFonts w:ascii="Times New Roman" w:hAnsi="Times New Roman"/>
          <w:color w:val="010000"/>
        </w:rPr>
        <w:t>devredilmezliği</w:t>
      </w:r>
      <w:proofErr w:type="spellEnd"/>
      <w:r w:rsidRPr="001162EF">
        <w:rPr>
          <w:rFonts w:ascii="Times New Roman" w:hAnsi="Times New Roman"/>
          <w:color w:val="010000"/>
        </w:rPr>
        <w:t xml:space="preserve"> esasen kanun koyma yetkisinin TBMM dışında başka bir organca kullanılamaması anlamına gelmektedir. Anayasa</w:t>
      </w:r>
      <w:r w:rsidR="00AA59C4" w:rsidRPr="001162EF">
        <w:rPr>
          <w:rFonts w:ascii="Times New Roman" w:hAnsi="Times New Roman"/>
          <w:color w:val="010000"/>
        </w:rPr>
        <w:t>’</w:t>
      </w:r>
      <w:r w:rsidRPr="001162EF">
        <w:rPr>
          <w:rFonts w:ascii="Times New Roman" w:hAnsi="Times New Roman"/>
          <w:color w:val="010000"/>
        </w:rPr>
        <w:t xml:space="preserve">nın 7. maddesi ile yasaklanan husus, kanun yapma yetkisinin devredilmesi olup bu madde, yürütme organına hiçbir şekilde düzenleme yapma yetkisi verilemeyeceği anlamına gelmemektedir. Kanun koyucu, yasama yetkisinin genelliği ilkesi uyarınca bir konuyu doğrudan kanunla düzenleyebileceği gibi bu hususta düzenleme yapma yetkisini yürütme organına da </w:t>
      </w:r>
      <w:proofErr w:type="gramStart"/>
      <w:r w:rsidRPr="001162EF">
        <w:rPr>
          <w:rFonts w:ascii="Times New Roman" w:hAnsi="Times New Roman"/>
          <w:color w:val="010000"/>
        </w:rPr>
        <w:t>bırakabilir.(</w:t>
      </w:r>
      <w:proofErr w:type="gramEnd"/>
      <w:r w:rsidRPr="001162EF">
        <w:rPr>
          <w:rFonts w:ascii="Times New Roman" w:hAnsi="Times New Roman"/>
          <w:color w:val="010000"/>
        </w:rPr>
        <w:t>par. 15).</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Yürütmenin </w:t>
      </w:r>
      <w:proofErr w:type="spellStart"/>
      <w:r w:rsidRPr="001162EF">
        <w:rPr>
          <w:rFonts w:ascii="Times New Roman" w:hAnsi="Times New Roman"/>
          <w:color w:val="010000"/>
        </w:rPr>
        <w:t>türevselliği</w:t>
      </w:r>
      <w:proofErr w:type="spellEnd"/>
      <w:r w:rsidRPr="001162EF">
        <w:rPr>
          <w:rFonts w:ascii="Times New Roman" w:hAnsi="Times New Roman"/>
          <w:color w:val="010000"/>
        </w:rPr>
        <w:t xml:space="preserve"> ilkesi gereğince yürütme organının bir konuda düzenleme yapabilmesi için yasama organınca yetkilendirilmesi gerekmektedir. Kural olarak, kanun koyucunun genel ifadelerle yürütme organını yetkilendirmesi yeterli olmakla birlikte Anayasa</w:t>
      </w:r>
      <w:r w:rsidR="00AA59C4" w:rsidRPr="001162EF">
        <w:rPr>
          <w:rFonts w:ascii="Times New Roman" w:hAnsi="Times New Roman"/>
          <w:color w:val="010000"/>
        </w:rPr>
        <w:t>’</w:t>
      </w:r>
      <w:r w:rsidRPr="001162EF">
        <w:rPr>
          <w:rFonts w:ascii="Times New Roman" w:hAnsi="Times New Roman"/>
          <w:color w:val="010000"/>
        </w:rPr>
        <w:t xml:space="preserve">da kanunla düzenlenmesi öngörülen konularda genel ifadelerle yürütme organına düzenleme yapma yetkisi verilmesi, yasama yetkisinin </w:t>
      </w:r>
      <w:proofErr w:type="spellStart"/>
      <w:r w:rsidRPr="001162EF">
        <w:rPr>
          <w:rFonts w:ascii="Times New Roman" w:hAnsi="Times New Roman"/>
          <w:color w:val="010000"/>
        </w:rPr>
        <w:t>devredilmezliği</w:t>
      </w:r>
      <w:proofErr w:type="spellEnd"/>
      <w:r w:rsidRPr="001162EF">
        <w:rPr>
          <w:rFonts w:ascii="Times New Roman" w:hAnsi="Times New Roman"/>
          <w:color w:val="010000"/>
        </w:rPr>
        <w:t xml:space="preserve"> ilkesine aykırılık oluşturmaktadır. Bu nedenle Anayasa</w:t>
      </w:r>
      <w:r w:rsidR="00AA59C4" w:rsidRPr="001162EF">
        <w:rPr>
          <w:rFonts w:ascii="Times New Roman" w:hAnsi="Times New Roman"/>
          <w:color w:val="010000"/>
        </w:rPr>
        <w:t>’</w:t>
      </w:r>
      <w:r w:rsidRPr="001162EF">
        <w:rPr>
          <w:rFonts w:ascii="Times New Roman" w:hAnsi="Times New Roman"/>
          <w:color w:val="010000"/>
        </w:rPr>
        <w:t>da temel hak ve özgürlüklerin sınırlandırılması, vergi ve benzeri mali yükümlülüklerin konması ve memurların atanmaları, özlük hakları gibi münhasıran kanunla düzenlenmesi öngörülen konularda, kanunun temel esasları, ilkeleri ve çerçeveyi belirlemiş olması gerekmektedir. Anayasa koyucunun açıkça kanunla düzenlenmesini öngördüğü konularda, yasama organının temel kuralları saptadıktan sonra, uzmanlık ve idare tekniğine ilişkin hususları yürütmeye bırakması, yasama yetkisinin devri olarak yorumlanamaz.</w:t>
      </w:r>
      <w:r w:rsidR="00AA59C4" w:rsidRPr="001162EF">
        <w:rPr>
          <w:rFonts w:ascii="Times New Roman" w:hAnsi="Times New Roman"/>
          <w:color w:val="010000"/>
        </w:rPr>
        <w:t>”</w:t>
      </w:r>
      <w:r w:rsidRPr="001162EF">
        <w:rPr>
          <w:rFonts w:ascii="Times New Roman" w:hAnsi="Times New Roman"/>
          <w:color w:val="010000"/>
        </w:rPr>
        <w:t xml:space="preserve"> (</w:t>
      </w:r>
      <w:proofErr w:type="gramStart"/>
      <w:r w:rsidRPr="001162EF">
        <w:rPr>
          <w:rFonts w:ascii="Times New Roman" w:hAnsi="Times New Roman"/>
          <w:color w:val="010000"/>
        </w:rPr>
        <w:t>par</w:t>
      </w:r>
      <w:proofErr w:type="gramEnd"/>
      <w:r w:rsidRPr="001162EF">
        <w:rPr>
          <w:rFonts w:ascii="Times New Roman" w:hAnsi="Times New Roman"/>
          <w:color w:val="010000"/>
        </w:rPr>
        <w:t xml:space="preserve">. 16). (Anayasa Mahkemesi Kararı E.2017/143 K.2018/40, 2/5/2018).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Neticede sadece yakın dönem Anayasa Mahkemesi kararları dikkate alındığında, ilkesel olarak kanun koyucunun </w:t>
      </w:r>
      <w:r w:rsidR="00AA59C4" w:rsidRPr="001162EF">
        <w:rPr>
          <w:rFonts w:ascii="Times New Roman" w:hAnsi="Times New Roman"/>
          <w:color w:val="010000"/>
        </w:rPr>
        <w:t>“</w:t>
      </w:r>
      <w:r w:rsidRPr="001162EF">
        <w:rPr>
          <w:rFonts w:ascii="Times New Roman" w:hAnsi="Times New Roman"/>
          <w:color w:val="010000"/>
        </w:rPr>
        <w:t xml:space="preserve">genel ifadelerle yürütme organını yetkilendirmesi </w:t>
      </w:r>
      <w:proofErr w:type="spellStart"/>
      <w:r w:rsidRPr="001162EF">
        <w:rPr>
          <w:rFonts w:ascii="Times New Roman" w:hAnsi="Times New Roman"/>
          <w:color w:val="010000"/>
        </w:rPr>
        <w:t>yeterli</w:t>
      </w:r>
      <w:r w:rsidR="00AA59C4" w:rsidRPr="001162EF">
        <w:rPr>
          <w:rFonts w:ascii="Times New Roman" w:hAnsi="Times New Roman"/>
          <w:color w:val="010000"/>
        </w:rPr>
        <w:t>”</w:t>
      </w:r>
      <w:r w:rsidRPr="001162EF">
        <w:rPr>
          <w:rFonts w:ascii="Times New Roman" w:hAnsi="Times New Roman"/>
          <w:color w:val="010000"/>
        </w:rPr>
        <w:t>dir</w:t>
      </w:r>
      <w:proofErr w:type="spellEnd"/>
      <w:r w:rsidRPr="001162EF">
        <w:rPr>
          <w:rFonts w:ascii="Times New Roman" w:hAnsi="Times New Roman"/>
          <w:color w:val="010000"/>
        </w:rPr>
        <w:t>, denilebilir. Ancak Mahkemenin Anayasa</w:t>
      </w:r>
      <w:r w:rsidR="00AA59C4" w:rsidRPr="001162EF">
        <w:rPr>
          <w:rFonts w:ascii="Times New Roman" w:hAnsi="Times New Roman"/>
          <w:color w:val="010000"/>
        </w:rPr>
        <w:t>’</w:t>
      </w:r>
      <w:r w:rsidRPr="001162EF">
        <w:rPr>
          <w:rFonts w:ascii="Times New Roman" w:hAnsi="Times New Roman"/>
          <w:color w:val="010000"/>
        </w:rPr>
        <w:t xml:space="preserve">da farklı kavramlarla ifade ettiği kanunla düzenleme kaydı içeren konularda ise </w:t>
      </w:r>
      <w:r w:rsidR="00AA59C4" w:rsidRPr="001162EF">
        <w:rPr>
          <w:rFonts w:ascii="Times New Roman" w:hAnsi="Times New Roman"/>
          <w:color w:val="010000"/>
        </w:rPr>
        <w:t>“</w:t>
      </w:r>
      <w:r w:rsidRPr="001162EF">
        <w:rPr>
          <w:rFonts w:ascii="Times New Roman" w:hAnsi="Times New Roman"/>
          <w:color w:val="010000"/>
        </w:rPr>
        <w:t>Anayasa</w:t>
      </w:r>
      <w:r w:rsidR="00AA59C4" w:rsidRPr="001162EF">
        <w:rPr>
          <w:rFonts w:ascii="Times New Roman" w:hAnsi="Times New Roman"/>
          <w:color w:val="010000"/>
        </w:rPr>
        <w:t>’</w:t>
      </w:r>
      <w:r w:rsidRPr="001162EF">
        <w:rPr>
          <w:rFonts w:ascii="Times New Roman" w:hAnsi="Times New Roman"/>
          <w:color w:val="010000"/>
        </w:rPr>
        <w:t>da kanunla düzenlenmesi öngörülen konularda</w:t>
      </w:r>
      <w:r w:rsidR="00AA59C4" w:rsidRPr="001162EF">
        <w:rPr>
          <w:rFonts w:ascii="Times New Roman" w:hAnsi="Times New Roman"/>
          <w:color w:val="010000"/>
        </w:rPr>
        <w:t>”</w:t>
      </w:r>
      <w:r w:rsidRPr="001162EF">
        <w:rPr>
          <w:rFonts w:ascii="Times New Roman" w:hAnsi="Times New Roman"/>
          <w:color w:val="010000"/>
        </w:rPr>
        <w:t xml:space="preserve">, </w:t>
      </w:r>
      <w:r w:rsidR="00AA59C4" w:rsidRPr="001162EF">
        <w:rPr>
          <w:rFonts w:ascii="Times New Roman" w:hAnsi="Times New Roman"/>
          <w:color w:val="010000"/>
        </w:rPr>
        <w:t>“</w:t>
      </w:r>
      <w:r w:rsidRPr="001162EF">
        <w:rPr>
          <w:rFonts w:ascii="Times New Roman" w:hAnsi="Times New Roman"/>
          <w:color w:val="010000"/>
        </w:rPr>
        <w:t>münhasıran kanunla düzenlenmesi öngörülen konularda</w:t>
      </w:r>
      <w:r w:rsidR="00AA59C4" w:rsidRPr="001162EF">
        <w:rPr>
          <w:rFonts w:ascii="Times New Roman" w:hAnsi="Times New Roman"/>
          <w:color w:val="010000"/>
        </w:rPr>
        <w:t>”</w:t>
      </w:r>
      <w:r w:rsidRPr="001162EF">
        <w:rPr>
          <w:rFonts w:ascii="Times New Roman" w:hAnsi="Times New Roman"/>
          <w:color w:val="010000"/>
        </w:rPr>
        <w:t xml:space="preserve">, </w:t>
      </w:r>
      <w:r w:rsidR="00AA59C4" w:rsidRPr="001162EF">
        <w:rPr>
          <w:rFonts w:ascii="Times New Roman" w:hAnsi="Times New Roman"/>
          <w:color w:val="010000"/>
        </w:rPr>
        <w:t>“</w:t>
      </w:r>
      <w:r w:rsidRPr="001162EF">
        <w:rPr>
          <w:rFonts w:ascii="Times New Roman" w:hAnsi="Times New Roman"/>
          <w:color w:val="010000"/>
        </w:rPr>
        <w:t xml:space="preserve">Anayasa koyucunun açıkça </w:t>
      </w:r>
      <w:r w:rsidRPr="001162EF">
        <w:rPr>
          <w:rFonts w:ascii="Times New Roman" w:hAnsi="Times New Roman"/>
          <w:color w:val="010000"/>
        </w:rPr>
        <w:lastRenderedPageBreak/>
        <w:t>kanunla düzenlenmesini öngördüğü konularda</w:t>
      </w:r>
      <w:r w:rsidR="00AA59C4" w:rsidRPr="001162EF">
        <w:rPr>
          <w:rFonts w:ascii="Times New Roman" w:hAnsi="Times New Roman"/>
          <w:color w:val="010000"/>
        </w:rPr>
        <w:t>”</w:t>
      </w:r>
      <w:r w:rsidRPr="001162EF">
        <w:rPr>
          <w:rFonts w:ascii="Times New Roman" w:hAnsi="Times New Roman"/>
          <w:color w:val="010000"/>
        </w:rPr>
        <w:t xml:space="preserve"> genel ifadelerle yetkilendirme yapılması kabul edilemez.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Öte yandan yasal idare ilkesi, Ülkemizde idare hukukunun temelini oluşturur. Anayasanın 123/1. maddesinde karşılığını bulan bu ilke uyarınca </w:t>
      </w:r>
      <w:r w:rsidR="00AA59C4" w:rsidRPr="001162EF">
        <w:rPr>
          <w:rFonts w:ascii="Times New Roman" w:hAnsi="Times New Roman"/>
          <w:color w:val="010000"/>
        </w:rPr>
        <w:t>“</w:t>
      </w:r>
      <w:r w:rsidRPr="001162EF">
        <w:rPr>
          <w:rFonts w:ascii="Times New Roman" w:hAnsi="Times New Roman"/>
          <w:color w:val="010000"/>
        </w:rPr>
        <w:t>İdare, kuruluş ve görevleriyle bir bütündür ve kanunla düzenlenir.</w:t>
      </w:r>
      <w:r w:rsidR="00AA59C4" w:rsidRPr="001162EF">
        <w:rPr>
          <w:rFonts w:ascii="Times New Roman" w:hAnsi="Times New Roman"/>
          <w:color w:val="010000"/>
        </w:rPr>
        <w:t>”</w:t>
      </w:r>
      <w:r w:rsidRPr="001162EF">
        <w:rPr>
          <w:rFonts w:ascii="Times New Roman" w:hAnsi="Times New Roman"/>
          <w:color w:val="010000"/>
        </w:rPr>
        <w:t xml:space="preserve"> Bu ilke idarenin kendiliğinden bir teşkilatlanma yetkisi olmadığını bu yetkinin yasama organında olduğunu ifade etmektedir. Anayasa Mahkemesi</w:t>
      </w:r>
      <w:r w:rsidR="00AA59C4" w:rsidRPr="001162EF">
        <w:rPr>
          <w:rFonts w:ascii="Times New Roman" w:hAnsi="Times New Roman"/>
          <w:color w:val="010000"/>
        </w:rPr>
        <w:t>’</w:t>
      </w:r>
      <w:r w:rsidRPr="001162EF">
        <w:rPr>
          <w:rFonts w:ascii="Times New Roman" w:hAnsi="Times New Roman"/>
          <w:color w:val="010000"/>
        </w:rPr>
        <w:t xml:space="preserve">ne göre </w:t>
      </w:r>
      <w:r w:rsidR="00AA59C4" w:rsidRPr="001162EF">
        <w:rPr>
          <w:rFonts w:ascii="Times New Roman" w:hAnsi="Times New Roman"/>
          <w:color w:val="010000"/>
        </w:rPr>
        <w:t>“</w:t>
      </w:r>
      <w:r w:rsidRPr="001162EF">
        <w:rPr>
          <w:rFonts w:ascii="Times New Roman" w:hAnsi="Times New Roman"/>
          <w:color w:val="010000"/>
        </w:rPr>
        <w:t>Bu maddede yer alan düzenleme, idarenin kanuniliği ilkesine vücut vermektedir. İdarenin kanuniliği ilkesi, idarenin ve organlarının görev ve yetkilerinin kanunla düzenlenmesini gerekli kılar.</w:t>
      </w:r>
      <w:r w:rsidR="00AA59C4" w:rsidRPr="001162EF">
        <w:rPr>
          <w:rFonts w:ascii="Times New Roman" w:hAnsi="Times New Roman"/>
          <w:color w:val="010000"/>
        </w:rPr>
        <w:t>”</w:t>
      </w:r>
      <w:r w:rsidRPr="001162EF">
        <w:rPr>
          <w:rFonts w:ascii="Times New Roman" w:hAnsi="Times New Roman"/>
          <w:color w:val="010000"/>
        </w:rPr>
        <w:t xml:space="preserve"> (Anayasa Mahkemesi Kararı E.2013/114 K.2014/184, 4.12.2014). Bu ilkeyle kamusal kaynakların toplumun hangi tür gereksinimlerinin öncelikle karşılanacağını ve bunun hangi usuller uygulanarak sağlanacağını tespit etme yetkisini yasama organına verir. Ayrıca idarenin toplumsal gereksinimleri karşılarken kamu gücü ve ayrıcalıklarını kullanması ve bunun da kişilerin temel hak ve hürriyetleri üzerinde olumsuz etkiler de doğurabilmesi bu yetkinin yasamaya verilmesi sonucunu getirmiştir.</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Yasal idare ilkesi, idarenin eylem ve işlemlerinin hem</w:t>
      </w:r>
      <w:r w:rsidR="001162EF" w:rsidRPr="001162EF">
        <w:rPr>
          <w:rFonts w:ascii="Times New Roman" w:hAnsi="Times New Roman"/>
          <w:color w:val="010000"/>
        </w:rPr>
        <w:t xml:space="preserve"> </w:t>
      </w:r>
      <w:r w:rsidRPr="001162EF">
        <w:rPr>
          <w:rFonts w:ascii="Times New Roman" w:hAnsi="Times New Roman"/>
          <w:color w:val="010000"/>
        </w:rPr>
        <w:t xml:space="preserve">kanuna </w:t>
      </w:r>
      <w:proofErr w:type="gramStart"/>
      <w:r w:rsidRPr="001162EF">
        <w:rPr>
          <w:rFonts w:ascii="Times New Roman" w:hAnsi="Times New Roman"/>
          <w:color w:val="010000"/>
        </w:rPr>
        <w:t>dayanmasını,</w:t>
      </w:r>
      <w:proofErr w:type="gramEnd"/>
      <w:r w:rsidRPr="001162EF">
        <w:rPr>
          <w:rFonts w:ascii="Times New Roman" w:hAnsi="Times New Roman"/>
          <w:color w:val="010000"/>
        </w:rPr>
        <w:t xml:space="preserve"> hem de bu eylem ve işlemlerin</w:t>
      </w:r>
      <w:r w:rsidR="001162EF" w:rsidRPr="001162EF">
        <w:rPr>
          <w:rFonts w:ascii="Times New Roman" w:hAnsi="Times New Roman"/>
          <w:color w:val="010000"/>
        </w:rPr>
        <w:t xml:space="preserve"> </w:t>
      </w:r>
      <w:r w:rsidRPr="001162EF">
        <w:rPr>
          <w:rFonts w:ascii="Times New Roman" w:hAnsi="Times New Roman"/>
          <w:color w:val="010000"/>
        </w:rPr>
        <w:t xml:space="preserve">kanuna aykırı olmamasını ifade eder. Asli ve ilkel bir yetki olan yasama yetkisine dayanarak yasama organı, Anayasaya aykırı olmamak şartıyla, Anayasanın herhangi bir şekilde düzenlemediği bir konuyu düzenleyebilir. Ancak idare, önceden yasa ile düzenlenmeyen bir alanda faaliyette bulunamaz, böyle bir konuda yasadan aldığı bir yetkiye dayanarak bir işlem ve eylemde bulunabilir. 6771 sayılı Kanun öncesinde bunun iki istisnası olduğu kabul edilmekteydi: Biri Cumhurbaşkanının başkanlığındaki Bakanlar Kurulunun çıkardığı sıkıyönetim ve olağanüstü </w:t>
      </w:r>
      <w:proofErr w:type="gramStart"/>
      <w:r w:rsidRPr="001162EF">
        <w:rPr>
          <w:rFonts w:ascii="Times New Roman" w:hAnsi="Times New Roman"/>
          <w:color w:val="010000"/>
        </w:rPr>
        <w:t>hal</w:t>
      </w:r>
      <w:proofErr w:type="gramEnd"/>
      <w:r w:rsidRPr="001162EF">
        <w:rPr>
          <w:rFonts w:ascii="Times New Roman" w:hAnsi="Times New Roman"/>
          <w:color w:val="010000"/>
        </w:rPr>
        <w:t xml:space="preserve"> kanun hükmünde kararnameleri diğeri ise Cumhurbaşkanlığı Genel Sekreterliğinin kuruluş ve çalışma esaslarını düzenleyen Cumhurbaşkanlığı kararnamesi. Yasal idare ilkesinin bir diğer sonucu da idarenin eylem ve işlemlerinin kanuna uygun olmasıdır. Zaten Anayasa da 8. maddede </w:t>
      </w:r>
      <w:r w:rsidR="00AA59C4" w:rsidRPr="001162EF">
        <w:rPr>
          <w:rFonts w:ascii="Times New Roman" w:hAnsi="Times New Roman"/>
          <w:color w:val="010000"/>
        </w:rPr>
        <w:t>“</w:t>
      </w:r>
      <w:r w:rsidRPr="001162EF">
        <w:rPr>
          <w:rFonts w:ascii="Times New Roman" w:hAnsi="Times New Roman"/>
          <w:color w:val="010000"/>
        </w:rPr>
        <w:t>yürütme yetkisi ve görevi Anayasa ve</w:t>
      </w:r>
      <w:r w:rsidR="001162EF" w:rsidRPr="001162EF">
        <w:rPr>
          <w:rFonts w:ascii="Times New Roman" w:hAnsi="Times New Roman"/>
          <w:color w:val="010000"/>
        </w:rPr>
        <w:t xml:space="preserve"> </w:t>
      </w:r>
      <w:r w:rsidRPr="001162EF">
        <w:rPr>
          <w:rFonts w:ascii="Times New Roman" w:hAnsi="Times New Roman"/>
          <w:color w:val="010000"/>
        </w:rPr>
        <w:t>kanunlara uygun olarak</w:t>
      </w:r>
      <w:r w:rsidR="001162EF" w:rsidRPr="001162EF">
        <w:rPr>
          <w:rFonts w:ascii="Times New Roman" w:hAnsi="Times New Roman"/>
          <w:color w:val="010000"/>
        </w:rPr>
        <w:t xml:space="preserve"> </w:t>
      </w:r>
      <w:r w:rsidRPr="001162EF">
        <w:rPr>
          <w:rFonts w:ascii="Times New Roman" w:hAnsi="Times New Roman"/>
          <w:color w:val="010000"/>
        </w:rPr>
        <w:t>kullanılır ve yerine getirilir</w:t>
      </w:r>
      <w:r w:rsidR="00AA59C4" w:rsidRPr="001162EF">
        <w:rPr>
          <w:rFonts w:ascii="Times New Roman" w:hAnsi="Times New Roman"/>
          <w:color w:val="010000"/>
        </w:rPr>
        <w:t>”</w:t>
      </w:r>
      <w:r w:rsidRPr="001162EF">
        <w:rPr>
          <w:rFonts w:ascii="Times New Roman" w:hAnsi="Times New Roman"/>
          <w:color w:val="010000"/>
        </w:rPr>
        <w:t xml:space="preserve"> diyerek bu hususu belirtir (Bkz., Kemal Gözler, İdare Hukuku,</w:t>
      </w:r>
      <w:r w:rsidR="001162EF" w:rsidRPr="001162EF">
        <w:rPr>
          <w:rFonts w:ascii="Times New Roman" w:hAnsi="Times New Roman"/>
          <w:color w:val="010000"/>
        </w:rPr>
        <w:t xml:space="preserve"> </w:t>
      </w:r>
      <w:r w:rsidRPr="001162EF">
        <w:rPr>
          <w:rFonts w:ascii="Times New Roman" w:hAnsi="Times New Roman"/>
          <w:color w:val="010000"/>
        </w:rPr>
        <w:t>Bursa, Ekin Kitabevi Yayınları http://www.idare.gen.tr/idarehuk.htm).</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6771 sayılı Kanunla getirilen Cumhurbaşkanlığı kararnamesiyle, her ne kadar ciddi kısıtlılıklarla çerçevelenmiş olsa </w:t>
      </w:r>
      <w:proofErr w:type="gramStart"/>
      <w:r w:rsidRPr="001162EF">
        <w:rPr>
          <w:rFonts w:ascii="Times New Roman" w:hAnsi="Times New Roman"/>
          <w:color w:val="010000"/>
        </w:rPr>
        <w:t>da,</w:t>
      </w:r>
      <w:proofErr w:type="gramEnd"/>
      <w:r w:rsidRPr="001162EF">
        <w:rPr>
          <w:rFonts w:ascii="Times New Roman" w:hAnsi="Times New Roman"/>
          <w:color w:val="010000"/>
        </w:rPr>
        <w:t xml:space="preserve"> yürütme organı yasaya dayanmaksızın ilk elden kural koyma, yani asli düzenleme yetkisine sahip olmuştur. Başka bir ifadeyle, yasama organı yanında yürütme organı da Anayasa</w:t>
      </w:r>
      <w:r w:rsidR="00AA59C4" w:rsidRPr="001162EF">
        <w:rPr>
          <w:rFonts w:ascii="Times New Roman" w:hAnsi="Times New Roman"/>
          <w:color w:val="010000"/>
        </w:rPr>
        <w:t>’</w:t>
      </w:r>
      <w:r w:rsidRPr="001162EF">
        <w:rPr>
          <w:rFonts w:ascii="Times New Roman" w:hAnsi="Times New Roman"/>
          <w:color w:val="010000"/>
        </w:rPr>
        <w:t>da kanun kaydı olan, kanunun açıkça düzenlediği konuları içermemek ve kanunlara aykırı olmamak şartıyla Cumhurbaşkanlığı kararnamesiyle ilk elden düzenleme yapabilecektir. Ancak bu durum Fransa</w:t>
      </w:r>
      <w:r w:rsidR="00AA59C4" w:rsidRPr="001162EF">
        <w:rPr>
          <w:rFonts w:ascii="Times New Roman" w:hAnsi="Times New Roman"/>
          <w:color w:val="010000"/>
        </w:rPr>
        <w:t>’</w:t>
      </w:r>
      <w:r w:rsidRPr="001162EF">
        <w:rPr>
          <w:rFonts w:ascii="Times New Roman" w:hAnsi="Times New Roman"/>
          <w:color w:val="010000"/>
        </w:rPr>
        <w:t xml:space="preserve">da olduğu gibi yasama ve yürütmenin özerk düzenleme alanlarına sahip olduğu, yani her bir organın düzenleme yapacağı konuların açıkça sayıldığı, şeklinde anlaşılmamalıdır. Çünkü cumhurbaşkanlığı kararnamesine konu olan alan yasama konusu olmaktan çıkmamaktadır. TBMM isterse CBK ile düzenlenen bir alanda yasa çıkarabilir, buna bir engel bulunmamaktadır. </w:t>
      </w:r>
      <w:r w:rsidR="00AA59C4" w:rsidRPr="001162EF">
        <w:rPr>
          <w:rFonts w:ascii="Times New Roman" w:hAnsi="Times New Roman"/>
          <w:color w:val="010000"/>
        </w:rPr>
        <w:t>“</w:t>
      </w:r>
      <w:r w:rsidRPr="001162EF">
        <w:rPr>
          <w:rFonts w:ascii="Times New Roman" w:hAnsi="Times New Roman"/>
          <w:color w:val="010000"/>
        </w:rPr>
        <w:t>Türkiye Büyük Millet Meclisinin aynı konuda kanun çıkarması durumunda, Cumhurbaşkanlığı kararnamesi hükümsüz hale gelir.</w:t>
      </w:r>
      <w:r w:rsidR="00AA59C4" w:rsidRPr="001162EF">
        <w:rPr>
          <w:rFonts w:ascii="Times New Roman" w:hAnsi="Times New Roman"/>
          <w:color w:val="010000"/>
        </w:rPr>
        <w:t>”</w:t>
      </w:r>
      <w:r w:rsidRPr="001162EF">
        <w:rPr>
          <w:rFonts w:ascii="Times New Roman" w:hAnsi="Times New Roman"/>
          <w:color w:val="010000"/>
        </w:rPr>
        <w:t xml:space="preserve"> (</w:t>
      </w:r>
      <w:proofErr w:type="gramStart"/>
      <w:r w:rsidRPr="001162EF">
        <w:rPr>
          <w:rFonts w:ascii="Times New Roman" w:hAnsi="Times New Roman"/>
          <w:color w:val="010000"/>
        </w:rPr>
        <w:t>madde</w:t>
      </w:r>
      <w:proofErr w:type="gramEnd"/>
      <w:r w:rsidRPr="001162EF">
        <w:rPr>
          <w:rFonts w:ascii="Times New Roman" w:hAnsi="Times New Roman"/>
          <w:color w:val="010000"/>
        </w:rPr>
        <w:t xml:space="preserve"> 104/17) hükmü bu yargıyı doğrulamaktadır. O halde Anayasa</w:t>
      </w:r>
      <w:r w:rsidR="00AA59C4" w:rsidRPr="001162EF">
        <w:rPr>
          <w:rFonts w:ascii="Times New Roman" w:hAnsi="Times New Roman"/>
          <w:color w:val="010000"/>
        </w:rPr>
        <w:t>’</w:t>
      </w:r>
      <w:r w:rsidRPr="001162EF">
        <w:rPr>
          <w:rFonts w:ascii="Times New Roman" w:hAnsi="Times New Roman"/>
          <w:color w:val="010000"/>
        </w:rPr>
        <w:t xml:space="preserve">da yasayla düzenlenmesi öngörülen konularda Cumhurbaşkanlığı kararnamesi çıkarılamayacak iken, ancak Cumhurbaşkanlığı kararnamesi ile düzenleneceği belirtilen konularda dahi TBMM yasa çıkarabilecektir.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6771 sayılı Kanun ile Anayasa</w:t>
      </w:r>
      <w:r w:rsidR="00AA59C4" w:rsidRPr="001162EF">
        <w:rPr>
          <w:rFonts w:ascii="Times New Roman" w:hAnsi="Times New Roman"/>
          <w:color w:val="010000"/>
        </w:rPr>
        <w:t>’</w:t>
      </w:r>
      <w:r w:rsidRPr="001162EF">
        <w:rPr>
          <w:rFonts w:ascii="Times New Roman" w:hAnsi="Times New Roman"/>
          <w:color w:val="010000"/>
        </w:rPr>
        <w:t>nın 7. maddesindeki yasama yetkisinin devri yasağı ve 123. maddedeki idarenin kanuniliği ilkesi muhafaza edilmiş, ancak belirli idari konular Anayasa</w:t>
      </w:r>
      <w:r w:rsidR="00AA59C4" w:rsidRPr="001162EF">
        <w:rPr>
          <w:rFonts w:ascii="Times New Roman" w:hAnsi="Times New Roman"/>
          <w:color w:val="010000"/>
        </w:rPr>
        <w:t>’</w:t>
      </w:r>
      <w:r w:rsidRPr="001162EF">
        <w:rPr>
          <w:rFonts w:ascii="Times New Roman" w:hAnsi="Times New Roman"/>
          <w:color w:val="010000"/>
        </w:rPr>
        <w:t xml:space="preserve">da açıkça Cumhurbaşkanlığı kararnamesi ile düzenleneceği öngörülmüştür. </w:t>
      </w:r>
      <w:r w:rsidR="00AA59C4" w:rsidRPr="001162EF">
        <w:rPr>
          <w:rFonts w:ascii="Times New Roman" w:hAnsi="Times New Roman"/>
          <w:color w:val="010000"/>
        </w:rPr>
        <w:lastRenderedPageBreak/>
        <w:t>“</w:t>
      </w:r>
      <w:r w:rsidRPr="001162EF">
        <w:rPr>
          <w:rFonts w:ascii="Times New Roman" w:hAnsi="Times New Roman"/>
          <w:color w:val="010000"/>
        </w:rPr>
        <w:t>Bakanlıkların kurulması, kaldırılması, görevleri ve yetkileri, teşkilat yapısı ile merkez ve taşra teşkilatlarının kurulması Cumhurbaşkanlığı kararnamesiyle düzenlenir.</w:t>
      </w:r>
      <w:r w:rsidR="00AA59C4" w:rsidRPr="001162EF">
        <w:rPr>
          <w:rFonts w:ascii="Times New Roman" w:hAnsi="Times New Roman"/>
          <w:color w:val="010000"/>
        </w:rPr>
        <w:t>”</w:t>
      </w:r>
      <w:r w:rsidRPr="001162EF">
        <w:rPr>
          <w:rFonts w:ascii="Times New Roman" w:hAnsi="Times New Roman"/>
          <w:color w:val="010000"/>
        </w:rPr>
        <w:t xml:space="preserve"> (</w:t>
      </w:r>
      <w:proofErr w:type="gramStart"/>
      <w:r w:rsidRPr="001162EF">
        <w:rPr>
          <w:rFonts w:ascii="Times New Roman" w:hAnsi="Times New Roman"/>
          <w:color w:val="010000"/>
        </w:rPr>
        <w:t>madde</w:t>
      </w:r>
      <w:proofErr w:type="gramEnd"/>
      <w:r w:rsidRPr="001162EF">
        <w:rPr>
          <w:rFonts w:ascii="Times New Roman" w:hAnsi="Times New Roman"/>
          <w:color w:val="010000"/>
        </w:rPr>
        <w:t xml:space="preserve"> 106/son). Ayrıca 123. maddenin son fıkrasında kamu tüzel kişiliğinin Kanunla veya Cumhurbaşkanlığı kararnamesiyle kurulacağı kuralına yer verilmiştir. Anayasa hükümleri arasında hiyerarşi söz konusu olmadığından, bir çelişki kabul edilmediğinden, bu iki hükmün bir arada, Anayasanın bütünlüğü ve sistematiği içinde bağdaştırılarak yorumlanması gerekir. Gerçekte Anayasa koyucu 123/1. maddede genel kuralı, idarenin kanuniliği ilkesini, koymuş; bakanlıkların kurulması, kaldırılması, görevleri ve yetkileri ile kamu tüzel kişiliği kurulması yönünden bu genel kurala bir istisna getirmiştir. Diğer bir ifadeyle, idarenin kanuniliği ilkesi salt 106/son ve 123/son maddelerde belirtilen hususlar açısından geçerli değildir. Anayasa</w:t>
      </w:r>
      <w:r w:rsidR="00AA59C4" w:rsidRPr="001162EF">
        <w:rPr>
          <w:rFonts w:ascii="Times New Roman" w:hAnsi="Times New Roman"/>
          <w:color w:val="010000"/>
        </w:rPr>
        <w:t>’</w:t>
      </w:r>
      <w:r w:rsidRPr="001162EF">
        <w:rPr>
          <w:rFonts w:ascii="Times New Roman" w:hAnsi="Times New Roman"/>
          <w:color w:val="010000"/>
        </w:rPr>
        <w:t xml:space="preserve">nın 123. maddesinin son fıkrasında </w:t>
      </w:r>
      <w:r w:rsidR="00AA59C4" w:rsidRPr="001162EF">
        <w:rPr>
          <w:rFonts w:ascii="Times New Roman" w:hAnsi="Times New Roman"/>
          <w:color w:val="010000"/>
        </w:rPr>
        <w:t>“</w:t>
      </w:r>
      <w:r w:rsidRPr="001162EF">
        <w:rPr>
          <w:rFonts w:ascii="Times New Roman" w:hAnsi="Times New Roman"/>
          <w:color w:val="010000"/>
        </w:rPr>
        <w:t>kanun veya cumhurbaşkanlığı kararnameleri</w:t>
      </w:r>
      <w:r w:rsidR="00AA59C4" w:rsidRPr="001162EF">
        <w:rPr>
          <w:rFonts w:ascii="Times New Roman" w:hAnsi="Times New Roman"/>
          <w:color w:val="010000"/>
        </w:rPr>
        <w:t>”</w:t>
      </w:r>
      <w:r w:rsidRPr="001162EF">
        <w:rPr>
          <w:rFonts w:ascii="Times New Roman" w:hAnsi="Times New Roman"/>
          <w:color w:val="010000"/>
        </w:rPr>
        <w:t xml:space="preserve"> dendiğine göre, kanunilik ilkesi öncelik taşımaktadır.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Genel kural ve istisna kural ilişkisine dair kamu hukukunda kabul edilen birtakım yorum ilkeleri vardır: 1. Bir istisna kuralın varlığından söz edebilmek için, bu istisnanın ayrıca ve açıkça konulmuş olması gerekir. 2. İstisna kural, sadece ve sadece genel kuralı koyan makam tarafından konulabilir, başka bir makamın istisna kural getirme yetkisi yoktur. 3. Genel kuralı koyan makam açıkça yetkilendirmedikçe, bir başka makam genel kurala istisna getiremez. 4. İstisna kural koymak, genel kuralı değiştirmek anlamına geldiğinden istisna kural, yorum yoluyla genişletilemez; yani, yorum yoluyla genel kural istisna getirilemez. 5. Genel kuralın geniş yorumlanması esası benimsenmiştir. 6. İstisna kural, dar yorumlanır. Çünkü istisna kural, genel kuralın kapsamını daralttığından genel kuralı değiştirir, oysa onu değiştirme salt genel kuralı koyana aittir. (Bkz., Kemal Gözler, Yorum İlkeleri, http://www.anayasa.gen.tr/yorum-ilkeleri-kitaptan.pdf).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Öte yandan kamu hukukunda mevzuatın açıkça belirttiği bir makama ya da makamın görevlisine verdikleri yetkiler devre konu olamazlar. Yargı kararlarında da yetkinin, mevzuat tarafından kime verilmiş ise, ancak onun bu yetkiyi kullanabileceğini belirtmiştir. Yetki devrinde yetki devredilen makamın devraldığı bu yetkiyi kendinden alt bir makama devrinin yasak olduğu hususu idare hukukunda ve kamu yönetiminde benimsenen görüştür (Bkz. R. Cengiz </w:t>
      </w:r>
      <w:proofErr w:type="spellStart"/>
      <w:r w:rsidRPr="001162EF">
        <w:rPr>
          <w:rFonts w:ascii="Times New Roman" w:hAnsi="Times New Roman"/>
          <w:color w:val="010000"/>
        </w:rPr>
        <w:t>Derdiman</w:t>
      </w:r>
      <w:proofErr w:type="spellEnd"/>
      <w:r w:rsidRPr="001162EF">
        <w:rPr>
          <w:rFonts w:ascii="Times New Roman" w:hAnsi="Times New Roman"/>
          <w:color w:val="010000"/>
        </w:rPr>
        <w:t xml:space="preserve">, Yusuf Uysal Türk Kamu Yönetiminde Yetki Devri, </w:t>
      </w:r>
      <w:hyperlink r:id="rId8" w:history="1">
        <w:r w:rsidRPr="001162EF">
          <w:rPr>
            <w:rStyle w:val="Kpr"/>
            <w:rFonts w:ascii="Times New Roman" w:hAnsi="Times New Roman"/>
            <w:color w:val="010000"/>
            <w:u w:val="none"/>
          </w:rPr>
          <w:t>http://dergipark.gov.tr/download/article-file/235994</w:t>
        </w:r>
      </w:hyperlink>
      <w:r w:rsidRPr="001162EF">
        <w:rPr>
          <w:rFonts w:ascii="Times New Roman" w:hAnsi="Times New Roman"/>
          <w:color w:val="010000"/>
        </w:rPr>
        <w:t>). Bu anlamda Anayasanın 106. maddenin son fıkrasında belirtilen yetkinin bizzat Cumhurbaşkanlığı tarafından Cumhurbaşkanlığı Kararnamesi ile kullanılması gerekir.</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Anayasanın 104. maddesinin 17. fıkrasındaki Cumhurbaşkanlığı kararnameleri normlar hiyerarşisinde yasaya eşdeğer işlemler değildir. Anayasanın bu tür kararnamelerin salt </w:t>
      </w:r>
      <w:r w:rsidR="00AA59C4" w:rsidRPr="001162EF">
        <w:rPr>
          <w:rFonts w:ascii="Times New Roman" w:hAnsi="Times New Roman"/>
          <w:color w:val="010000"/>
        </w:rPr>
        <w:t>“</w:t>
      </w:r>
      <w:r w:rsidRPr="001162EF">
        <w:rPr>
          <w:rFonts w:ascii="Times New Roman" w:hAnsi="Times New Roman"/>
          <w:color w:val="010000"/>
        </w:rPr>
        <w:t xml:space="preserve">yürütme yetkisine ilişkin </w:t>
      </w:r>
      <w:proofErr w:type="spellStart"/>
      <w:r w:rsidRPr="001162EF">
        <w:rPr>
          <w:rFonts w:ascii="Times New Roman" w:hAnsi="Times New Roman"/>
          <w:color w:val="010000"/>
        </w:rPr>
        <w:t>konular</w:t>
      </w:r>
      <w:r w:rsidR="00AA59C4" w:rsidRPr="001162EF">
        <w:rPr>
          <w:rFonts w:ascii="Times New Roman" w:hAnsi="Times New Roman"/>
          <w:color w:val="010000"/>
        </w:rPr>
        <w:t>”</w:t>
      </w:r>
      <w:r w:rsidRPr="001162EF">
        <w:rPr>
          <w:rFonts w:ascii="Times New Roman" w:hAnsi="Times New Roman"/>
          <w:color w:val="010000"/>
        </w:rPr>
        <w:t>la</w:t>
      </w:r>
      <w:proofErr w:type="spellEnd"/>
      <w:r w:rsidRPr="001162EF">
        <w:rPr>
          <w:rFonts w:ascii="Times New Roman" w:hAnsi="Times New Roman"/>
          <w:color w:val="010000"/>
        </w:rPr>
        <w:t xml:space="preserve"> sınırlı olarak çıkarılacağı öngörmesi bunların yasaya eşdeğer, yasayla aynı düzeyde kurallar olamayacağını gösterir. Çünkü yürütme yetkisi, kanunların uygulanmasına yönelik, kanunlara uygun kullanılması gereken bir yetkidir. Ayrıca aynı fıkrada yer alan </w:t>
      </w:r>
      <w:r w:rsidR="00AA59C4" w:rsidRPr="001162EF">
        <w:rPr>
          <w:rFonts w:ascii="Times New Roman" w:hAnsi="Times New Roman"/>
          <w:color w:val="010000"/>
        </w:rPr>
        <w:t>“</w:t>
      </w:r>
      <w:r w:rsidRPr="001162EF">
        <w:rPr>
          <w:rFonts w:ascii="Times New Roman" w:hAnsi="Times New Roman"/>
          <w:color w:val="010000"/>
        </w:rPr>
        <w:t>Anayasada münhasıran kanunla düzenlenmesi öngörülen konularda Cumhurbaşkanlığı kararnamesi çıkarılamaz; Kanunda açıkça düzenlenen konularda Cumhurbaşkanlığı kararnamesi çıkarılamaz; Cumhurbaşkanlığı kararnamesi ile kanunlarda farklı hükümler bulunması halinde, kanun hükümleri uygulanır; Türkiye Büyük Millet Meclisinin aynı konuda kanun çıkarması durumunda, Cumhurbaşkanlığı kararnamesi hükümsüz hale gelir.</w:t>
      </w:r>
      <w:r w:rsidR="00AA59C4" w:rsidRPr="001162EF">
        <w:rPr>
          <w:rFonts w:ascii="Times New Roman" w:hAnsi="Times New Roman"/>
          <w:color w:val="010000"/>
        </w:rPr>
        <w:t>”</w:t>
      </w:r>
      <w:r w:rsidRPr="001162EF">
        <w:rPr>
          <w:rFonts w:ascii="Times New Roman" w:hAnsi="Times New Roman"/>
          <w:color w:val="010000"/>
        </w:rPr>
        <w:t xml:space="preserve"> şeklindeki düzenlemeler, Cumhurbaşkanlığı kararnamelerinin yasaya eşdeğer olmadığının bir başka açık delilidir. Bu düzenlemelerden CBK ile düzenleneceği belirtilen konuların yasayla düzenlenmesi halinde bir anayasaya aykırılık oluşturmayacağı ve hatta yasa ile yapılan düzenlemenin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deki</w:t>
      </w:r>
      <w:proofErr w:type="spellEnd"/>
      <w:r w:rsidRPr="001162EF">
        <w:rPr>
          <w:rFonts w:ascii="Times New Roman" w:hAnsi="Times New Roman"/>
          <w:color w:val="010000"/>
        </w:rPr>
        <w:t xml:space="preserve"> düzenlemeyi yürürlükte kaldırma gücüne sahip olduğu anlaşılır.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lastRenderedPageBreak/>
        <w:t>Kanunsuz emre dair Anayasa</w:t>
      </w:r>
      <w:r w:rsidR="00AA59C4" w:rsidRPr="001162EF">
        <w:rPr>
          <w:rFonts w:ascii="Times New Roman" w:hAnsi="Times New Roman"/>
          <w:color w:val="010000"/>
        </w:rPr>
        <w:t>’</w:t>
      </w:r>
      <w:r w:rsidRPr="001162EF">
        <w:rPr>
          <w:rFonts w:ascii="Times New Roman" w:hAnsi="Times New Roman"/>
          <w:color w:val="010000"/>
        </w:rPr>
        <w:t xml:space="preserve">nın 137. maddesinde yapılan değişikliğe bakıldığında ise Cumhurbaşkanlığı kararnamesinin, Anayasanın konuya ilişkin diğer düzenlemeleri ile birlikte değerlendirildiğinde, normlar hiyerarşisindeki yeri açıkça anlaşılır: </w:t>
      </w:r>
      <w:r w:rsidR="00AA59C4" w:rsidRPr="001162EF">
        <w:rPr>
          <w:rFonts w:ascii="Times New Roman" w:hAnsi="Times New Roman"/>
          <w:color w:val="010000"/>
        </w:rPr>
        <w:t>“</w:t>
      </w:r>
      <w:r w:rsidRPr="001162EF">
        <w:rPr>
          <w:rFonts w:ascii="Times New Roman" w:hAnsi="Times New Roman"/>
          <w:color w:val="010000"/>
        </w:rPr>
        <w:t>Kamu hizmetlerinde herhangi bir sıfat ve suretle çalışmakta olan kimse, üstünden aldığı emri, yönetmelik, Cumhurbaşkanlığı kararnamesi, kanun veya Anayasa hükümlerine aykırı görürse, yerine getirmez ve bu aykırılığı o emri verene bildirir…</w:t>
      </w:r>
      <w:r w:rsidR="00AA59C4" w:rsidRPr="001162EF">
        <w:rPr>
          <w:rFonts w:ascii="Times New Roman" w:hAnsi="Times New Roman"/>
          <w:color w:val="010000"/>
        </w:rPr>
        <w:t>”</w:t>
      </w:r>
      <w:r w:rsidRPr="001162EF">
        <w:rPr>
          <w:rFonts w:ascii="Times New Roman" w:hAnsi="Times New Roman"/>
          <w:color w:val="010000"/>
        </w:rPr>
        <w:t xml:space="preserve">.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6771 sayılı Yasa değişikliği ile Cumhurbaşkanına Anayasada tanınan diğer yetkiler ise şöyledir: Anayasanın 123. maddenin son fıkrası ise </w:t>
      </w:r>
      <w:r w:rsidR="00AA59C4" w:rsidRPr="001162EF">
        <w:rPr>
          <w:rFonts w:ascii="Times New Roman" w:hAnsi="Times New Roman"/>
          <w:color w:val="010000"/>
        </w:rPr>
        <w:t>“</w:t>
      </w:r>
      <w:r w:rsidRPr="001162EF">
        <w:rPr>
          <w:rFonts w:ascii="Times New Roman" w:hAnsi="Times New Roman"/>
          <w:color w:val="010000"/>
        </w:rPr>
        <w:t>Kamu tüzelkişiliği, ancak kanunla veya Cumhurbaşkanlığı kararnamesiyle kurulur</w:t>
      </w:r>
      <w:r w:rsidR="00AA59C4" w:rsidRPr="001162EF">
        <w:rPr>
          <w:rFonts w:ascii="Times New Roman" w:hAnsi="Times New Roman"/>
          <w:color w:val="010000"/>
        </w:rPr>
        <w:t>”</w:t>
      </w:r>
      <w:r w:rsidRPr="001162EF">
        <w:rPr>
          <w:rFonts w:ascii="Times New Roman" w:hAnsi="Times New Roman"/>
          <w:color w:val="010000"/>
        </w:rPr>
        <w:t xml:space="preserve"> denilerek CBK ile kamu tüzelkişiliği kurulmasına da imkân tanır.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Anayasa, Devlet Denetleme Kurulunu işleyişi, üyelerinin görev süresi ve diğer özlük işleri (m.108/4.) ile Milli Güvenlik Kurulu Genel Sekreterliği</w:t>
      </w:r>
      <w:r w:rsidR="00AA59C4" w:rsidRPr="001162EF">
        <w:rPr>
          <w:rFonts w:ascii="Times New Roman" w:hAnsi="Times New Roman"/>
          <w:color w:val="010000"/>
        </w:rPr>
        <w:t>’</w:t>
      </w:r>
      <w:r w:rsidRPr="001162EF">
        <w:rPr>
          <w:rFonts w:ascii="Times New Roman" w:hAnsi="Times New Roman"/>
          <w:color w:val="010000"/>
        </w:rPr>
        <w:t xml:space="preserve">nin teşkilatı ve görevlerinin Cumhurbaşkanlığı kararnamesiyle düzenleneceğini hüküm altına </w:t>
      </w:r>
      <w:proofErr w:type="gramStart"/>
      <w:r w:rsidRPr="001162EF">
        <w:rPr>
          <w:rFonts w:ascii="Times New Roman" w:hAnsi="Times New Roman"/>
          <w:color w:val="010000"/>
        </w:rPr>
        <w:t>almıştır(</w:t>
      </w:r>
      <w:proofErr w:type="gramEnd"/>
      <w:r w:rsidRPr="001162EF">
        <w:rPr>
          <w:rFonts w:ascii="Times New Roman" w:hAnsi="Times New Roman"/>
          <w:color w:val="010000"/>
        </w:rPr>
        <w:t>m.118/7.).</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124. ve 137. maddelerde yer alan tüzük ibaresi Anayasadan tamamen çıkarılmış, onun yerine Cumhurbaşkanlığı kararnamesi konulmuştur. Yönetmelikleri düzenleyen 124. maddede, </w:t>
      </w:r>
      <w:r w:rsidR="00AA59C4" w:rsidRPr="001162EF">
        <w:rPr>
          <w:rFonts w:ascii="Times New Roman" w:hAnsi="Times New Roman"/>
          <w:color w:val="010000"/>
        </w:rPr>
        <w:t>“</w:t>
      </w:r>
      <w:r w:rsidRPr="001162EF">
        <w:rPr>
          <w:rFonts w:ascii="Times New Roman" w:hAnsi="Times New Roman"/>
          <w:color w:val="010000"/>
        </w:rPr>
        <w:t>Cumhurbaşkanı, bakanlıklar ve kamu tüzelkişileri, kendi görev alanlarını ilgilendiren kanunların ve Cumhurbaşkanlığı kararnamelerinin uygulanmasını sağlamak üzere ve bunlara aykırı olmamak şartıyla, yönetmelikler çıkarabilirler.</w:t>
      </w:r>
      <w:r w:rsidR="00AA59C4" w:rsidRPr="001162EF">
        <w:rPr>
          <w:rFonts w:ascii="Times New Roman" w:hAnsi="Times New Roman"/>
          <w:color w:val="010000"/>
        </w:rPr>
        <w:t>”</w:t>
      </w:r>
      <w:r w:rsidRPr="001162EF">
        <w:rPr>
          <w:rFonts w:ascii="Times New Roman" w:hAnsi="Times New Roman"/>
          <w:color w:val="010000"/>
        </w:rPr>
        <w:t xml:space="preserve"> hükmü yer almıştır. Böylece hukuk düzeninde tüzük denen işlem türünün varlığı sona ermiştir. Ancak bu, tüzük ve cumhurbaşkanlığı kararnamesinin aynı hukuki nitelikte olduğu şeklinde anlaşılmamalıdır.</w:t>
      </w:r>
      <w:r w:rsidR="001162EF" w:rsidRPr="001162EF">
        <w:rPr>
          <w:rFonts w:ascii="Times New Roman" w:hAnsi="Times New Roman"/>
          <w:color w:val="010000"/>
        </w:rPr>
        <w:t xml:space="preserve">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Cumhurbaşkanlığı kararnamesi ile yapılabileceği yukarıda belirtilen istisnai işlemler kaynağını doğrudan Anayasadan alan yürütme işlemi niteliğinde kabul edilmelidir.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Öte yandan Cumhurbaşkanı </w:t>
      </w:r>
      <w:r w:rsidR="00AA59C4" w:rsidRPr="001162EF">
        <w:rPr>
          <w:rFonts w:ascii="Times New Roman" w:hAnsi="Times New Roman"/>
          <w:color w:val="010000"/>
        </w:rPr>
        <w:t>“</w:t>
      </w:r>
      <w:r w:rsidRPr="001162EF">
        <w:rPr>
          <w:rFonts w:ascii="Times New Roman" w:hAnsi="Times New Roman"/>
          <w:color w:val="010000"/>
        </w:rPr>
        <w:t>üst kademe kamu yöneticilerini atar, görevlerine son verir ve bunların atanmalarına ilişkin usul ve esasları Cumhurbaşkanlığı kararnamesiyle düzenler</w:t>
      </w:r>
      <w:r w:rsidR="00AA59C4" w:rsidRPr="001162EF">
        <w:rPr>
          <w:rFonts w:ascii="Times New Roman" w:hAnsi="Times New Roman"/>
          <w:color w:val="010000"/>
        </w:rPr>
        <w:t>”</w:t>
      </w:r>
      <w:r w:rsidRPr="001162EF">
        <w:rPr>
          <w:rFonts w:ascii="Times New Roman" w:hAnsi="Times New Roman"/>
          <w:color w:val="010000"/>
        </w:rPr>
        <w:t xml:space="preserve"> (madde 104/9).</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Son olarak belirtmek gerekir ki olağanüstü hallerde Cumhurbaşkanı, </w:t>
      </w:r>
      <w:r w:rsidR="00AA59C4" w:rsidRPr="001162EF">
        <w:rPr>
          <w:rFonts w:ascii="Times New Roman" w:hAnsi="Times New Roman"/>
          <w:color w:val="010000"/>
        </w:rPr>
        <w:t>“</w:t>
      </w:r>
      <w:r w:rsidRPr="001162EF">
        <w:rPr>
          <w:rFonts w:ascii="Times New Roman" w:hAnsi="Times New Roman"/>
          <w:color w:val="010000"/>
        </w:rPr>
        <w:t xml:space="preserve">olağanüstü halin gerekli kıldığı konularda, </w:t>
      </w:r>
      <w:proofErr w:type="gramStart"/>
      <w:r w:rsidRPr="001162EF">
        <w:rPr>
          <w:rFonts w:ascii="Times New Roman" w:hAnsi="Times New Roman"/>
          <w:color w:val="010000"/>
        </w:rPr>
        <w:t>104 üncü</w:t>
      </w:r>
      <w:proofErr w:type="gramEnd"/>
      <w:r w:rsidRPr="001162EF">
        <w:rPr>
          <w:rFonts w:ascii="Times New Roman" w:hAnsi="Times New Roman"/>
          <w:color w:val="010000"/>
        </w:rPr>
        <w:t xml:space="preserve"> maddenin </w:t>
      </w:r>
      <w:proofErr w:type="spellStart"/>
      <w:r w:rsidRPr="001162EF">
        <w:rPr>
          <w:rFonts w:ascii="Times New Roman" w:hAnsi="Times New Roman"/>
          <w:color w:val="010000"/>
        </w:rPr>
        <w:t>onyedinci</w:t>
      </w:r>
      <w:proofErr w:type="spellEnd"/>
      <w:r w:rsidRPr="001162EF">
        <w:rPr>
          <w:rFonts w:ascii="Times New Roman" w:hAnsi="Times New Roman"/>
          <w:color w:val="010000"/>
        </w:rPr>
        <w:t xml:space="preserve"> fıkrasının ikinci cümlesinde belirtilen sınırlamalara tabi olmaksızın Cumhurbaşkanlığı kararnamesi çıkarabilir. Kanun hükmündeki bu kararnameler Resmî Gazetede yayımlanır, aynı gün Meclis onayına sunulur.</w:t>
      </w:r>
      <w:r w:rsidR="00AA59C4" w:rsidRPr="001162EF">
        <w:rPr>
          <w:rFonts w:ascii="Times New Roman" w:hAnsi="Times New Roman"/>
          <w:color w:val="010000"/>
        </w:rPr>
        <w:t>”</w:t>
      </w:r>
      <w:r w:rsidRPr="001162EF">
        <w:rPr>
          <w:rFonts w:ascii="Times New Roman" w:hAnsi="Times New Roman"/>
          <w:color w:val="010000"/>
        </w:rPr>
        <w:t xml:space="preserve"> (</w:t>
      </w:r>
      <w:proofErr w:type="gramStart"/>
      <w:r w:rsidRPr="001162EF">
        <w:rPr>
          <w:rFonts w:ascii="Times New Roman" w:hAnsi="Times New Roman"/>
          <w:color w:val="010000"/>
        </w:rPr>
        <w:t>madde</w:t>
      </w:r>
      <w:proofErr w:type="gramEnd"/>
      <w:r w:rsidRPr="001162EF">
        <w:rPr>
          <w:rFonts w:ascii="Times New Roman" w:hAnsi="Times New Roman"/>
          <w:color w:val="010000"/>
        </w:rPr>
        <w:t xml:space="preserve"> 119/6). Bu kararnameler kanuna eşdeğer metinler olarak kabul edilmiştir. Ancak bu kararnameler Anayasa Mahkemesi denetimi dışında tutulmuştur. </w:t>
      </w:r>
    </w:p>
    <w:p w:rsidR="00385641" w:rsidRPr="001162EF" w:rsidRDefault="00385641" w:rsidP="001162EF">
      <w:pPr>
        <w:numPr>
          <w:ilvl w:val="0"/>
          <w:numId w:val="9"/>
        </w:numPr>
        <w:tabs>
          <w:tab w:val="clear" w:pos="927"/>
        </w:tabs>
        <w:spacing w:before="240" w:after="100" w:afterAutospacing="1"/>
        <w:ind w:left="0" w:firstLine="709"/>
        <w:jc w:val="both"/>
        <w:rPr>
          <w:rFonts w:ascii="Times New Roman" w:hAnsi="Times New Roman"/>
          <w:color w:val="010000"/>
        </w:rPr>
      </w:pPr>
      <w:r w:rsidRPr="001162EF">
        <w:rPr>
          <w:rFonts w:ascii="Times New Roman" w:hAnsi="Times New Roman"/>
          <w:color w:val="010000"/>
        </w:rPr>
        <w:t>Cumhurbaşkanlığı kararnamesi çıkarılmasının sınırları</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Anayasanın 104/17. maddesiyle getirilen CBK ile yürütmeye tanınan düzenleme alanı oldukça dar ve sınırlıdır. Bu sınırları şu şekilde açıklamak mümkündür.</w:t>
      </w:r>
    </w:p>
    <w:p w:rsidR="001162EF" w:rsidRPr="001162EF" w:rsidRDefault="001162EF" w:rsidP="001162EF">
      <w:pPr>
        <w:spacing w:before="240" w:after="100" w:afterAutospacing="1"/>
        <w:ind w:firstLine="709"/>
        <w:jc w:val="both"/>
        <w:rPr>
          <w:rFonts w:ascii="Times New Roman" w:hAnsi="Times New Roman"/>
          <w:color w:val="010000"/>
        </w:rPr>
      </w:pPr>
      <w:proofErr w:type="gramStart"/>
      <w:r w:rsidRPr="001162EF">
        <w:rPr>
          <w:rFonts w:ascii="Times New Roman" w:hAnsi="Times New Roman"/>
          <w:color w:val="010000"/>
        </w:rPr>
        <w:t>1. )</w:t>
      </w:r>
      <w:proofErr w:type="gramEnd"/>
      <w:r w:rsidRPr="001162EF">
        <w:rPr>
          <w:rFonts w:ascii="Times New Roman" w:hAnsi="Times New Roman"/>
          <w:color w:val="010000"/>
        </w:rPr>
        <w:t xml:space="preserve"> İlk olarak Cumhurbaşkanlığı kararnamesi “yürütme yetkisine ilişkin konularda” çıkarılabilecektir. Maddenin gerekçesinde ise cumhurbaşkanına “genel siyasetin yürütülmesinde yürütme yetkisi ile ilgili ihtiyaç duyduğu konularda kararname çıkarabilme” yetkisi verildiği ifade edilmektedir. Bu nedenle </w:t>
      </w:r>
      <w:proofErr w:type="spellStart"/>
      <w:r w:rsidRPr="001162EF">
        <w:rPr>
          <w:rFonts w:ascii="Times New Roman" w:hAnsi="Times New Roman"/>
          <w:color w:val="010000"/>
        </w:rPr>
        <w:t>CBK’ler</w:t>
      </w:r>
      <w:proofErr w:type="spellEnd"/>
      <w:r w:rsidRPr="001162EF">
        <w:rPr>
          <w:rFonts w:ascii="Times New Roman" w:hAnsi="Times New Roman"/>
          <w:color w:val="010000"/>
        </w:rPr>
        <w:t xml:space="preserve"> ancak yürütme yetkisinin gerektirdiği hususlarda ihtiyaç duyulduğunda çıkarılabilecek, yasama ve yargı yetkilerinden herhangi birinin alanına giren bir konuda ise CBK çıkarılması mümkün olmayacaktır.</w:t>
      </w:r>
    </w:p>
    <w:p w:rsidR="001162EF" w:rsidRPr="001162EF" w:rsidRDefault="001162EF" w:rsidP="001162EF">
      <w:pPr>
        <w:spacing w:before="240" w:after="100" w:afterAutospacing="1"/>
        <w:ind w:firstLine="709"/>
        <w:jc w:val="both"/>
        <w:rPr>
          <w:rFonts w:ascii="Times New Roman" w:hAnsi="Times New Roman"/>
          <w:color w:val="010000"/>
        </w:rPr>
      </w:pPr>
      <w:proofErr w:type="gramStart"/>
      <w:r w:rsidRPr="001162EF">
        <w:rPr>
          <w:rFonts w:ascii="Times New Roman" w:hAnsi="Times New Roman"/>
          <w:color w:val="010000"/>
        </w:rPr>
        <w:lastRenderedPageBreak/>
        <w:t>2. )</w:t>
      </w:r>
      <w:proofErr w:type="gramEnd"/>
      <w:r w:rsidRPr="001162EF">
        <w:rPr>
          <w:rFonts w:ascii="Times New Roman" w:hAnsi="Times New Roman"/>
          <w:color w:val="010000"/>
        </w:rPr>
        <w:t xml:space="preserve"> İkinci olarak </w:t>
      </w:r>
      <w:proofErr w:type="spellStart"/>
      <w:r w:rsidRPr="001162EF">
        <w:rPr>
          <w:rFonts w:ascii="Times New Roman" w:hAnsi="Times New Roman"/>
          <w:color w:val="010000"/>
        </w:rPr>
        <w:t>CBK’ler</w:t>
      </w:r>
      <w:proofErr w:type="spellEnd"/>
      <w:r w:rsidRPr="001162EF">
        <w:rPr>
          <w:rFonts w:ascii="Times New Roman" w:hAnsi="Times New Roman"/>
          <w:color w:val="010000"/>
        </w:rPr>
        <w:t xml:space="preserve"> “Anayasanın ikinci kısmının birinci ve ikinci bölümlerinde yer alan temel haklar, kişi hakları ve ödevleriyle dördüncü bölümde yer alan siyasi haklar ve </w:t>
      </w:r>
      <w:proofErr w:type="spellStart"/>
      <w:r w:rsidRPr="001162EF">
        <w:rPr>
          <w:rFonts w:ascii="Times New Roman" w:hAnsi="Times New Roman"/>
          <w:color w:val="010000"/>
        </w:rPr>
        <w:t>ödevler”le</w:t>
      </w:r>
      <w:proofErr w:type="spellEnd"/>
      <w:r w:rsidRPr="001162EF">
        <w:rPr>
          <w:rFonts w:ascii="Times New Roman" w:hAnsi="Times New Roman"/>
          <w:color w:val="010000"/>
        </w:rPr>
        <w:t xml:space="preserve"> ilgili konularda düzenleme yapamaz. Bu yasakla, kişilerin temel haklarını ilgilendiren hususlarda yasa olmaksızın </w:t>
      </w:r>
      <w:proofErr w:type="spellStart"/>
      <w:r w:rsidRPr="001162EF">
        <w:rPr>
          <w:rFonts w:ascii="Times New Roman" w:hAnsi="Times New Roman"/>
          <w:color w:val="010000"/>
        </w:rPr>
        <w:t>CBK’lerin</w:t>
      </w:r>
      <w:proofErr w:type="spellEnd"/>
      <w:r w:rsidRPr="001162EF">
        <w:rPr>
          <w:rFonts w:ascii="Times New Roman" w:hAnsi="Times New Roman"/>
          <w:color w:val="010000"/>
        </w:rPr>
        <w:t xml:space="preserve"> devreye girmesi engellenmek istenmiştir.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Ancak bu noktada çözümlenmesi gereken soru, sosyal ve ekonomik haklar ve ödevlerin tamamının CBK ile düzenlenip düzenlenemeyeceğidir. Sadece yukarıdaki ifadeden yola çıkarak yapılan bir değerlendirme bu soruya olumlu cevap vermeyi gerektirir. Ancak bu cümlenin aynı fıkradaki diğer hükümler ve anayasanın konuya ilişkin diğer ilke ve kuralları dikkate alınarak, Anayasanın bütünlüğü içinde tartışılması ve anlaşılması gerekir.</w:t>
      </w:r>
      <w:r w:rsidR="001162EF" w:rsidRPr="001162EF">
        <w:rPr>
          <w:rFonts w:ascii="Times New Roman" w:hAnsi="Times New Roman"/>
          <w:color w:val="010000"/>
        </w:rPr>
        <w:t xml:space="preserve">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Öncelikle aşağıda ayrıntılarıyla belirtildiği üzere, </w:t>
      </w:r>
      <w:r w:rsidR="00AA59C4" w:rsidRPr="001162EF">
        <w:rPr>
          <w:rFonts w:ascii="Times New Roman" w:hAnsi="Times New Roman"/>
          <w:color w:val="010000"/>
        </w:rPr>
        <w:t>“</w:t>
      </w:r>
      <w:r w:rsidRPr="001162EF">
        <w:rPr>
          <w:rFonts w:ascii="Times New Roman" w:hAnsi="Times New Roman"/>
          <w:color w:val="010000"/>
        </w:rPr>
        <w:t>Anayasada münhasıran kanunla düzenlenmesi öngörülen konularda Cumhurbaşkanlığı kararnamesi çıkarılamaz.</w:t>
      </w:r>
      <w:r w:rsidR="00AA59C4" w:rsidRPr="001162EF">
        <w:rPr>
          <w:rFonts w:ascii="Times New Roman" w:hAnsi="Times New Roman"/>
          <w:color w:val="010000"/>
        </w:rPr>
        <w:t>”</w:t>
      </w:r>
      <w:r w:rsidRPr="001162EF">
        <w:rPr>
          <w:rFonts w:ascii="Times New Roman" w:hAnsi="Times New Roman"/>
          <w:color w:val="010000"/>
        </w:rPr>
        <w:t xml:space="preserve"> Dolayısıyla ilgili maddede yasayla düzenlenmesi kaydı bulunan sosyal ve ekonomik hak ve ödevler Cumhurbaşkanlığı kararnamesi ile düzenlenemeyecektir. Örneğin Anayasa</w:t>
      </w:r>
      <w:r w:rsidR="00AA59C4" w:rsidRPr="001162EF">
        <w:rPr>
          <w:rFonts w:ascii="Times New Roman" w:hAnsi="Times New Roman"/>
          <w:color w:val="010000"/>
        </w:rPr>
        <w:t>’</w:t>
      </w:r>
      <w:r w:rsidRPr="001162EF">
        <w:rPr>
          <w:rFonts w:ascii="Times New Roman" w:hAnsi="Times New Roman"/>
          <w:color w:val="010000"/>
        </w:rPr>
        <w:t xml:space="preserve">nın 42/2. maddesinde </w:t>
      </w:r>
      <w:r w:rsidR="00AA59C4" w:rsidRPr="001162EF">
        <w:rPr>
          <w:rFonts w:ascii="Times New Roman" w:hAnsi="Times New Roman"/>
          <w:color w:val="010000"/>
        </w:rPr>
        <w:t>“</w:t>
      </w:r>
      <w:r w:rsidRPr="001162EF">
        <w:rPr>
          <w:rFonts w:ascii="Times New Roman" w:hAnsi="Times New Roman"/>
          <w:color w:val="010000"/>
        </w:rPr>
        <w:t>Öğrenim hakkının kapsamı kanunla tespit edilir ve düzenlenir.</w:t>
      </w:r>
      <w:r w:rsidR="00AA59C4" w:rsidRPr="001162EF">
        <w:rPr>
          <w:rFonts w:ascii="Times New Roman" w:hAnsi="Times New Roman"/>
          <w:color w:val="010000"/>
        </w:rPr>
        <w:t>”</w:t>
      </w:r>
      <w:r w:rsidRPr="001162EF">
        <w:rPr>
          <w:rFonts w:ascii="Times New Roman" w:hAnsi="Times New Roman"/>
          <w:color w:val="010000"/>
        </w:rPr>
        <w:t xml:space="preserve">, 51. maddesinde </w:t>
      </w:r>
      <w:r w:rsidR="00AA59C4" w:rsidRPr="001162EF">
        <w:rPr>
          <w:rFonts w:ascii="Times New Roman" w:hAnsi="Times New Roman"/>
          <w:color w:val="010000"/>
        </w:rPr>
        <w:t>“</w:t>
      </w:r>
      <w:r w:rsidRPr="001162EF">
        <w:rPr>
          <w:rFonts w:ascii="Times New Roman" w:hAnsi="Times New Roman"/>
          <w:color w:val="010000"/>
        </w:rPr>
        <w:t>Sendika kurma hakkı … kanunla sınırlanabilir. Sendika kurma hakkının kullanılmasında uygulanacak şekil, şart ve usuller kanunda gösterilir.</w:t>
      </w:r>
      <w:r w:rsidR="00AA59C4" w:rsidRPr="001162EF">
        <w:rPr>
          <w:rFonts w:ascii="Times New Roman" w:hAnsi="Times New Roman"/>
          <w:color w:val="010000"/>
        </w:rPr>
        <w:t>”</w:t>
      </w:r>
      <w:r w:rsidRPr="001162EF">
        <w:rPr>
          <w:rFonts w:ascii="Times New Roman" w:hAnsi="Times New Roman"/>
          <w:color w:val="010000"/>
        </w:rPr>
        <w:t xml:space="preserve">, 63. maddesinde tarih, kültür ve tabiat varlıklarından </w:t>
      </w:r>
      <w:r w:rsidR="00AA59C4" w:rsidRPr="001162EF">
        <w:rPr>
          <w:rFonts w:ascii="Times New Roman" w:hAnsi="Times New Roman"/>
          <w:color w:val="010000"/>
        </w:rPr>
        <w:t>“</w:t>
      </w:r>
      <w:r w:rsidRPr="001162EF">
        <w:rPr>
          <w:rFonts w:ascii="Times New Roman" w:hAnsi="Times New Roman"/>
          <w:color w:val="010000"/>
        </w:rPr>
        <w:t>özel mülkiyet konusu olanlara getirilecek sınırlamalar ve bu nedenle hak sahiplerine yapılacak yardımlar ve tanınacak muafiyetler kanunla düzenlenir.</w:t>
      </w:r>
      <w:r w:rsidR="00AA59C4" w:rsidRPr="001162EF">
        <w:rPr>
          <w:rFonts w:ascii="Times New Roman" w:hAnsi="Times New Roman"/>
          <w:color w:val="010000"/>
        </w:rPr>
        <w:t>”</w:t>
      </w:r>
      <w:r w:rsidRPr="001162EF">
        <w:rPr>
          <w:rFonts w:ascii="Times New Roman" w:hAnsi="Times New Roman"/>
          <w:color w:val="010000"/>
        </w:rPr>
        <w:t xml:space="preserve"> denilmektedir. Dolayısıyla belirtilen konuların CBK ile düzenlenmesi mümkün değildir.</w:t>
      </w:r>
      <w:r w:rsidR="001162EF" w:rsidRPr="001162EF">
        <w:rPr>
          <w:rFonts w:ascii="Times New Roman" w:hAnsi="Times New Roman"/>
          <w:color w:val="010000"/>
        </w:rPr>
        <w:t xml:space="preserve"> </w:t>
      </w:r>
      <w:r w:rsidRPr="001162EF">
        <w:rPr>
          <w:rFonts w:ascii="Times New Roman" w:hAnsi="Times New Roman"/>
          <w:color w:val="010000"/>
        </w:rPr>
        <w:t>Eğer böyle bir düzenleme yapılırsa bu hem Anayasa</w:t>
      </w:r>
      <w:r w:rsidR="00AA59C4" w:rsidRPr="001162EF">
        <w:rPr>
          <w:rFonts w:ascii="Times New Roman" w:hAnsi="Times New Roman"/>
          <w:color w:val="010000"/>
        </w:rPr>
        <w:t>’</w:t>
      </w:r>
      <w:r w:rsidRPr="001162EF">
        <w:rPr>
          <w:rFonts w:ascii="Times New Roman" w:hAnsi="Times New Roman"/>
          <w:color w:val="010000"/>
        </w:rPr>
        <w:t>nın 104/17. maddesine hem de o hak ve ödev için kanun kaydı koyan hükme aykırılık oluşturur. Ancak yasa kaydı içermeyen sosyal ve ekonomik haklar Cumhurbaşkanlığı kararnamesinin konusu olabilecektir. Örneğin konut hakkını düzenleyen Anayasa</w:t>
      </w:r>
      <w:r w:rsidR="00AA59C4" w:rsidRPr="001162EF">
        <w:rPr>
          <w:rFonts w:ascii="Times New Roman" w:hAnsi="Times New Roman"/>
          <w:color w:val="010000"/>
        </w:rPr>
        <w:t>’</w:t>
      </w:r>
      <w:r w:rsidRPr="001162EF">
        <w:rPr>
          <w:rFonts w:ascii="Times New Roman" w:hAnsi="Times New Roman"/>
          <w:color w:val="010000"/>
        </w:rPr>
        <w:t>nın 57. maddesi böyledir.</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Bir başka açıdan ise 104/17. maddenin ikinci cümlesi, sosyal ve ekonomik haklar alanının CBK ile düzenlenmesini kabul ederken, bu düzenlemenin sınırlarını da belirtir: ilki, fıkranın ilk cümlesindeki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nin</w:t>
      </w:r>
      <w:proofErr w:type="spellEnd"/>
      <w:r w:rsidRPr="001162EF">
        <w:rPr>
          <w:rFonts w:ascii="Times New Roman" w:hAnsi="Times New Roman"/>
          <w:color w:val="010000"/>
        </w:rPr>
        <w:t xml:space="preserve"> sadece yürütme yetkisine ilişkin konularda çıkarılabilmesi, diğeri ise üçüncü cümlesindeki münhasıran kanunla düzenlenmesi öngörülen konularda çıkarılmasıdır. Öte yandan Anayasanın 13. maddesindeki temel hak ve hürriyetlerin ancak kanunla sınırlanabileceği kuralı dikkate alındığında,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ye</w:t>
      </w:r>
      <w:proofErr w:type="spellEnd"/>
      <w:r w:rsidRPr="001162EF">
        <w:rPr>
          <w:rFonts w:ascii="Times New Roman" w:hAnsi="Times New Roman"/>
          <w:color w:val="010000"/>
        </w:rPr>
        <w:t xml:space="preserve"> konu olabilecek sosyal ve ekonomik hak ve ödevlerle ilgili cumhurbaşkanının sınırlama değil sadece bir düzenleme yetkisinden bahsedilebilir. Yani düzenleme ve sınırlama ayrımı dikkate alındığında CBK ile sosyal ve ekonomik haklar ve ödevlerin gerçekleşmesi için birtakım pozitif tedbirleri içeren düzenlemeler yapabilecek, fakat kişilerin bundan yararlanmasını sınırlamayacak denilebilir. Zira anayasal çerçevede, bir hakkın kısıtlanması ancak ve ancak kanun ile yapılabilecektir. </w:t>
      </w:r>
    </w:p>
    <w:p w:rsidR="001162EF" w:rsidRPr="001162EF" w:rsidRDefault="001162EF" w:rsidP="001162EF">
      <w:pPr>
        <w:spacing w:before="240" w:after="100" w:afterAutospacing="1"/>
        <w:ind w:firstLine="709"/>
        <w:jc w:val="both"/>
        <w:rPr>
          <w:rFonts w:ascii="Times New Roman" w:hAnsi="Times New Roman"/>
          <w:color w:val="010000"/>
        </w:rPr>
      </w:pPr>
      <w:proofErr w:type="gramStart"/>
      <w:r w:rsidRPr="001162EF">
        <w:rPr>
          <w:rFonts w:ascii="Times New Roman" w:hAnsi="Times New Roman"/>
          <w:color w:val="010000"/>
        </w:rPr>
        <w:t>3. )</w:t>
      </w:r>
      <w:proofErr w:type="gramEnd"/>
      <w:r w:rsidRPr="001162EF">
        <w:rPr>
          <w:rFonts w:ascii="Times New Roman" w:hAnsi="Times New Roman"/>
          <w:color w:val="010000"/>
        </w:rPr>
        <w:t xml:space="preserve"> Üçüncü sınır, “Anayasada münhasıran kanunla düzenlenmesi öngörülen konularda Cumhurbaşkanlığı kararnamesi çıkarılamaz.” hükmüdür. Anayasa Mahkemesi tarafından yasama yetkisinin devir yasağı çerçevesinde yürütmenin düzenleme yetkisi izah edilirken kullanılan “münhasıran” kanunla düzenlenmesi gereken konular ibaresi Anayasa kuralı haline getirilmiştir (Anayasa Mahkemesi Kararı Bkz., E.2017/143 K.2018/40, 2/5/2018). Anayasa Mahkemesi’ne göre “Kural olarak, kanun koyucunun genel ifadelerle yürütme organını yetkilendirmesi yeterli olmakla birlikte Anayasa’da kanunla düzenlenmesi öngörülen konularda genel ifadelerle yürütme organına düzenleme yapma yetkisi verilmesi, yasama yetkisinin </w:t>
      </w:r>
      <w:proofErr w:type="spellStart"/>
      <w:r w:rsidRPr="001162EF">
        <w:rPr>
          <w:rFonts w:ascii="Times New Roman" w:hAnsi="Times New Roman"/>
          <w:color w:val="010000"/>
        </w:rPr>
        <w:t>devredilmezliği</w:t>
      </w:r>
      <w:proofErr w:type="spellEnd"/>
      <w:r w:rsidRPr="001162EF">
        <w:rPr>
          <w:rFonts w:ascii="Times New Roman" w:hAnsi="Times New Roman"/>
          <w:color w:val="010000"/>
        </w:rPr>
        <w:t xml:space="preserve"> ilkesine aykırılık oluşturmaktadır. Bu nedenle Anayasa’da temel hak ve özgürlüklerin sınırlandırılması, vergi ve benzeri mali yükümlülüklerin konması ve memurların atanmaları, özlük hakları gibi münhasıran kanunla düzenlenmesi öngörülen konularda, kanunun temel esasları, ilkeleri ve çerçeveyi belirlemiş olması gerekmektedir. </w:t>
      </w:r>
      <w:r w:rsidRPr="001162EF">
        <w:rPr>
          <w:rFonts w:ascii="Times New Roman" w:hAnsi="Times New Roman"/>
          <w:color w:val="010000"/>
        </w:rPr>
        <w:lastRenderedPageBreak/>
        <w:t xml:space="preserve">Anayasa koyucunun açıkça kanunla düzenlenmesini öngördüğü konularda, yasama organının temel kuralları saptadıktan sonra, uzmanlık ve idare tekniğine ilişkin hususları yürütmeye bırakması, yasama yetkisinin devri olarak yorumlanamaz.”.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Bu nedenle Anayasa</w:t>
      </w:r>
      <w:r w:rsidR="00AA59C4" w:rsidRPr="001162EF">
        <w:rPr>
          <w:rFonts w:ascii="Times New Roman" w:hAnsi="Times New Roman"/>
          <w:color w:val="010000"/>
        </w:rPr>
        <w:t>’</w:t>
      </w:r>
      <w:r w:rsidRPr="001162EF">
        <w:rPr>
          <w:rFonts w:ascii="Times New Roman" w:hAnsi="Times New Roman"/>
          <w:color w:val="010000"/>
        </w:rPr>
        <w:t xml:space="preserve">nın münhasıran kanunla düzenlenmesini gerektirdiği konularda yürütmeye düzenleme yetkisi verilirken, yasanın </w:t>
      </w:r>
      <w:r w:rsidR="00AA59C4" w:rsidRPr="001162EF">
        <w:rPr>
          <w:rFonts w:ascii="Times New Roman" w:hAnsi="Times New Roman"/>
          <w:color w:val="010000"/>
        </w:rPr>
        <w:t>“</w:t>
      </w:r>
      <w:r w:rsidRPr="001162EF">
        <w:rPr>
          <w:rFonts w:ascii="Times New Roman" w:hAnsi="Times New Roman"/>
          <w:color w:val="010000"/>
        </w:rPr>
        <w:t>temel esasları, ilkeleri ve çerçeveyi belirlemiş olması gerekmektedir</w:t>
      </w:r>
      <w:r w:rsidR="00AA59C4" w:rsidRPr="001162EF">
        <w:rPr>
          <w:rFonts w:ascii="Times New Roman" w:hAnsi="Times New Roman"/>
          <w:color w:val="010000"/>
        </w:rPr>
        <w:t>”</w:t>
      </w:r>
      <w:r w:rsidRPr="001162EF">
        <w:rPr>
          <w:rFonts w:ascii="Times New Roman" w:hAnsi="Times New Roman"/>
          <w:color w:val="010000"/>
        </w:rPr>
        <w:t>. Anayasa Mahkemesi ayrıca, Anayasa</w:t>
      </w:r>
      <w:r w:rsidR="00AA59C4" w:rsidRPr="001162EF">
        <w:rPr>
          <w:rFonts w:ascii="Times New Roman" w:hAnsi="Times New Roman"/>
          <w:color w:val="010000"/>
        </w:rPr>
        <w:t>’</w:t>
      </w:r>
      <w:r w:rsidRPr="001162EF">
        <w:rPr>
          <w:rFonts w:ascii="Times New Roman" w:hAnsi="Times New Roman"/>
          <w:color w:val="010000"/>
        </w:rPr>
        <w:t xml:space="preserve">da münhasıran kanunla düzenlenmesi gereken birtakım konuları örnek olarak sıralamıştır: </w:t>
      </w:r>
      <w:r w:rsidR="00AA59C4" w:rsidRPr="001162EF">
        <w:rPr>
          <w:rFonts w:ascii="Times New Roman" w:hAnsi="Times New Roman"/>
          <w:color w:val="010000"/>
        </w:rPr>
        <w:t>“</w:t>
      </w:r>
      <w:r w:rsidRPr="001162EF">
        <w:rPr>
          <w:rFonts w:ascii="Times New Roman" w:hAnsi="Times New Roman"/>
          <w:color w:val="010000"/>
        </w:rPr>
        <w:t>Anayasa</w:t>
      </w:r>
      <w:r w:rsidR="00AA59C4" w:rsidRPr="001162EF">
        <w:rPr>
          <w:rFonts w:ascii="Times New Roman" w:hAnsi="Times New Roman"/>
          <w:color w:val="010000"/>
        </w:rPr>
        <w:t>’</w:t>
      </w:r>
      <w:r w:rsidRPr="001162EF">
        <w:rPr>
          <w:rFonts w:ascii="Times New Roman" w:hAnsi="Times New Roman"/>
          <w:color w:val="010000"/>
        </w:rPr>
        <w:t>da temel hak ve özgürlüklerin sınırlandırılması, vergi ve benzeri mali yükümlülüklerin konması ve memurların atanmaları, özlük hakları gibi</w:t>
      </w:r>
      <w:r w:rsidR="00AA59C4" w:rsidRPr="001162EF">
        <w:rPr>
          <w:rFonts w:ascii="Times New Roman" w:hAnsi="Times New Roman"/>
          <w:color w:val="010000"/>
        </w:rPr>
        <w:t>”</w:t>
      </w:r>
      <w:r w:rsidRPr="001162EF">
        <w:rPr>
          <w:rFonts w:ascii="Times New Roman" w:hAnsi="Times New Roman"/>
          <w:color w:val="010000"/>
        </w:rPr>
        <w:t xml:space="preserve">.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Anayasa Mahkemesi</w:t>
      </w:r>
      <w:r w:rsidR="00AA59C4" w:rsidRPr="001162EF">
        <w:rPr>
          <w:rFonts w:ascii="Times New Roman" w:hAnsi="Times New Roman"/>
          <w:color w:val="010000"/>
        </w:rPr>
        <w:t>’</w:t>
      </w:r>
      <w:r w:rsidRPr="001162EF">
        <w:rPr>
          <w:rFonts w:ascii="Times New Roman" w:hAnsi="Times New Roman"/>
          <w:color w:val="010000"/>
        </w:rPr>
        <w:t>nin münhasıran kavramını açıklarken verdiği örnekler ve açıklamalardan bir konunun münhasıran yasa alanında olması için Anayasa</w:t>
      </w:r>
      <w:r w:rsidR="00AA59C4" w:rsidRPr="001162EF">
        <w:rPr>
          <w:rFonts w:ascii="Times New Roman" w:hAnsi="Times New Roman"/>
          <w:color w:val="010000"/>
        </w:rPr>
        <w:t>’</w:t>
      </w:r>
      <w:r w:rsidRPr="001162EF">
        <w:rPr>
          <w:rFonts w:ascii="Times New Roman" w:hAnsi="Times New Roman"/>
          <w:color w:val="010000"/>
        </w:rPr>
        <w:t xml:space="preserve">nın özellikle ve ısrarla o konunun yasayla düzenlemesini istemesi yasayla düzenlemeye çok özel vurgu yapması gerekmemektedir. Bu çerçevede temel hak ve hürriyetlerin sınırlanmasına dair 13. maddede, sınırlamanın </w:t>
      </w:r>
      <w:r w:rsidR="00AA59C4" w:rsidRPr="001162EF">
        <w:rPr>
          <w:rFonts w:ascii="Times New Roman" w:hAnsi="Times New Roman"/>
          <w:color w:val="010000"/>
        </w:rPr>
        <w:t>“</w:t>
      </w:r>
      <w:r w:rsidRPr="001162EF">
        <w:rPr>
          <w:rFonts w:ascii="Times New Roman" w:hAnsi="Times New Roman"/>
          <w:color w:val="010000"/>
        </w:rPr>
        <w:t>ancak</w:t>
      </w:r>
      <w:r w:rsidR="00AA59C4" w:rsidRPr="001162EF">
        <w:rPr>
          <w:rFonts w:ascii="Times New Roman" w:hAnsi="Times New Roman"/>
          <w:color w:val="010000"/>
        </w:rPr>
        <w:t>”</w:t>
      </w:r>
      <w:r w:rsidRPr="001162EF">
        <w:rPr>
          <w:rFonts w:ascii="Times New Roman" w:hAnsi="Times New Roman"/>
          <w:color w:val="010000"/>
        </w:rPr>
        <w:t xml:space="preserve"> kanunla yapılabileceği şartı vardır: </w:t>
      </w:r>
      <w:r w:rsidR="00AA59C4" w:rsidRPr="001162EF">
        <w:rPr>
          <w:rFonts w:ascii="Times New Roman" w:hAnsi="Times New Roman"/>
          <w:color w:val="010000"/>
        </w:rPr>
        <w:t>“</w:t>
      </w:r>
      <w:r w:rsidRPr="001162EF">
        <w:rPr>
          <w:rFonts w:ascii="Times New Roman" w:hAnsi="Times New Roman"/>
          <w:color w:val="010000"/>
        </w:rPr>
        <w:t>Temel hak ve hürriyetler, özlerine dokunulmaksızın yalnızca Anayasanın ilgili maddelerinde belirtilen sebeplere bağlı olarak ve ancak kanunla sınırlanabilir</w:t>
      </w:r>
      <w:r w:rsidR="00AA59C4" w:rsidRPr="001162EF">
        <w:rPr>
          <w:rFonts w:ascii="Times New Roman" w:hAnsi="Times New Roman"/>
          <w:color w:val="010000"/>
        </w:rPr>
        <w:t>”</w:t>
      </w:r>
      <w:r w:rsidRPr="001162EF">
        <w:rPr>
          <w:rFonts w:ascii="Times New Roman" w:hAnsi="Times New Roman"/>
          <w:color w:val="010000"/>
        </w:rPr>
        <w:t xml:space="preserve">. Oysa vergilerle alakalı 73. maddede (vergi, resim, harç ve benzeri mali yükümlülükler kanunla konulur, değiştirilir veya kaldırılır.) ve kamu hizmeti görevlileriyle alakalı genel ilkeleri koyan 128. maddede (memurların ve diğer kamu görevlilerinin nitelikleri, atanmaları, görev ve yetkileri, hakları ve yükümlülükleri, aylık ve ödenekleri ve diğer özlük işleri kanunla düzenlenir.) yasayla düzenleme öngörülmüş, hiçbir özel vurgu yapılmamıştır.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Anayasa</w:t>
      </w:r>
      <w:r w:rsidR="00AA59C4" w:rsidRPr="001162EF">
        <w:rPr>
          <w:rFonts w:ascii="Times New Roman" w:hAnsi="Times New Roman"/>
          <w:color w:val="010000"/>
        </w:rPr>
        <w:t>’</w:t>
      </w:r>
      <w:r w:rsidRPr="001162EF">
        <w:rPr>
          <w:rFonts w:ascii="Times New Roman" w:hAnsi="Times New Roman"/>
          <w:color w:val="010000"/>
        </w:rPr>
        <w:t xml:space="preserve">da münhasıran kanunla düzenlenmesi öngörülen konular kavramı bu nedenle yasa kaydı olarak anlaşılmak ve uygulanmak durumundadır. Anayasanın 126. maddesindeki birden çok ili içine alan merkezi idare teşkilatının (bölge teşkilatının) </w:t>
      </w:r>
      <w:r w:rsidR="00AA59C4" w:rsidRPr="001162EF">
        <w:rPr>
          <w:rFonts w:ascii="Times New Roman" w:hAnsi="Times New Roman"/>
          <w:color w:val="010000"/>
        </w:rPr>
        <w:t>“</w:t>
      </w:r>
      <w:r w:rsidRPr="001162EF">
        <w:rPr>
          <w:rFonts w:ascii="Times New Roman" w:hAnsi="Times New Roman"/>
          <w:color w:val="010000"/>
        </w:rPr>
        <w:t>görev ve yetkileri kanunla düzenlenir</w:t>
      </w:r>
      <w:r w:rsidR="00AA59C4" w:rsidRPr="001162EF">
        <w:rPr>
          <w:rFonts w:ascii="Times New Roman" w:hAnsi="Times New Roman"/>
          <w:color w:val="010000"/>
        </w:rPr>
        <w:t>”</w:t>
      </w:r>
      <w:r w:rsidRPr="001162EF">
        <w:rPr>
          <w:rFonts w:ascii="Times New Roman" w:hAnsi="Times New Roman"/>
          <w:color w:val="010000"/>
        </w:rPr>
        <w:t xml:space="preserve">, 127. maddesindeki </w:t>
      </w:r>
      <w:r w:rsidR="00AA59C4" w:rsidRPr="001162EF">
        <w:rPr>
          <w:rFonts w:ascii="Times New Roman" w:hAnsi="Times New Roman"/>
          <w:color w:val="010000"/>
        </w:rPr>
        <w:t>“</w:t>
      </w:r>
      <w:r w:rsidRPr="001162EF">
        <w:rPr>
          <w:rFonts w:ascii="Times New Roman" w:hAnsi="Times New Roman"/>
          <w:color w:val="010000"/>
        </w:rPr>
        <w:t>Mahalli idarelerin kuruluş ve görevleri ile yetkileri, yerinden yönetim ilkesine uygun olarak kanunla düzenlenir.</w:t>
      </w:r>
      <w:r w:rsidR="00AA59C4" w:rsidRPr="001162EF">
        <w:rPr>
          <w:rFonts w:ascii="Times New Roman" w:hAnsi="Times New Roman"/>
          <w:color w:val="010000"/>
        </w:rPr>
        <w:t>”</w:t>
      </w:r>
      <w:r w:rsidRPr="001162EF">
        <w:rPr>
          <w:rFonts w:ascii="Times New Roman" w:hAnsi="Times New Roman"/>
          <w:color w:val="010000"/>
        </w:rPr>
        <w:t xml:space="preserve">, 128. maddesindeki </w:t>
      </w:r>
      <w:r w:rsidR="00AA59C4" w:rsidRPr="001162EF">
        <w:rPr>
          <w:rFonts w:ascii="Times New Roman" w:hAnsi="Times New Roman"/>
          <w:color w:val="010000"/>
        </w:rPr>
        <w:t>“</w:t>
      </w:r>
      <w:r w:rsidRPr="001162EF">
        <w:rPr>
          <w:rFonts w:ascii="Times New Roman" w:hAnsi="Times New Roman"/>
          <w:color w:val="010000"/>
        </w:rPr>
        <w:t>Memurların ve diğer kamu görevlilerinin nitelikleri, atanmaları, görev ve yetkileri, hakları ve yükümlülükleri, aylık ve ödenekleri ve diğer özlük işleri kanunla düzenlenir</w:t>
      </w:r>
      <w:r w:rsidR="00AA59C4" w:rsidRPr="001162EF">
        <w:rPr>
          <w:rFonts w:ascii="Times New Roman" w:hAnsi="Times New Roman"/>
          <w:color w:val="010000"/>
        </w:rPr>
        <w:t>”</w:t>
      </w:r>
      <w:r w:rsidRPr="001162EF">
        <w:rPr>
          <w:rFonts w:ascii="Times New Roman" w:hAnsi="Times New Roman"/>
          <w:color w:val="010000"/>
        </w:rPr>
        <w:t xml:space="preserve"> ve </w:t>
      </w:r>
      <w:r w:rsidR="00AA59C4" w:rsidRPr="001162EF">
        <w:rPr>
          <w:rFonts w:ascii="Times New Roman" w:hAnsi="Times New Roman"/>
          <w:color w:val="010000"/>
        </w:rPr>
        <w:t>“</w:t>
      </w:r>
      <w:r w:rsidRPr="001162EF">
        <w:rPr>
          <w:rFonts w:ascii="Times New Roman" w:hAnsi="Times New Roman"/>
          <w:color w:val="010000"/>
        </w:rPr>
        <w:t>üst kademe yöneticilerinin yetiştirilme usul ve esasları, kanunla özel olarak düzenlenir</w:t>
      </w:r>
      <w:r w:rsidR="00AA59C4" w:rsidRPr="001162EF">
        <w:rPr>
          <w:rFonts w:ascii="Times New Roman" w:hAnsi="Times New Roman"/>
          <w:color w:val="010000"/>
        </w:rPr>
        <w:t>”</w:t>
      </w:r>
      <w:r w:rsidRPr="001162EF">
        <w:rPr>
          <w:rFonts w:ascii="Times New Roman" w:hAnsi="Times New Roman"/>
          <w:color w:val="010000"/>
        </w:rPr>
        <w:t xml:space="preserve"> hükümleri buna örnek oluşturur. Özellikle bu son husus, CBK ile yasanın konu itibarıyla iç içe geçme riskini içerir, karmaşaya yol açma ihtimalini barındırır. Çünkü Anayasa</w:t>
      </w:r>
      <w:r w:rsidR="00AA59C4" w:rsidRPr="001162EF">
        <w:rPr>
          <w:rFonts w:ascii="Times New Roman" w:hAnsi="Times New Roman"/>
          <w:color w:val="010000"/>
        </w:rPr>
        <w:t>’</w:t>
      </w:r>
      <w:r w:rsidRPr="001162EF">
        <w:rPr>
          <w:rFonts w:ascii="Times New Roman" w:hAnsi="Times New Roman"/>
          <w:color w:val="010000"/>
        </w:rPr>
        <w:t xml:space="preserve">nın 104/9. maddesi Cumhurbaşkanı CBK ile </w:t>
      </w:r>
      <w:r w:rsidR="00AA59C4" w:rsidRPr="001162EF">
        <w:rPr>
          <w:rFonts w:ascii="Times New Roman" w:hAnsi="Times New Roman"/>
          <w:color w:val="010000"/>
        </w:rPr>
        <w:t>“</w:t>
      </w:r>
      <w:r w:rsidRPr="001162EF">
        <w:rPr>
          <w:rFonts w:ascii="Times New Roman" w:hAnsi="Times New Roman"/>
          <w:color w:val="010000"/>
        </w:rPr>
        <w:t>üst kademe kamu yöneticilerini atar, görevlerine son verir ve bunların atanmalarına ilişkin usul ve esasları … düzenler</w:t>
      </w:r>
      <w:r w:rsidR="00AA59C4" w:rsidRPr="001162EF">
        <w:rPr>
          <w:rFonts w:ascii="Times New Roman" w:hAnsi="Times New Roman"/>
          <w:color w:val="010000"/>
        </w:rPr>
        <w:t>”</w:t>
      </w:r>
      <w:r w:rsidRPr="001162EF">
        <w:rPr>
          <w:rFonts w:ascii="Times New Roman" w:hAnsi="Times New Roman"/>
          <w:color w:val="010000"/>
        </w:rPr>
        <w:t xml:space="preserve"> hükmünü içerirken, üst kademe yöneticilerinin yetiştirilme usul ve esasları 128. maddeye göre yasa ile özel olarak düzenlenmek zorundadır.</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Dolayısıyla 104/17. maddede geçen </w:t>
      </w:r>
      <w:r w:rsidR="00AA59C4" w:rsidRPr="001162EF">
        <w:rPr>
          <w:rFonts w:ascii="Times New Roman" w:hAnsi="Times New Roman"/>
          <w:color w:val="010000"/>
        </w:rPr>
        <w:t>“</w:t>
      </w:r>
      <w:r w:rsidRPr="001162EF">
        <w:rPr>
          <w:rFonts w:ascii="Times New Roman" w:hAnsi="Times New Roman"/>
          <w:color w:val="010000"/>
        </w:rPr>
        <w:t>münhasıran kanunla düzenlenmesi öngörülen konular</w:t>
      </w:r>
      <w:r w:rsidR="00AA59C4" w:rsidRPr="001162EF">
        <w:rPr>
          <w:rFonts w:ascii="Times New Roman" w:hAnsi="Times New Roman"/>
          <w:color w:val="010000"/>
        </w:rPr>
        <w:t>”</w:t>
      </w:r>
      <w:r w:rsidRPr="001162EF">
        <w:rPr>
          <w:rFonts w:ascii="Times New Roman" w:hAnsi="Times New Roman"/>
          <w:color w:val="010000"/>
        </w:rPr>
        <w:t xml:space="preserve"> ibaresinin Anayasada </w:t>
      </w:r>
      <w:r w:rsidR="00AA59C4" w:rsidRPr="001162EF">
        <w:rPr>
          <w:rFonts w:ascii="Times New Roman" w:hAnsi="Times New Roman"/>
          <w:color w:val="010000"/>
        </w:rPr>
        <w:t>“</w:t>
      </w:r>
      <w:r w:rsidRPr="001162EF">
        <w:rPr>
          <w:rFonts w:ascii="Times New Roman" w:hAnsi="Times New Roman"/>
          <w:color w:val="010000"/>
        </w:rPr>
        <w:t>kanunla düzenlenir veya kanunla konulur, değiştirilir veya kaldırılır</w:t>
      </w:r>
      <w:r w:rsidR="00AA59C4" w:rsidRPr="001162EF">
        <w:rPr>
          <w:rFonts w:ascii="Times New Roman" w:hAnsi="Times New Roman"/>
          <w:color w:val="010000"/>
        </w:rPr>
        <w:t>”</w:t>
      </w:r>
      <w:r w:rsidRPr="001162EF">
        <w:rPr>
          <w:rFonts w:ascii="Times New Roman" w:hAnsi="Times New Roman"/>
          <w:color w:val="010000"/>
        </w:rPr>
        <w:t xml:space="preserve"> vb. ifadelerin bulunduğu maddelere bakarak belirlenmesi gerekir. O halde Anayasa</w:t>
      </w:r>
      <w:r w:rsidR="00AA59C4" w:rsidRPr="001162EF">
        <w:rPr>
          <w:rFonts w:ascii="Times New Roman" w:hAnsi="Times New Roman"/>
          <w:color w:val="010000"/>
        </w:rPr>
        <w:t>’</w:t>
      </w:r>
      <w:r w:rsidRPr="001162EF">
        <w:rPr>
          <w:rFonts w:ascii="Times New Roman" w:hAnsi="Times New Roman"/>
          <w:color w:val="010000"/>
        </w:rPr>
        <w:t>nın bir maddesinde bir konunun yasayla düzenlenmesi öngörülmüşse o konunun Cumhurbaşkanlığı kararnamesi ile düzenlenmesi Anayasa</w:t>
      </w:r>
      <w:r w:rsidR="00AA59C4" w:rsidRPr="001162EF">
        <w:rPr>
          <w:rFonts w:ascii="Times New Roman" w:hAnsi="Times New Roman"/>
          <w:color w:val="010000"/>
        </w:rPr>
        <w:t>’</w:t>
      </w:r>
      <w:r w:rsidRPr="001162EF">
        <w:rPr>
          <w:rFonts w:ascii="Times New Roman" w:hAnsi="Times New Roman"/>
          <w:color w:val="010000"/>
        </w:rPr>
        <w:t>nın 7. ve 104/17. maddelerine aykırılık oluşturacaktır.</w:t>
      </w:r>
      <w:r w:rsidR="001162EF" w:rsidRPr="001162EF">
        <w:rPr>
          <w:rFonts w:ascii="Times New Roman" w:hAnsi="Times New Roman"/>
          <w:color w:val="010000"/>
        </w:rPr>
        <w:t xml:space="preserve"> </w:t>
      </w:r>
    </w:p>
    <w:p w:rsidR="001162EF" w:rsidRPr="001162EF" w:rsidRDefault="001162EF" w:rsidP="001162EF">
      <w:pPr>
        <w:spacing w:before="240" w:after="100" w:afterAutospacing="1"/>
        <w:ind w:firstLine="709"/>
        <w:jc w:val="both"/>
        <w:rPr>
          <w:rFonts w:ascii="Times New Roman" w:hAnsi="Times New Roman"/>
          <w:color w:val="010000"/>
        </w:rPr>
      </w:pPr>
      <w:proofErr w:type="gramStart"/>
      <w:r w:rsidRPr="001162EF">
        <w:rPr>
          <w:rFonts w:ascii="Times New Roman" w:hAnsi="Times New Roman"/>
          <w:color w:val="010000"/>
        </w:rPr>
        <w:t>4. )</w:t>
      </w:r>
      <w:proofErr w:type="gramEnd"/>
      <w:r w:rsidRPr="001162EF">
        <w:rPr>
          <w:rFonts w:ascii="Times New Roman" w:hAnsi="Times New Roman"/>
          <w:color w:val="010000"/>
        </w:rPr>
        <w:t xml:space="preserve"> Bir diğer sınır ise “Kanunda açıkça düzenlenen konularda Cumhurbaşkanlığı kararnamesi çıkarılamaz” kuralıdır. Bir konu yasa ile açıkça düzenlenmişse Cumhurbaşkanlığı kararnamesi çıkartılamaz. Elbette </w:t>
      </w:r>
      <w:proofErr w:type="spellStart"/>
      <w:r w:rsidRPr="001162EF">
        <w:rPr>
          <w:rFonts w:ascii="Times New Roman" w:hAnsi="Times New Roman"/>
          <w:color w:val="010000"/>
        </w:rPr>
        <w:t>CBK’lerin</w:t>
      </w:r>
      <w:proofErr w:type="spellEnd"/>
      <w:r w:rsidRPr="001162EF">
        <w:rPr>
          <w:rFonts w:ascii="Times New Roman" w:hAnsi="Times New Roman"/>
          <w:color w:val="010000"/>
        </w:rPr>
        <w:t xml:space="preserve"> çıkarılması için kanun hükmünde kararnamelerde olduğu gibi yasa ile yetkilendirme gerekmez. Ancak kanun hükmünde kararnamelerle yasaları değiştirebilirken </w:t>
      </w:r>
      <w:proofErr w:type="spellStart"/>
      <w:r w:rsidRPr="001162EF">
        <w:rPr>
          <w:rFonts w:ascii="Times New Roman" w:hAnsi="Times New Roman"/>
          <w:color w:val="010000"/>
        </w:rPr>
        <w:t>CBK’ler</w:t>
      </w:r>
      <w:proofErr w:type="spellEnd"/>
      <w:r w:rsidRPr="001162EF">
        <w:rPr>
          <w:rFonts w:ascii="Times New Roman" w:hAnsi="Times New Roman"/>
          <w:color w:val="010000"/>
        </w:rPr>
        <w:t xml:space="preserve"> yasaların açıkça düzenlediği hususlarda bir düzenleme </w:t>
      </w:r>
      <w:r w:rsidRPr="001162EF">
        <w:rPr>
          <w:rFonts w:ascii="Times New Roman" w:hAnsi="Times New Roman"/>
          <w:color w:val="010000"/>
        </w:rPr>
        <w:lastRenderedPageBreak/>
        <w:t xml:space="preserve">yapamamakta, “Cumhurbaşkanlığı kararnamesi ile kanunlarda farklı hükümler bulunması halinde, kanun hükümleri </w:t>
      </w:r>
      <w:proofErr w:type="spellStart"/>
      <w:r w:rsidRPr="001162EF">
        <w:rPr>
          <w:rFonts w:ascii="Times New Roman" w:hAnsi="Times New Roman"/>
          <w:color w:val="010000"/>
        </w:rPr>
        <w:t>uygulan”makta</w:t>
      </w:r>
      <w:proofErr w:type="spellEnd"/>
      <w:r w:rsidRPr="001162EF">
        <w:rPr>
          <w:rFonts w:ascii="Times New Roman" w:hAnsi="Times New Roman"/>
          <w:color w:val="010000"/>
        </w:rPr>
        <w:t xml:space="preserve">, “Türkiye Büyük Millet Meclisinin aynı konuda kanun çıkarması durumunda, Cumhurbaşkanlığı kararnamesi hükümsüz hale </w:t>
      </w:r>
      <w:proofErr w:type="spellStart"/>
      <w:r w:rsidRPr="001162EF">
        <w:rPr>
          <w:rFonts w:ascii="Times New Roman" w:hAnsi="Times New Roman"/>
          <w:color w:val="010000"/>
        </w:rPr>
        <w:t>gel”mektedir</w:t>
      </w:r>
      <w:proofErr w:type="spellEnd"/>
      <w:r w:rsidRPr="001162EF">
        <w:rPr>
          <w:rFonts w:ascii="Times New Roman" w:hAnsi="Times New Roman"/>
          <w:color w:val="010000"/>
        </w:rPr>
        <w:t>. Bu hükümler açıkça Cumhurbaşkanlığı kararnamesinin yasa gücünde olmadığını, Cumhurbaşkanlığı kararnamesiyle yasaların değiştirilemeyeceğini gösterir.</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Bu açıklamalar ışığında Anayasa</w:t>
      </w:r>
      <w:r w:rsidR="00AA59C4" w:rsidRPr="001162EF">
        <w:rPr>
          <w:rFonts w:ascii="Times New Roman" w:hAnsi="Times New Roman"/>
          <w:color w:val="010000"/>
        </w:rPr>
        <w:t>’</w:t>
      </w:r>
      <w:r w:rsidRPr="001162EF">
        <w:rPr>
          <w:rFonts w:ascii="Times New Roman" w:hAnsi="Times New Roman"/>
          <w:color w:val="010000"/>
        </w:rPr>
        <w:t>nın Cumhurbaşkanı kararnamesiyle doğrudan düzenleme yetkisi verdiği konularda dahi CBK ile kanunlarda değişiklik yapılması mümkün değildir. Örneğin Anayasa</w:t>
      </w:r>
      <w:r w:rsidR="00AA59C4" w:rsidRPr="001162EF">
        <w:rPr>
          <w:rFonts w:ascii="Times New Roman" w:hAnsi="Times New Roman"/>
          <w:color w:val="010000"/>
        </w:rPr>
        <w:t>’</w:t>
      </w:r>
      <w:r w:rsidRPr="001162EF">
        <w:rPr>
          <w:rFonts w:ascii="Times New Roman" w:hAnsi="Times New Roman"/>
          <w:color w:val="010000"/>
        </w:rPr>
        <w:t xml:space="preserve">nın 106/son maddesine göre </w:t>
      </w:r>
      <w:r w:rsidR="00AA59C4" w:rsidRPr="001162EF">
        <w:rPr>
          <w:rFonts w:ascii="Times New Roman" w:hAnsi="Times New Roman"/>
          <w:color w:val="010000"/>
        </w:rPr>
        <w:t>“</w:t>
      </w:r>
      <w:r w:rsidRPr="001162EF">
        <w:rPr>
          <w:rFonts w:ascii="Times New Roman" w:hAnsi="Times New Roman"/>
          <w:color w:val="010000"/>
        </w:rPr>
        <w:t>Bakanlıkların kurulması, kaldırılması, görevleri ve yetkileri, teşkilat yapısı ile merkez ve taşra teşkilatlarının kurulması Cumhurbaşkanlığı kararnamesiyle düzenlenir.</w:t>
      </w:r>
      <w:r w:rsidR="00AA59C4" w:rsidRPr="001162EF">
        <w:rPr>
          <w:rFonts w:ascii="Times New Roman" w:hAnsi="Times New Roman"/>
          <w:color w:val="010000"/>
        </w:rPr>
        <w:t>”</w:t>
      </w:r>
      <w:r w:rsidRPr="001162EF">
        <w:rPr>
          <w:rFonts w:ascii="Times New Roman" w:hAnsi="Times New Roman"/>
          <w:color w:val="010000"/>
        </w:rPr>
        <w:t xml:space="preserve"> Ancak bu, bakanlıkların kurulmasına ilişkin olarak mevcut yasalarda CBK ile değişiklik yapılabileceği anlamına gelmemektedir. Sonuç olarak Anayasa</w:t>
      </w:r>
      <w:r w:rsidR="00AA59C4" w:rsidRPr="001162EF">
        <w:rPr>
          <w:rFonts w:ascii="Times New Roman" w:hAnsi="Times New Roman"/>
          <w:color w:val="010000"/>
        </w:rPr>
        <w:t>’</w:t>
      </w:r>
      <w:r w:rsidRPr="001162EF">
        <w:rPr>
          <w:rFonts w:ascii="Times New Roman" w:hAnsi="Times New Roman"/>
          <w:color w:val="010000"/>
        </w:rPr>
        <w:t xml:space="preserve">nın 104. maddesinin </w:t>
      </w:r>
      <w:proofErr w:type="spellStart"/>
      <w:r w:rsidRPr="001162EF">
        <w:rPr>
          <w:rFonts w:ascii="Times New Roman" w:hAnsi="Times New Roman"/>
          <w:color w:val="010000"/>
        </w:rPr>
        <w:t>onyedinci</w:t>
      </w:r>
      <w:proofErr w:type="spellEnd"/>
      <w:r w:rsidRPr="001162EF">
        <w:rPr>
          <w:rFonts w:ascii="Times New Roman" w:hAnsi="Times New Roman"/>
          <w:color w:val="010000"/>
        </w:rPr>
        <w:t xml:space="preserve"> fıkrasının mevcut hükümleri karşısında hangi konuda olursa olsun CBK ile bir yasayı değiştirmek veya yürürlükten kaldırmak mümkün değildir.</w:t>
      </w:r>
      <w:r w:rsidR="001162EF" w:rsidRPr="001162EF">
        <w:rPr>
          <w:rFonts w:ascii="Times New Roman" w:hAnsi="Times New Roman"/>
          <w:color w:val="010000"/>
        </w:rPr>
        <w:t xml:space="preserve">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2.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lerle</w:t>
      </w:r>
      <w:proofErr w:type="spellEnd"/>
      <w:r w:rsidRPr="001162EF">
        <w:rPr>
          <w:rFonts w:ascii="Times New Roman" w:hAnsi="Times New Roman"/>
          <w:color w:val="010000"/>
        </w:rPr>
        <w:t xml:space="preserve"> ilgili Olarak Anayasa Mahkemesi Denetiminin Kapsamı</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Anayasa Mahkemesi</w:t>
      </w:r>
      <w:r w:rsidR="00AA59C4" w:rsidRPr="001162EF">
        <w:rPr>
          <w:rFonts w:ascii="Times New Roman" w:hAnsi="Times New Roman"/>
          <w:color w:val="010000"/>
        </w:rPr>
        <w:t>’</w:t>
      </w:r>
      <w:r w:rsidRPr="001162EF">
        <w:rPr>
          <w:rFonts w:ascii="Times New Roman" w:hAnsi="Times New Roman"/>
          <w:color w:val="010000"/>
        </w:rPr>
        <w:t>nin denetim kapsamına giren işlemlerden biri de Cumhurbaşkanlığı kararnamesidir. Anayasa</w:t>
      </w:r>
      <w:r w:rsidR="00AA59C4" w:rsidRPr="001162EF">
        <w:rPr>
          <w:rFonts w:ascii="Times New Roman" w:hAnsi="Times New Roman"/>
          <w:color w:val="010000"/>
        </w:rPr>
        <w:t>’</w:t>
      </w:r>
      <w:r w:rsidRPr="001162EF">
        <w:rPr>
          <w:rFonts w:ascii="Times New Roman" w:hAnsi="Times New Roman"/>
          <w:color w:val="010000"/>
        </w:rPr>
        <w:t>nın 148., 150., 151., 152. ve 153. maddelerinde daha önce mevcut olan kanun hükmünde kararname yerine Cumhurbaşkanlığı kararnamesi ibaresi konulmuştur.</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Anayasa</w:t>
      </w:r>
      <w:r w:rsidR="00AA59C4" w:rsidRPr="001162EF">
        <w:rPr>
          <w:rFonts w:ascii="Times New Roman" w:hAnsi="Times New Roman"/>
          <w:color w:val="010000"/>
        </w:rPr>
        <w:t>’</w:t>
      </w:r>
      <w:r w:rsidRPr="001162EF">
        <w:rPr>
          <w:rFonts w:ascii="Times New Roman" w:hAnsi="Times New Roman"/>
          <w:color w:val="010000"/>
        </w:rPr>
        <w:t xml:space="preserve">nın 148. maddesi bu konuda gayet açıktır: </w:t>
      </w:r>
      <w:r w:rsidR="00AA59C4" w:rsidRPr="001162EF">
        <w:rPr>
          <w:rFonts w:ascii="Times New Roman" w:hAnsi="Times New Roman"/>
          <w:color w:val="010000"/>
        </w:rPr>
        <w:t>“</w:t>
      </w:r>
      <w:r w:rsidRPr="001162EF">
        <w:rPr>
          <w:rFonts w:ascii="Times New Roman" w:hAnsi="Times New Roman"/>
          <w:color w:val="010000"/>
        </w:rPr>
        <w:t>Anayasa Mahkemesi, kanunların, Cumhurbaşkanlığı kararnamelerinin ve Türkiye Büyük Millet Meclisi İçtüzüğünün Anayasaya şekil ve esas bakımlarından uygunluğunu denetler ve bireysel başvuruları karara bağlar. … Ancak, olağanüstü hallerde ve savaş hallerinde çıkarılan Cumhurbaşkanlığı kararnamelerinin şekil ve esas bakımından Anayasaya aykırılığı iddiasıyla, Anayasa Mahkemesinde dava açılamaz.</w:t>
      </w:r>
      <w:r w:rsidR="00AA59C4" w:rsidRPr="001162EF">
        <w:rPr>
          <w:rFonts w:ascii="Times New Roman" w:hAnsi="Times New Roman"/>
          <w:color w:val="010000"/>
        </w:rPr>
        <w:t>”</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Bu maddede yapılan değişiklikle Anayasa</w:t>
      </w:r>
      <w:r w:rsidR="00AA59C4" w:rsidRPr="001162EF">
        <w:rPr>
          <w:rFonts w:ascii="Times New Roman" w:hAnsi="Times New Roman"/>
          <w:color w:val="010000"/>
        </w:rPr>
        <w:t>’</w:t>
      </w:r>
      <w:r w:rsidRPr="001162EF">
        <w:rPr>
          <w:rFonts w:ascii="Times New Roman" w:hAnsi="Times New Roman"/>
          <w:color w:val="010000"/>
        </w:rPr>
        <w:t xml:space="preserve">nın 2017 öncesi halinde 91. maddede düzenlenen ve 6771 sayılı Kanun ile kaldırılan kanun hükmünde kararname ifadesi yerine Cumhurbaşkanlığı kararnamesi ibaresi konulmuştur. Ayrıca olağanüstü kanun hükmünde kararnamelerde olduğu gibi olağanüstü hallerde ve savaş hallerinde çıkarılan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lerin</w:t>
      </w:r>
      <w:proofErr w:type="spellEnd"/>
      <w:r w:rsidRPr="001162EF">
        <w:rPr>
          <w:rFonts w:ascii="Times New Roman" w:hAnsi="Times New Roman"/>
          <w:color w:val="010000"/>
        </w:rPr>
        <w:t xml:space="preserve"> de anayasallık denetiminin yapılamayacağı ifade edilmiştir.</w:t>
      </w:r>
      <w:r w:rsidR="001162EF" w:rsidRPr="001162EF">
        <w:rPr>
          <w:rFonts w:ascii="Times New Roman" w:hAnsi="Times New Roman"/>
          <w:color w:val="010000"/>
        </w:rPr>
        <w:t xml:space="preserve">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150. maddede ise Cumhurbaşkanlığı kararnamelerinin iptali için dava açma hakkının kimlere tanındığı belirtilir: Cumhurbaşkanlığı kararnamelerinin, </w:t>
      </w:r>
      <w:r w:rsidR="00AA59C4" w:rsidRPr="001162EF">
        <w:rPr>
          <w:rFonts w:ascii="Times New Roman" w:hAnsi="Times New Roman"/>
          <w:color w:val="010000"/>
        </w:rPr>
        <w:t>“</w:t>
      </w:r>
      <w:r w:rsidRPr="001162EF">
        <w:rPr>
          <w:rFonts w:ascii="Times New Roman" w:hAnsi="Times New Roman"/>
          <w:color w:val="010000"/>
        </w:rPr>
        <w:t>Anayasaya aykırılığı iddiasıyla Anayasa Mahkemesinde doğrudan doğruya iptal davası açabilme hakkı, Cumhurbaşkanına, Türkiye Büyük Millet Meclisinde en fazla üyeye sahip iki siyasi parti grubuna ve üye tamsayısının en az beşte biri tutarındaki üyelere aittir.</w:t>
      </w:r>
      <w:r w:rsidR="00AA59C4" w:rsidRPr="001162EF">
        <w:rPr>
          <w:rFonts w:ascii="Times New Roman" w:hAnsi="Times New Roman"/>
          <w:color w:val="010000"/>
        </w:rPr>
        <w:t>”</w:t>
      </w:r>
      <w:r w:rsidRPr="001162EF">
        <w:rPr>
          <w:rFonts w:ascii="Times New Roman" w:hAnsi="Times New Roman"/>
          <w:color w:val="010000"/>
        </w:rPr>
        <w:t xml:space="preserve"> Anayasa, ayrıca, itiraz dava yolunda, yani Anayasaya aykırılığın diğer mahkemelerde ileri sürülmesinde, </w:t>
      </w:r>
      <w:r w:rsidR="00AA59C4" w:rsidRPr="001162EF">
        <w:rPr>
          <w:rFonts w:ascii="Times New Roman" w:hAnsi="Times New Roman"/>
          <w:color w:val="010000"/>
        </w:rPr>
        <w:t>“</w:t>
      </w:r>
      <w:r w:rsidRPr="001162EF">
        <w:rPr>
          <w:rFonts w:ascii="Times New Roman" w:hAnsi="Times New Roman"/>
          <w:color w:val="010000"/>
        </w:rPr>
        <w:t>Bir davaya bakmakta olan mahkeme, uygulanacak bir … Cumhurbaşkanlığı kararnamesinin hükümlerini Anayasaya aykırı görürse veya taraflardan birinin ileri sürdüğü aykırılık iddiasının ciddi olduğu kanısına varırsa, Anayasa Mahkemesi</w:t>
      </w:r>
      <w:r w:rsidR="00AA59C4" w:rsidRPr="001162EF">
        <w:rPr>
          <w:rFonts w:ascii="Times New Roman" w:hAnsi="Times New Roman"/>
          <w:color w:val="010000"/>
        </w:rPr>
        <w:t>’</w:t>
      </w:r>
      <w:r w:rsidRPr="001162EF">
        <w:rPr>
          <w:rFonts w:ascii="Times New Roman" w:hAnsi="Times New Roman"/>
          <w:color w:val="010000"/>
        </w:rPr>
        <w:t>nin bu konuda vereceği karara kadar davayı geri bırakır.</w:t>
      </w:r>
      <w:r w:rsidR="00AA59C4" w:rsidRPr="001162EF">
        <w:rPr>
          <w:rFonts w:ascii="Times New Roman" w:hAnsi="Times New Roman"/>
          <w:color w:val="010000"/>
        </w:rPr>
        <w:t>”</w:t>
      </w:r>
      <w:r w:rsidRPr="001162EF">
        <w:rPr>
          <w:rFonts w:ascii="Times New Roman" w:hAnsi="Times New Roman"/>
          <w:color w:val="010000"/>
        </w:rPr>
        <w:t xml:space="preserve"> demektedir (madde 152). Cumhurbaşkanlığı kararnameleri bir davaya uygulanacak kural olduğunda söz konusu CBK hükmü somut norm denetimi yoluyla Anayasa Mahkemesi önüne götürülebilecektir.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lastRenderedPageBreak/>
        <w:t xml:space="preserve">153. maddede ise Cumhurbaşkanlığı kararnamesi hakkında verilen iptal kararının, kararın Resmî </w:t>
      </w:r>
      <w:proofErr w:type="spellStart"/>
      <w:r w:rsidRPr="001162EF">
        <w:rPr>
          <w:rFonts w:ascii="Times New Roman" w:hAnsi="Times New Roman"/>
          <w:color w:val="010000"/>
        </w:rPr>
        <w:t>Gazete</w:t>
      </w:r>
      <w:r w:rsidR="00AA59C4" w:rsidRPr="001162EF">
        <w:rPr>
          <w:rFonts w:ascii="Times New Roman" w:hAnsi="Times New Roman"/>
          <w:color w:val="010000"/>
        </w:rPr>
        <w:t>’</w:t>
      </w:r>
      <w:r w:rsidRPr="001162EF">
        <w:rPr>
          <w:rFonts w:ascii="Times New Roman" w:hAnsi="Times New Roman"/>
          <w:color w:val="010000"/>
        </w:rPr>
        <w:t>de</w:t>
      </w:r>
      <w:proofErr w:type="spellEnd"/>
      <w:r w:rsidRPr="001162EF">
        <w:rPr>
          <w:rFonts w:ascii="Times New Roman" w:hAnsi="Times New Roman"/>
          <w:color w:val="010000"/>
        </w:rPr>
        <w:t xml:space="preserve"> yayımlanması ile hukuki sonucunu doğuracağı ifade edilmiş, Anayasa Mahkemesi</w:t>
      </w:r>
      <w:r w:rsidR="00AA59C4" w:rsidRPr="001162EF">
        <w:rPr>
          <w:rFonts w:ascii="Times New Roman" w:hAnsi="Times New Roman"/>
          <w:color w:val="010000"/>
        </w:rPr>
        <w:t>’</w:t>
      </w:r>
      <w:r w:rsidRPr="001162EF">
        <w:rPr>
          <w:rFonts w:ascii="Times New Roman" w:hAnsi="Times New Roman"/>
          <w:color w:val="010000"/>
        </w:rPr>
        <w:t xml:space="preserve">ne iptal hükmünün yürürlüğe gireceği tarihi ayrıca kararlaştırabilme </w:t>
      </w:r>
      <w:proofErr w:type="gramStart"/>
      <w:r w:rsidRPr="001162EF">
        <w:rPr>
          <w:rFonts w:ascii="Times New Roman" w:hAnsi="Times New Roman"/>
          <w:color w:val="010000"/>
        </w:rPr>
        <w:t>imkanı</w:t>
      </w:r>
      <w:proofErr w:type="gramEnd"/>
      <w:r w:rsidRPr="001162EF">
        <w:rPr>
          <w:rFonts w:ascii="Times New Roman" w:hAnsi="Times New Roman"/>
          <w:color w:val="010000"/>
        </w:rPr>
        <w:t xml:space="preserve"> da tanınmıştır.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Anayasa Mahkemesi bu denetimi nasıl ve hangi çerçevede yapmalıdır? Yargısal denetimde Anayasa Mahkemesi öncelikle bir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nin</w:t>
      </w:r>
      <w:proofErr w:type="spellEnd"/>
      <w:r w:rsidRPr="001162EF">
        <w:rPr>
          <w:rFonts w:ascii="Times New Roman" w:hAnsi="Times New Roman"/>
          <w:color w:val="010000"/>
        </w:rPr>
        <w:t xml:space="preserve"> Anayasa</w:t>
      </w:r>
      <w:r w:rsidR="00AA59C4" w:rsidRPr="001162EF">
        <w:rPr>
          <w:rFonts w:ascii="Times New Roman" w:hAnsi="Times New Roman"/>
          <w:color w:val="010000"/>
        </w:rPr>
        <w:t>’</w:t>
      </w:r>
      <w:r w:rsidRPr="001162EF">
        <w:rPr>
          <w:rFonts w:ascii="Times New Roman" w:hAnsi="Times New Roman"/>
          <w:color w:val="010000"/>
        </w:rPr>
        <w:t xml:space="preserve">da CBK ile düzenlenmesi öngörülen hususlarda düzenleme içerip içermediği yani yetki yönünden denetleyecektir. Dolayısıyla CBK yetki kapsamı dışında bir konuyu düzenlemişse doğrudan yetkisizlik dolayısıyla iptal edilmelidir.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nin</w:t>
      </w:r>
      <w:proofErr w:type="spellEnd"/>
      <w:r w:rsidRPr="001162EF">
        <w:rPr>
          <w:rFonts w:ascii="Times New Roman" w:hAnsi="Times New Roman"/>
          <w:color w:val="010000"/>
        </w:rPr>
        <w:t xml:space="preserve"> yetki kapsamı içinde olduğu sonucuna varırsa Anayasa Mahkemesi bu kez düzenlemenin esas bakımından Anayasa</w:t>
      </w:r>
      <w:r w:rsidR="00AA59C4" w:rsidRPr="001162EF">
        <w:rPr>
          <w:rFonts w:ascii="Times New Roman" w:hAnsi="Times New Roman"/>
          <w:color w:val="010000"/>
        </w:rPr>
        <w:t>’</w:t>
      </w:r>
      <w:r w:rsidRPr="001162EF">
        <w:rPr>
          <w:rFonts w:ascii="Times New Roman" w:hAnsi="Times New Roman"/>
          <w:color w:val="010000"/>
        </w:rPr>
        <w:t>nın ilgili maddelerine uygunluğunu inceleyecektir. Her ne kadar Anayasa</w:t>
      </w:r>
      <w:r w:rsidR="00AA59C4" w:rsidRPr="001162EF">
        <w:rPr>
          <w:rFonts w:ascii="Times New Roman" w:hAnsi="Times New Roman"/>
          <w:color w:val="010000"/>
        </w:rPr>
        <w:t>’</w:t>
      </w:r>
      <w:r w:rsidRPr="001162EF">
        <w:rPr>
          <w:rFonts w:ascii="Times New Roman" w:hAnsi="Times New Roman"/>
          <w:color w:val="010000"/>
        </w:rPr>
        <w:t xml:space="preserve">nın 148. maddesinde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lerin</w:t>
      </w:r>
      <w:proofErr w:type="spellEnd"/>
      <w:r w:rsidRPr="001162EF">
        <w:rPr>
          <w:rFonts w:ascii="Times New Roman" w:hAnsi="Times New Roman"/>
          <w:color w:val="010000"/>
        </w:rPr>
        <w:t xml:space="preserve"> şekil ve esas bakımlarından Anayasa</w:t>
      </w:r>
      <w:r w:rsidR="00AA59C4" w:rsidRPr="001162EF">
        <w:rPr>
          <w:rFonts w:ascii="Times New Roman" w:hAnsi="Times New Roman"/>
          <w:color w:val="010000"/>
        </w:rPr>
        <w:t>’</w:t>
      </w:r>
      <w:r w:rsidRPr="001162EF">
        <w:rPr>
          <w:rFonts w:ascii="Times New Roman" w:hAnsi="Times New Roman"/>
          <w:color w:val="010000"/>
        </w:rPr>
        <w:t>ya uygunluk denetiminden söz edilmişse de bu denetim 104. maddenin 17. fıkrasındaki koşulların bir bütün olarak Anayasa Mahkemesi tarafından denetlenmesini gerektirir. Çünkü Anayasa</w:t>
      </w:r>
      <w:r w:rsidR="00AA59C4" w:rsidRPr="001162EF">
        <w:rPr>
          <w:rFonts w:ascii="Times New Roman" w:hAnsi="Times New Roman"/>
          <w:color w:val="010000"/>
        </w:rPr>
        <w:t>’</w:t>
      </w:r>
      <w:r w:rsidRPr="001162EF">
        <w:rPr>
          <w:rFonts w:ascii="Times New Roman" w:hAnsi="Times New Roman"/>
          <w:color w:val="010000"/>
        </w:rPr>
        <w:t xml:space="preserve">da, Cumhurbaşkanına ancak fıkrada belirtilen sınırlar içinde CBK çıkarma yetkisi verilmiştir. Bu sınırların aşılması,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yi</w:t>
      </w:r>
      <w:proofErr w:type="spellEnd"/>
      <w:r w:rsidRPr="001162EF">
        <w:rPr>
          <w:rFonts w:ascii="Times New Roman" w:hAnsi="Times New Roman"/>
          <w:color w:val="010000"/>
        </w:rPr>
        <w:t xml:space="preserve"> Anayasa</w:t>
      </w:r>
      <w:r w:rsidR="00AA59C4" w:rsidRPr="001162EF">
        <w:rPr>
          <w:rFonts w:ascii="Times New Roman" w:hAnsi="Times New Roman"/>
          <w:color w:val="010000"/>
        </w:rPr>
        <w:t>’</w:t>
      </w:r>
      <w:r w:rsidRPr="001162EF">
        <w:rPr>
          <w:rFonts w:ascii="Times New Roman" w:hAnsi="Times New Roman"/>
          <w:color w:val="010000"/>
        </w:rPr>
        <w:t xml:space="preserve">ya aykırı hale getirir. Böylece,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nin</w:t>
      </w:r>
      <w:proofErr w:type="spellEnd"/>
      <w:r w:rsidRPr="001162EF">
        <w:rPr>
          <w:rFonts w:ascii="Times New Roman" w:hAnsi="Times New Roman"/>
          <w:color w:val="010000"/>
        </w:rPr>
        <w:t xml:space="preserve"> örneğin kanunun açıkça düzenlediği bir hususu içermesi onun Anayasa</w:t>
      </w:r>
      <w:r w:rsidR="00AA59C4" w:rsidRPr="001162EF">
        <w:rPr>
          <w:rFonts w:ascii="Times New Roman" w:hAnsi="Times New Roman"/>
          <w:color w:val="010000"/>
        </w:rPr>
        <w:t>’</w:t>
      </w:r>
      <w:r w:rsidRPr="001162EF">
        <w:rPr>
          <w:rFonts w:ascii="Times New Roman" w:hAnsi="Times New Roman"/>
          <w:color w:val="010000"/>
        </w:rPr>
        <w:t xml:space="preserve">ya aykırı olması sonucunu doğurur.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Bu açıdan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lerin</w:t>
      </w:r>
      <w:proofErr w:type="spellEnd"/>
      <w:r w:rsidRPr="001162EF">
        <w:rPr>
          <w:rFonts w:ascii="Times New Roman" w:hAnsi="Times New Roman"/>
          <w:color w:val="010000"/>
        </w:rPr>
        <w:t xml:space="preserve"> denetimi yasaların denetiminden farklıdır. Yasaların esas denetiminde sadece yasanın maddi bakımdan anayasaya uygunluğu inceleme konusu olurken,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lerin</w:t>
      </w:r>
      <w:proofErr w:type="spellEnd"/>
      <w:r w:rsidRPr="001162EF">
        <w:rPr>
          <w:rFonts w:ascii="Times New Roman" w:hAnsi="Times New Roman"/>
          <w:color w:val="010000"/>
        </w:rPr>
        <w:t xml:space="preserve"> önce yetki yönünden incelenerek, Anayasa</w:t>
      </w:r>
      <w:r w:rsidR="00AA59C4" w:rsidRPr="001162EF">
        <w:rPr>
          <w:rFonts w:ascii="Times New Roman" w:hAnsi="Times New Roman"/>
          <w:color w:val="010000"/>
        </w:rPr>
        <w:t>’</w:t>
      </w:r>
      <w:r w:rsidRPr="001162EF">
        <w:rPr>
          <w:rFonts w:ascii="Times New Roman" w:hAnsi="Times New Roman"/>
          <w:color w:val="010000"/>
        </w:rPr>
        <w:t xml:space="preserve">nın 104/17. maddedeki sınırlara uyulup uyulmadığı denetlemelidir. Bu çerçevede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nın</w:t>
      </w:r>
      <w:proofErr w:type="spellEnd"/>
      <w:r w:rsidRPr="001162EF">
        <w:rPr>
          <w:rFonts w:ascii="Times New Roman" w:hAnsi="Times New Roman"/>
          <w:color w:val="010000"/>
        </w:rPr>
        <w:t xml:space="preserve"> bir temel hakkı düzenleyip düzenlemediği, Anayasa</w:t>
      </w:r>
      <w:r w:rsidR="00AA59C4" w:rsidRPr="001162EF">
        <w:rPr>
          <w:rFonts w:ascii="Times New Roman" w:hAnsi="Times New Roman"/>
          <w:color w:val="010000"/>
        </w:rPr>
        <w:t>’</w:t>
      </w:r>
      <w:r w:rsidRPr="001162EF">
        <w:rPr>
          <w:rFonts w:ascii="Times New Roman" w:hAnsi="Times New Roman"/>
          <w:color w:val="010000"/>
        </w:rPr>
        <w:t xml:space="preserve">da yasa kaydı olan ya da bir kanun tarafından düzenlenmiş bulunan bir konuda düzenlemeye yer verilip verilmediği öncelikle ele alınmalıdır.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Ayrıca sosyal ve ekonomik haklar konusunda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lerin</w:t>
      </w:r>
      <w:proofErr w:type="spellEnd"/>
      <w:r w:rsidRPr="001162EF">
        <w:rPr>
          <w:rFonts w:ascii="Times New Roman" w:hAnsi="Times New Roman"/>
          <w:color w:val="010000"/>
        </w:rPr>
        <w:t xml:space="preserve"> hak üzerindeki somut etkisi inceleme dikkate alınmalıdır. Bu yönden bir CBK hak ve hürriyetleri sınırlayıcı nitelikte ise, konu yasama yetkisinin alanına kayacak ve CBK Anayasaya aykırı hale gelebilecektir. Bu nedenle sosyal ve ekonomik haklara ilişkin olarak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lerde</w:t>
      </w:r>
      <w:proofErr w:type="spellEnd"/>
      <w:r w:rsidRPr="001162EF">
        <w:rPr>
          <w:rFonts w:ascii="Times New Roman" w:hAnsi="Times New Roman"/>
          <w:color w:val="010000"/>
        </w:rPr>
        <w:t xml:space="preserve"> yer alan her bir hükmün somut etkileri dikkate alınarak bir değerlendirme yapılmalıdır. Bu çerçevede hangi kuralın hak ve hürriyetleri kısıtlayıcı, hangi kuralın sadece düzenleyici nitelikte olduğunun tespiti oldukça zor olacaktır.</w:t>
      </w:r>
      <w:r w:rsidR="001162EF" w:rsidRPr="001162EF">
        <w:rPr>
          <w:rFonts w:ascii="Times New Roman" w:hAnsi="Times New Roman"/>
          <w:color w:val="010000"/>
        </w:rPr>
        <w:t xml:space="preserve">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Bütün bu belirtilen nedenlerle </w:t>
      </w:r>
      <w:proofErr w:type="spellStart"/>
      <w:r w:rsidRPr="001162EF">
        <w:rPr>
          <w:rFonts w:ascii="Times New Roman" w:hAnsi="Times New Roman"/>
          <w:color w:val="010000"/>
        </w:rPr>
        <w:t>AYM</w:t>
      </w:r>
      <w:r w:rsidR="00AA59C4" w:rsidRPr="001162EF">
        <w:rPr>
          <w:rFonts w:ascii="Times New Roman" w:hAnsi="Times New Roman"/>
          <w:color w:val="010000"/>
        </w:rPr>
        <w:t>’</w:t>
      </w:r>
      <w:r w:rsidRPr="001162EF">
        <w:rPr>
          <w:rFonts w:ascii="Times New Roman" w:hAnsi="Times New Roman"/>
          <w:color w:val="010000"/>
        </w:rPr>
        <w:t>nin</w:t>
      </w:r>
      <w:proofErr w:type="spellEnd"/>
      <w:r w:rsidRPr="001162EF">
        <w:rPr>
          <w:rFonts w:ascii="Times New Roman" w:hAnsi="Times New Roman"/>
          <w:color w:val="010000"/>
        </w:rPr>
        <w:t xml:space="preserve">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leri</w:t>
      </w:r>
      <w:proofErr w:type="spellEnd"/>
      <w:r w:rsidRPr="001162EF">
        <w:rPr>
          <w:rFonts w:ascii="Times New Roman" w:hAnsi="Times New Roman"/>
          <w:color w:val="010000"/>
        </w:rPr>
        <w:t xml:space="preserve"> denetimi ve bu konuda vereceği ilk kararı özel önem taşımaktadır. AYM,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leri</w:t>
      </w:r>
      <w:proofErr w:type="spellEnd"/>
      <w:r w:rsidRPr="001162EF">
        <w:rPr>
          <w:rFonts w:ascii="Times New Roman" w:hAnsi="Times New Roman"/>
          <w:color w:val="010000"/>
        </w:rPr>
        <w:t xml:space="preserve"> Anayasaya uygunluk değerlendirmesine tabi tutarken, yasa ve CBK farkını da belirlemek/vurgulamak durumundadır. Nitekim yasa, kural koymak için seçilen organ tarafından genel iradeyi temsilen hazırlanan hukuki işlem iken buna karşılık, Cumhurbaşkanlığı, genel iradenin temsilcisi organın koyduğu normu uygulamak için yürütmeyi temsil eden organdır. Cumhurbaşkanı</w:t>
      </w:r>
      <w:r w:rsidR="00AA59C4" w:rsidRPr="001162EF">
        <w:rPr>
          <w:rFonts w:ascii="Times New Roman" w:hAnsi="Times New Roman"/>
          <w:color w:val="010000"/>
        </w:rPr>
        <w:t>’</w:t>
      </w:r>
      <w:r w:rsidRPr="001162EF">
        <w:rPr>
          <w:rFonts w:ascii="Times New Roman" w:hAnsi="Times New Roman"/>
          <w:color w:val="010000"/>
        </w:rPr>
        <w:t xml:space="preserve">nın düzenleyici işlem yapması, ancak anayasanın açıkça yetkilendirmesi sonucu söz konusu olacağından istisnaidir; dahası, CBK, yasal düzenleme yapılması durumunda yürürlükten kalkacağına göre, -bu kayıtla- </w:t>
      </w:r>
      <w:r w:rsidR="00AA59C4" w:rsidRPr="001162EF">
        <w:rPr>
          <w:rFonts w:ascii="Times New Roman" w:hAnsi="Times New Roman"/>
          <w:color w:val="010000"/>
        </w:rPr>
        <w:t>“</w:t>
      </w:r>
      <w:r w:rsidRPr="001162EF">
        <w:rPr>
          <w:rFonts w:ascii="Times New Roman" w:hAnsi="Times New Roman"/>
          <w:color w:val="010000"/>
        </w:rPr>
        <w:t>geçici</w:t>
      </w:r>
      <w:r w:rsidR="00AA59C4" w:rsidRPr="001162EF">
        <w:rPr>
          <w:rFonts w:ascii="Times New Roman" w:hAnsi="Times New Roman"/>
          <w:color w:val="010000"/>
        </w:rPr>
        <w:t>”</w:t>
      </w:r>
      <w:r w:rsidRPr="001162EF">
        <w:rPr>
          <w:rFonts w:ascii="Times New Roman" w:hAnsi="Times New Roman"/>
          <w:color w:val="010000"/>
        </w:rPr>
        <w:t xml:space="preserve"> bir işlem olarak da adlandırılabilir. Bir başka deyişle, TBMM</w:t>
      </w:r>
      <w:r w:rsidR="00AA59C4" w:rsidRPr="001162EF">
        <w:rPr>
          <w:rFonts w:ascii="Times New Roman" w:hAnsi="Times New Roman"/>
          <w:color w:val="010000"/>
        </w:rPr>
        <w:t>’</w:t>
      </w:r>
      <w:r w:rsidRPr="001162EF">
        <w:rPr>
          <w:rFonts w:ascii="Times New Roman" w:hAnsi="Times New Roman"/>
          <w:color w:val="010000"/>
        </w:rPr>
        <w:t xml:space="preserve">nin müdahalesine kapalı bir CBK bulunmadığına göre, istisnai özellik ve geçicilik, birlikte kullanılabilir.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Anayasanın 148.</w:t>
      </w:r>
      <w:r w:rsidR="001162EF" w:rsidRPr="001162EF">
        <w:rPr>
          <w:rFonts w:ascii="Times New Roman" w:hAnsi="Times New Roman"/>
          <w:color w:val="010000"/>
        </w:rPr>
        <w:t xml:space="preserve"> </w:t>
      </w:r>
      <w:r w:rsidRPr="001162EF">
        <w:rPr>
          <w:rFonts w:ascii="Times New Roman" w:hAnsi="Times New Roman"/>
          <w:color w:val="010000"/>
        </w:rPr>
        <w:t>maddesi uyarınca olağanüstü halin gerekli kıldığı konularda çıkarılabilecek Cumhurbaşkanlığı kararnamelerinin Anayasa Mahkemesi</w:t>
      </w:r>
      <w:r w:rsidR="00AA59C4" w:rsidRPr="001162EF">
        <w:rPr>
          <w:rFonts w:ascii="Times New Roman" w:hAnsi="Times New Roman"/>
          <w:color w:val="010000"/>
        </w:rPr>
        <w:t>’</w:t>
      </w:r>
      <w:r w:rsidRPr="001162EF">
        <w:rPr>
          <w:rFonts w:ascii="Times New Roman" w:hAnsi="Times New Roman"/>
          <w:color w:val="010000"/>
        </w:rPr>
        <w:t xml:space="preserve">nin denetimi dışında tutulduğu görülmektedir </w:t>
      </w:r>
      <w:r w:rsidR="00AA59C4" w:rsidRPr="001162EF">
        <w:rPr>
          <w:rFonts w:ascii="Times New Roman" w:hAnsi="Times New Roman"/>
          <w:color w:val="010000"/>
        </w:rPr>
        <w:t>“</w:t>
      </w:r>
      <w:r w:rsidRPr="001162EF">
        <w:rPr>
          <w:rFonts w:ascii="Times New Roman" w:hAnsi="Times New Roman"/>
          <w:color w:val="010000"/>
        </w:rPr>
        <w:t>Ancak, olağanüstü hallerde ve savaş hallerinde çıkarılan Cumhurbaşkanlığı kararnamelerinin şekil ve esas bakımından Anayasaya aykırılığı iddiasıyla, Anayasa Mahkemesinde dava açılamaz</w:t>
      </w:r>
      <w:r w:rsidR="00AA59C4" w:rsidRPr="001162EF">
        <w:rPr>
          <w:rFonts w:ascii="Times New Roman" w:hAnsi="Times New Roman"/>
          <w:color w:val="010000"/>
        </w:rPr>
        <w:t>”</w:t>
      </w:r>
      <w:r w:rsidRPr="001162EF">
        <w:rPr>
          <w:rFonts w:ascii="Times New Roman" w:hAnsi="Times New Roman"/>
          <w:color w:val="010000"/>
        </w:rPr>
        <w:t xml:space="preserve"> (</w:t>
      </w:r>
      <w:proofErr w:type="spellStart"/>
      <w:r w:rsidRPr="001162EF">
        <w:rPr>
          <w:rFonts w:ascii="Times New Roman" w:hAnsi="Times New Roman"/>
          <w:color w:val="010000"/>
        </w:rPr>
        <w:t>md.</w:t>
      </w:r>
      <w:proofErr w:type="spellEnd"/>
      <w:r w:rsidRPr="001162EF">
        <w:rPr>
          <w:rFonts w:ascii="Times New Roman" w:hAnsi="Times New Roman"/>
          <w:color w:val="010000"/>
        </w:rPr>
        <w:t xml:space="preserve"> 148/1).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lastRenderedPageBreak/>
        <w:t>B. 13 SAYILI STRATEJİ VE BÜTÇE BAŞKANLIĞI TEŞKİLATI HAKKINDA CUMHURBAŞKANLIĞI KARARNAMESİNİN BAZI MADDELERİNİN ANAYASAYA AYKIRILIĞI</w:t>
      </w:r>
    </w:p>
    <w:p w:rsidR="00385641" w:rsidRPr="001162EF" w:rsidRDefault="00385641" w:rsidP="001162EF">
      <w:pPr>
        <w:numPr>
          <w:ilvl w:val="0"/>
          <w:numId w:val="12"/>
        </w:numPr>
        <w:spacing w:before="240" w:after="100" w:afterAutospacing="1"/>
        <w:ind w:left="0" w:firstLine="709"/>
        <w:jc w:val="both"/>
        <w:rPr>
          <w:rFonts w:ascii="Times New Roman" w:hAnsi="Times New Roman"/>
          <w:color w:val="010000"/>
        </w:rPr>
      </w:pPr>
      <w:r w:rsidRPr="001162EF">
        <w:rPr>
          <w:rFonts w:ascii="Times New Roman" w:hAnsi="Times New Roman"/>
          <w:color w:val="010000"/>
        </w:rPr>
        <w:t>13 sayılı Strateji ve Bütçe Başkanlığı Teşkilatı Hakkında Cumhurbaşkanlığı Kararnamesi 15. maddesinin Anayasaya Aykırılığı</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13 sayılı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nin</w:t>
      </w:r>
      <w:proofErr w:type="spellEnd"/>
      <w:r w:rsidRPr="001162EF">
        <w:rPr>
          <w:rFonts w:ascii="Times New Roman" w:hAnsi="Times New Roman"/>
          <w:color w:val="010000"/>
        </w:rPr>
        <w:t xml:space="preserve"> 15. maddesi Strateji ve Bütçe Başkanlığı</w:t>
      </w:r>
      <w:r w:rsidR="00AA59C4" w:rsidRPr="001162EF">
        <w:rPr>
          <w:rFonts w:ascii="Times New Roman" w:hAnsi="Times New Roman"/>
          <w:color w:val="010000"/>
        </w:rPr>
        <w:t>’</w:t>
      </w:r>
      <w:r w:rsidRPr="001162EF">
        <w:rPr>
          <w:rFonts w:ascii="Times New Roman" w:hAnsi="Times New Roman"/>
          <w:color w:val="010000"/>
        </w:rPr>
        <w:t>nın yurtdışı teşkilatı kurmaya yetkili olduğunu düzenlemektedir. Anayasa</w:t>
      </w:r>
      <w:r w:rsidR="00AA59C4" w:rsidRPr="001162EF">
        <w:rPr>
          <w:rFonts w:ascii="Times New Roman" w:hAnsi="Times New Roman"/>
          <w:color w:val="010000"/>
        </w:rPr>
        <w:t>’</w:t>
      </w:r>
      <w:r w:rsidRPr="001162EF">
        <w:rPr>
          <w:rFonts w:ascii="Times New Roman" w:hAnsi="Times New Roman"/>
          <w:color w:val="010000"/>
        </w:rPr>
        <w:t xml:space="preserve">nın 123. maddesinde idarenin kuruluş ve görevleriyle bir bütün olduğu ve kanunla düzenleneceği genel kuralı belirtilmiş, ancak 6771 sayılı Yasa ile 106/son maddeye konulan </w:t>
      </w:r>
      <w:r w:rsidR="00AA59C4" w:rsidRPr="001162EF">
        <w:rPr>
          <w:rFonts w:ascii="Times New Roman" w:hAnsi="Times New Roman"/>
          <w:color w:val="010000"/>
        </w:rPr>
        <w:t>“</w:t>
      </w:r>
      <w:r w:rsidRPr="001162EF">
        <w:rPr>
          <w:rFonts w:ascii="Times New Roman" w:hAnsi="Times New Roman"/>
          <w:color w:val="010000"/>
        </w:rPr>
        <w:t>Bakanlıkların kurulması, kaldırılması, görevleri ve yetkileri, teşkilat yapısı ile merkez ve taşra teşkilatlarının kurulması Cumhurbaşkanlığı kararnamesiyle düzenlenir.</w:t>
      </w:r>
      <w:r w:rsidR="00AA59C4" w:rsidRPr="001162EF">
        <w:rPr>
          <w:rFonts w:ascii="Times New Roman" w:hAnsi="Times New Roman"/>
          <w:color w:val="010000"/>
        </w:rPr>
        <w:t>”</w:t>
      </w:r>
      <w:r w:rsidRPr="001162EF">
        <w:rPr>
          <w:rFonts w:ascii="Times New Roman" w:hAnsi="Times New Roman"/>
          <w:color w:val="010000"/>
        </w:rPr>
        <w:t xml:space="preserve"> hükmü ile istisna getirilmiştir. Böylelikle Anayasa</w:t>
      </w:r>
      <w:r w:rsidR="00AA59C4" w:rsidRPr="001162EF">
        <w:rPr>
          <w:rFonts w:ascii="Times New Roman" w:hAnsi="Times New Roman"/>
          <w:color w:val="010000"/>
        </w:rPr>
        <w:t>’</w:t>
      </w:r>
      <w:r w:rsidRPr="001162EF">
        <w:rPr>
          <w:rFonts w:ascii="Times New Roman" w:hAnsi="Times New Roman"/>
          <w:color w:val="010000"/>
        </w:rPr>
        <w:t xml:space="preserve">da genel kuralı değiştiren, belli bir olgu için onun farklı uygulanmasına izin veren istisna yetkinin kime ait olduğu, kim tarafından kullanılacağı açıkça ifade edilmiştir. Buna göre istisna kural bağlamında Cumhurbaşkanı tarafından, Cumhurbaşkanlığı kararnamesi ile ancak bakanlıkların merkez ve taşra teşkilatları kurulabilecektir. İstisna yetki, genel kaideyi değiştirir, genel kuralı değiştirmek ise o kuralı koyana aittir. Bu nitelikteki bir yetkinin yorum yoluyla veya genel kuralı koyan makamın açık izni olmadan genişletilmesi kabul edilemez. İstisna yetkinin dar yorumlanması, kaideyi koyanın açık onayı olmaksızın genişletilmemesi Anayasa koyucunun iradesine daha uygun olur. Öte yandan genel kuralı koyan makam, anayasa koyucu, bu kurala istisnayı genişletmek istese idi, örneğin madde 106/son tanınan yetkilerin diğer makamlara devrine imkân tanımak istese idi, bunu açıkça yapması gerekirdi.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Anayasanın 123. maddesinin son fıkrasında Cumhurbaşkanlığı kararnamesi ile de kamu tüzel kişiliği kurulabileceği belirtilmiştir. Ancak bu kamu tüzel kişilerinin yurtdışı teşkilatının da CBK ile düzenlenebileceğine ilişkin bir hükme yer verilmemiştir. Bakanlıkların yurtdışı teşkilatının CBK ile düzenlenmesine yetki vermeyen Anayasa</w:t>
      </w:r>
      <w:r w:rsidR="00AA59C4" w:rsidRPr="001162EF">
        <w:rPr>
          <w:rFonts w:ascii="Times New Roman" w:hAnsi="Times New Roman"/>
          <w:color w:val="010000"/>
        </w:rPr>
        <w:t>’</w:t>
      </w:r>
      <w:r w:rsidRPr="001162EF">
        <w:rPr>
          <w:rFonts w:ascii="Times New Roman" w:hAnsi="Times New Roman"/>
          <w:color w:val="010000"/>
        </w:rPr>
        <w:t>nın diğer kamu tüzel kişilerinin yurtdışı teşkilatının CBK ile düzenlenmesine izin verdiğini kabul etmek mümkün değildir. Dolayısıyla Anayasa</w:t>
      </w:r>
      <w:r w:rsidR="00AA59C4" w:rsidRPr="001162EF">
        <w:rPr>
          <w:rFonts w:ascii="Times New Roman" w:hAnsi="Times New Roman"/>
          <w:color w:val="010000"/>
        </w:rPr>
        <w:t>’</w:t>
      </w:r>
      <w:r w:rsidRPr="001162EF">
        <w:rPr>
          <w:rFonts w:ascii="Times New Roman" w:hAnsi="Times New Roman"/>
          <w:color w:val="010000"/>
        </w:rPr>
        <w:t xml:space="preserve">nın 123. maddesindeki idarenin kanuniliği ilkesine istisna getiren son fıkradaki kamu tüzel kişiliği kurma yetkisinin, yurtdışı teşkilat kurma yetkisini de kapsadığı söylenemez. 123. maddenin birinci fıkrasında genel kural olarak idarenin kanuniliği düzenlenmiş son fıkrada ise bunun istisnası olarak kamu tüzel kişiliğinin kanunun yanı sıra CBK ile kurulabileceğine yer verilmiştir. İstisnanın alt organ tarafından genişletilmesi mümkün olmadığından yurt dışı teşkilatının CBK ile düzenlenmesi mümkün değildir. Kaldı ki CBK yurt dışı teşkilatını kurmamış, yurt dışı teşkilatı kurma yetkisini başkanlığa tanımıştır. Böylece yurt dışı teşkilatının kurulması ancak bir yürütme işlemi ile mümkün olacaktır. Bu nedenle kural Anayasanın 123. maddesine aykırılık oluşturmaktadır. </w:t>
      </w:r>
    </w:p>
    <w:p w:rsidR="00385641" w:rsidRPr="001162EF" w:rsidRDefault="00385641" w:rsidP="001162EF">
      <w:pPr>
        <w:numPr>
          <w:ilvl w:val="0"/>
          <w:numId w:val="12"/>
        </w:numPr>
        <w:spacing w:before="240" w:after="100" w:afterAutospacing="1"/>
        <w:ind w:left="0" w:firstLine="709"/>
        <w:jc w:val="both"/>
        <w:rPr>
          <w:rFonts w:ascii="Times New Roman" w:hAnsi="Times New Roman"/>
          <w:color w:val="010000"/>
        </w:rPr>
      </w:pPr>
      <w:r w:rsidRPr="001162EF">
        <w:rPr>
          <w:rFonts w:ascii="Times New Roman" w:hAnsi="Times New Roman"/>
          <w:color w:val="010000"/>
        </w:rPr>
        <w:t xml:space="preserve">13 sayılı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nin</w:t>
      </w:r>
      <w:proofErr w:type="spellEnd"/>
      <w:r w:rsidRPr="001162EF">
        <w:rPr>
          <w:rFonts w:ascii="Times New Roman" w:hAnsi="Times New Roman"/>
          <w:color w:val="010000"/>
        </w:rPr>
        <w:t xml:space="preserve"> 18. maddesinin birinci cümlesinde geçen </w:t>
      </w:r>
      <w:r w:rsidR="00AA59C4" w:rsidRPr="001162EF">
        <w:rPr>
          <w:rFonts w:ascii="Times New Roman" w:hAnsi="Times New Roman"/>
          <w:color w:val="010000"/>
        </w:rPr>
        <w:t>“</w:t>
      </w:r>
      <w:r w:rsidRPr="001162EF">
        <w:rPr>
          <w:rFonts w:ascii="Times New Roman" w:hAnsi="Times New Roman"/>
          <w:color w:val="010000"/>
        </w:rPr>
        <w:t>gerekli gördüğü bilgileri</w:t>
      </w:r>
      <w:r w:rsidR="00AA59C4" w:rsidRPr="001162EF">
        <w:rPr>
          <w:rFonts w:ascii="Times New Roman" w:hAnsi="Times New Roman"/>
          <w:color w:val="010000"/>
        </w:rPr>
        <w:t>”</w:t>
      </w:r>
      <w:r w:rsidRPr="001162EF">
        <w:rPr>
          <w:rFonts w:ascii="Times New Roman" w:hAnsi="Times New Roman"/>
          <w:color w:val="010000"/>
        </w:rPr>
        <w:t xml:space="preserve"> ibaresinin Anayasaya Aykırılığı</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13 sayılı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nin</w:t>
      </w:r>
      <w:proofErr w:type="spellEnd"/>
      <w:r w:rsidRPr="001162EF">
        <w:rPr>
          <w:rFonts w:ascii="Times New Roman" w:hAnsi="Times New Roman"/>
          <w:color w:val="010000"/>
        </w:rPr>
        <w:t xml:space="preserve"> </w:t>
      </w:r>
      <w:r w:rsidR="00AA59C4" w:rsidRPr="001162EF">
        <w:rPr>
          <w:rFonts w:ascii="Times New Roman" w:hAnsi="Times New Roman"/>
          <w:color w:val="010000"/>
        </w:rPr>
        <w:t>“</w:t>
      </w:r>
      <w:r w:rsidRPr="001162EF">
        <w:rPr>
          <w:rFonts w:ascii="Times New Roman" w:hAnsi="Times New Roman"/>
          <w:color w:val="010000"/>
        </w:rPr>
        <w:t>Bilgi Toplama</w:t>
      </w:r>
      <w:r w:rsidR="00AA59C4" w:rsidRPr="001162EF">
        <w:rPr>
          <w:rFonts w:ascii="Times New Roman" w:hAnsi="Times New Roman"/>
          <w:color w:val="010000"/>
        </w:rPr>
        <w:t>”</w:t>
      </w:r>
      <w:r w:rsidRPr="001162EF">
        <w:rPr>
          <w:rFonts w:ascii="Times New Roman" w:hAnsi="Times New Roman"/>
          <w:color w:val="010000"/>
        </w:rPr>
        <w:t xml:space="preserve"> başlıklı 18. maddesiyle Strateji ve Bütçe Başkanlığı</w:t>
      </w:r>
      <w:r w:rsidR="00AA59C4" w:rsidRPr="001162EF">
        <w:rPr>
          <w:rFonts w:ascii="Times New Roman" w:hAnsi="Times New Roman"/>
          <w:color w:val="010000"/>
        </w:rPr>
        <w:t>’</w:t>
      </w:r>
      <w:r w:rsidRPr="001162EF">
        <w:rPr>
          <w:rFonts w:ascii="Times New Roman" w:hAnsi="Times New Roman"/>
          <w:color w:val="010000"/>
        </w:rPr>
        <w:t xml:space="preserve">nın, görevleri ile ilgili olarak gerekli gördüğü bilgileri bütün kamu kurum ve kuruluşlarından ve diğer gerçek ve tüzel kişilerden doğrudan istemeye yetkili olduğu düzenlenmiştir. Kendilerinden bilgi istenen bütün kamu kurum ve kuruluşları ile diğer gerçek ve tüzel kişilerin de bu bilgileri istenilen süre içinde öncelikle ve zamanında vermekle yükümlü olduğu da belirtilmiştir.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lastRenderedPageBreak/>
        <w:t>13 s</w:t>
      </w:r>
      <w:r w:rsidRPr="001162EF">
        <w:rPr>
          <w:rFonts w:ascii="Times New Roman" w:eastAsia="ヒラギノ明朝 Pro W3" w:hAnsi="Times New Roman"/>
          <w:color w:val="010000"/>
        </w:rPr>
        <w:t xml:space="preserve">ayılı </w:t>
      </w:r>
      <w:proofErr w:type="spellStart"/>
      <w:r w:rsidRPr="001162EF">
        <w:rPr>
          <w:rFonts w:ascii="Times New Roman" w:eastAsia="ヒラギノ明朝 Pro W3" w:hAnsi="Times New Roman"/>
          <w:color w:val="010000"/>
        </w:rPr>
        <w:t>CBK</w:t>
      </w:r>
      <w:r w:rsidR="00AA59C4" w:rsidRPr="001162EF">
        <w:rPr>
          <w:rFonts w:ascii="Times New Roman" w:eastAsia="ヒラギノ明朝 Pro W3" w:hAnsi="Times New Roman"/>
          <w:color w:val="010000"/>
        </w:rPr>
        <w:t>’</w:t>
      </w:r>
      <w:r w:rsidRPr="001162EF">
        <w:rPr>
          <w:rFonts w:ascii="Times New Roman" w:eastAsia="ヒラギノ明朝 Pro W3" w:hAnsi="Times New Roman"/>
          <w:color w:val="010000"/>
        </w:rPr>
        <w:t>nin</w:t>
      </w:r>
      <w:proofErr w:type="spellEnd"/>
      <w:r w:rsidRPr="001162EF">
        <w:rPr>
          <w:rFonts w:ascii="Times New Roman" w:eastAsia="ヒラギノ明朝 Pro W3" w:hAnsi="Times New Roman"/>
          <w:color w:val="010000"/>
        </w:rPr>
        <w:t xml:space="preserve"> 18. maddesinin birinci cümlesiyle </w:t>
      </w:r>
      <w:r w:rsidRPr="001162EF">
        <w:rPr>
          <w:rFonts w:ascii="Times New Roman" w:hAnsi="Times New Roman"/>
          <w:color w:val="010000"/>
        </w:rPr>
        <w:t>Strateji ve Bütçe Başkanlığı</w:t>
      </w:r>
      <w:r w:rsidR="00AA59C4" w:rsidRPr="001162EF">
        <w:rPr>
          <w:rFonts w:ascii="Times New Roman" w:hAnsi="Times New Roman"/>
          <w:color w:val="010000"/>
        </w:rPr>
        <w:t>’</w:t>
      </w:r>
      <w:r w:rsidRPr="001162EF">
        <w:rPr>
          <w:rFonts w:ascii="Times New Roman" w:hAnsi="Times New Roman"/>
          <w:color w:val="010000"/>
        </w:rPr>
        <w:t xml:space="preserve">nın, görevleri ile ilgili olarak şeklinde genel bir kayıt konularak </w:t>
      </w:r>
      <w:r w:rsidR="00AA59C4" w:rsidRPr="001162EF">
        <w:rPr>
          <w:rFonts w:ascii="Times New Roman" w:hAnsi="Times New Roman"/>
          <w:color w:val="010000"/>
        </w:rPr>
        <w:t>“</w:t>
      </w:r>
      <w:r w:rsidRPr="001162EF">
        <w:rPr>
          <w:rFonts w:ascii="Times New Roman" w:hAnsi="Times New Roman"/>
          <w:color w:val="010000"/>
        </w:rPr>
        <w:t>gerekli gördüğü bilgileri</w:t>
      </w:r>
      <w:r w:rsidR="00AA59C4" w:rsidRPr="001162EF">
        <w:rPr>
          <w:rFonts w:ascii="Times New Roman" w:hAnsi="Times New Roman"/>
          <w:color w:val="010000"/>
        </w:rPr>
        <w:t>”</w:t>
      </w:r>
      <w:r w:rsidRPr="001162EF">
        <w:rPr>
          <w:rFonts w:ascii="Times New Roman" w:hAnsi="Times New Roman"/>
          <w:color w:val="010000"/>
        </w:rPr>
        <w:t xml:space="preserve"> talep edebilme, muhatap kurumlara ise bu talebe en kısa sürede uyma yükümlüğü getirilmektedir. Fıkra, gizlilik arz eden bilgilerde buna uyulmasını ifade ederken kişisel verilerle ilgili hiçbir hüküm içermemektedir. Bu bilgiler içinde özellikle kişisel verilerin de yer alması muhtemeldir. 6698 sayılı Kanunun, Tanımlar başlıklı 3. maddesinde kişisel veri </w:t>
      </w:r>
      <w:r w:rsidR="00AA59C4" w:rsidRPr="001162EF">
        <w:rPr>
          <w:rFonts w:ascii="Times New Roman" w:hAnsi="Times New Roman"/>
          <w:color w:val="010000"/>
        </w:rPr>
        <w:t>“</w:t>
      </w:r>
      <w:r w:rsidRPr="001162EF">
        <w:rPr>
          <w:rFonts w:ascii="Times New Roman" w:hAnsi="Times New Roman"/>
          <w:color w:val="010000"/>
        </w:rPr>
        <w:t>Kimliği belirli veya belirlenebilir gerçek kişiye ilişkin her türlü bilgiyi</w:t>
      </w:r>
      <w:r w:rsidR="00AA59C4" w:rsidRPr="001162EF">
        <w:rPr>
          <w:rFonts w:ascii="Times New Roman" w:hAnsi="Times New Roman"/>
          <w:color w:val="010000"/>
        </w:rPr>
        <w:t>”</w:t>
      </w:r>
      <w:r w:rsidRPr="001162EF">
        <w:rPr>
          <w:rFonts w:ascii="Times New Roman" w:hAnsi="Times New Roman"/>
          <w:color w:val="010000"/>
        </w:rPr>
        <w:t xml:space="preserve"> ifade eder denilmektedir. Kişisel verilerin toplanması, işlenmesi, analizi, paylaşılması vb. verilerle ilgili diğer her bir </w:t>
      </w:r>
      <w:proofErr w:type="gramStart"/>
      <w:r w:rsidRPr="001162EF">
        <w:rPr>
          <w:rFonts w:ascii="Times New Roman" w:hAnsi="Times New Roman"/>
          <w:color w:val="010000"/>
        </w:rPr>
        <w:t>faaliyet,</w:t>
      </w:r>
      <w:proofErr w:type="gramEnd"/>
      <w:r w:rsidRPr="001162EF">
        <w:rPr>
          <w:rFonts w:ascii="Times New Roman" w:hAnsi="Times New Roman"/>
          <w:color w:val="010000"/>
        </w:rPr>
        <w:t xml:space="preserve"> hem Anayasa hem de uluslararası insan hakları hukuku açısından son derece hassas konular görülmüş idarenin keyfiliğe karşı bir güvence olarak ayrıntılı bir şekilde çerçevesinin çizilmesi, üstelik bunun da kanunla yapılması istenmiştir. Kişiler hakkında bilgi ve veriyi toplamak üstelik bazı hallerde zorunluluk arz eden bir şekilde bu işlemi yapmak için ilgili idarelere, genel çerçeve, ilke ve esaslar belirtilmeden, yetki verilmesi hukuki belirlilik ilkesine de aykırıdır. Ancak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nin</w:t>
      </w:r>
      <w:proofErr w:type="spellEnd"/>
      <w:r w:rsidRPr="001162EF">
        <w:rPr>
          <w:rFonts w:ascii="Times New Roman" w:hAnsi="Times New Roman"/>
          <w:color w:val="010000"/>
        </w:rPr>
        <w:t xml:space="preserve"> yukarıdaki hükmü kişisel verilerin korunması hususunda </w:t>
      </w:r>
      <w:proofErr w:type="gramStart"/>
      <w:r w:rsidRPr="001162EF">
        <w:rPr>
          <w:rFonts w:ascii="Times New Roman" w:hAnsi="Times New Roman"/>
          <w:color w:val="010000"/>
        </w:rPr>
        <w:t>hiç bir</w:t>
      </w:r>
      <w:proofErr w:type="gramEnd"/>
      <w:r w:rsidRPr="001162EF">
        <w:rPr>
          <w:rFonts w:ascii="Times New Roman" w:hAnsi="Times New Roman"/>
          <w:color w:val="010000"/>
        </w:rPr>
        <w:t xml:space="preserve"> kural getirmemektedir.</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Ayrıca kişisel veriler, Anayasa</w:t>
      </w:r>
      <w:r w:rsidR="00AA59C4" w:rsidRPr="001162EF">
        <w:rPr>
          <w:rFonts w:ascii="Times New Roman" w:hAnsi="Times New Roman"/>
          <w:color w:val="010000"/>
        </w:rPr>
        <w:t>’</w:t>
      </w:r>
      <w:r w:rsidRPr="001162EF">
        <w:rPr>
          <w:rFonts w:ascii="Times New Roman" w:hAnsi="Times New Roman"/>
          <w:color w:val="010000"/>
        </w:rPr>
        <w:t xml:space="preserve">nın ikinci kısmında kişi hakları ve ödevleri başlıklı ikinci bölümde, 20. maddede düzenlenmiştir. Burada kişisel verilerin işlenmesi ve kullanılmasına dair anayasal ilkeler belirtilmiştir. </w:t>
      </w:r>
      <w:r w:rsidR="00AA59C4" w:rsidRPr="001162EF">
        <w:rPr>
          <w:rFonts w:ascii="Times New Roman" w:hAnsi="Times New Roman"/>
          <w:color w:val="010000"/>
        </w:rPr>
        <w:t>“</w:t>
      </w:r>
      <w:r w:rsidRPr="001162EF">
        <w:rPr>
          <w:rFonts w:ascii="Times New Roman" w:hAnsi="Times New Roman"/>
          <w:color w:val="010000"/>
        </w:rPr>
        <w:t>… Kişisel veriler, ancak kanunda öngörülen hallerde veya kişinin açık rızasıyla işlenebilir. Kişisel verilerin korunmasına ilişkin esas ve usuller kanunla düzenlenir.</w:t>
      </w:r>
      <w:r w:rsidR="00AA59C4" w:rsidRPr="001162EF">
        <w:rPr>
          <w:rFonts w:ascii="Times New Roman" w:hAnsi="Times New Roman"/>
          <w:color w:val="010000"/>
        </w:rPr>
        <w:t>”</w:t>
      </w:r>
      <w:r w:rsidRPr="001162EF">
        <w:rPr>
          <w:rFonts w:ascii="Times New Roman" w:hAnsi="Times New Roman"/>
          <w:color w:val="010000"/>
        </w:rPr>
        <w:t>. Dolayısıyla ilgili bölümde yer alan temel hakların CBK ile düzenlenmesini yasaklayan Anayasa</w:t>
      </w:r>
      <w:r w:rsidR="00AA59C4" w:rsidRPr="001162EF">
        <w:rPr>
          <w:rFonts w:ascii="Times New Roman" w:hAnsi="Times New Roman"/>
          <w:color w:val="010000"/>
        </w:rPr>
        <w:t>’</w:t>
      </w:r>
      <w:r w:rsidRPr="001162EF">
        <w:rPr>
          <w:rFonts w:ascii="Times New Roman" w:hAnsi="Times New Roman"/>
          <w:color w:val="010000"/>
        </w:rPr>
        <w:t>nın 104/17. maddesi hükmü gereği kişisel verilerin CBK ile düzenlenmesi mümkün değildir.</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Bu nedenle 18. maddesinin birinci cümlesinde geçen </w:t>
      </w:r>
      <w:r w:rsidR="00AA59C4" w:rsidRPr="001162EF">
        <w:rPr>
          <w:rFonts w:ascii="Times New Roman" w:hAnsi="Times New Roman"/>
          <w:color w:val="010000"/>
        </w:rPr>
        <w:t>“</w:t>
      </w:r>
      <w:r w:rsidRPr="001162EF">
        <w:rPr>
          <w:rFonts w:ascii="Times New Roman" w:hAnsi="Times New Roman"/>
          <w:color w:val="010000"/>
        </w:rPr>
        <w:t>gerekli gördüğü bilgileri</w:t>
      </w:r>
      <w:r w:rsidR="00AA59C4" w:rsidRPr="001162EF">
        <w:rPr>
          <w:rFonts w:ascii="Times New Roman" w:hAnsi="Times New Roman"/>
          <w:color w:val="010000"/>
        </w:rPr>
        <w:t>”</w:t>
      </w:r>
      <w:r w:rsidRPr="001162EF">
        <w:rPr>
          <w:rFonts w:ascii="Times New Roman" w:hAnsi="Times New Roman"/>
          <w:color w:val="010000"/>
        </w:rPr>
        <w:t xml:space="preserve"> ibaresi Anayasa</w:t>
      </w:r>
      <w:r w:rsidR="00AA59C4" w:rsidRPr="001162EF">
        <w:rPr>
          <w:rFonts w:ascii="Times New Roman" w:hAnsi="Times New Roman"/>
          <w:color w:val="010000"/>
        </w:rPr>
        <w:t>’</w:t>
      </w:r>
      <w:r w:rsidRPr="001162EF">
        <w:rPr>
          <w:rFonts w:ascii="Times New Roman" w:hAnsi="Times New Roman"/>
          <w:color w:val="010000"/>
        </w:rPr>
        <w:t xml:space="preserve">nın 20. ve 104/17. maddelerine aykırıdır, iptali gerekir. </w:t>
      </w:r>
    </w:p>
    <w:p w:rsidR="00385641" w:rsidRPr="001162EF" w:rsidRDefault="00385641" w:rsidP="001162EF">
      <w:pPr>
        <w:numPr>
          <w:ilvl w:val="0"/>
          <w:numId w:val="10"/>
        </w:numPr>
        <w:tabs>
          <w:tab w:val="clear" w:pos="1440"/>
        </w:tabs>
        <w:spacing w:before="240" w:after="100" w:afterAutospacing="1"/>
        <w:ind w:left="0" w:firstLine="709"/>
        <w:jc w:val="both"/>
        <w:rPr>
          <w:rFonts w:ascii="Times New Roman" w:hAnsi="Times New Roman"/>
          <w:color w:val="010000"/>
        </w:rPr>
      </w:pPr>
      <w:r w:rsidRPr="001162EF">
        <w:rPr>
          <w:rFonts w:ascii="Times New Roman" w:hAnsi="Times New Roman"/>
          <w:color w:val="010000"/>
        </w:rPr>
        <w:t>YÜRÜRLÜĞÜ DURDURMA İSTEMİNİN GEREKÇESİ</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Göreve başlamasının hemen ardından Cumhurbaşkanınca oldukça kapsamlı pek çok CBK çıkarıldığı görülmektedir. Bu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lerin</w:t>
      </w:r>
      <w:proofErr w:type="spellEnd"/>
      <w:r w:rsidRPr="001162EF">
        <w:rPr>
          <w:rFonts w:ascii="Times New Roman" w:hAnsi="Times New Roman"/>
          <w:color w:val="010000"/>
        </w:rPr>
        <w:t xml:space="preserve"> pek çoğunda da anayasal yetki sınırlarının aşıldığı, Anayasanın CBK ile düzenlenmesini yasakladığı alanlarda düzenlemeler yapıldığı görülmektedir. Bu nedenle Anayasa Mahkemesince ivedilikle </w:t>
      </w:r>
      <w:proofErr w:type="spellStart"/>
      <w:r w:rsidRPr="001162EF">
        <w:rPr>
          <w:rFonts w:ascii="Times New Roman" w:hAnsi="Times New Roman"/>
          <w:color w:val="010000"/>
        </w:rPr>
        <w:t>CBK</w:t>
      </w:r>
      <w:r w:rsidR="00AA59C4" w:rsidRPr="001162EF">
        <w:rPr>
          <w:rFonts w:ascii="Times New Roman" w:hAnsi="Times New Roman"/>
          <w:color w:val="010000"/>
        </w:rPr>
        <w:t>’</w:t>
      </w:r>
      <w:r w:rsidRPr="001162EF">
        <w:rPr>
          <w:rFonts w:ascii="Times New Roman" w:hAnsi="Times New Roman"/>
          <w:color w:val="010000"/>
        </w:rPr>
        <w:t>lerin</w:t>
      </w:r>
      <w:proofErr w:type="spellEnd"/>
      <w:r w:rsidRPr="001162EF">
        <w:rPr>
          <w:rFonts w:ascii="Times New Roman" w:hAnsi="Times New Roman"/>
          <w:color w:val="010000"/>
        </w:rPr>
        <w:t xml:space="preserve"> hukuki çerçevesinin tespit edilerek yetki dışı düzenlemelerin iptal edilmesi ve hukuk sisteminden ayıklanması hayati önem taşımaktadır.</w:t>
      </w:r>
      <w:r w:rsidR="001162EF" w:rsidRPr="001162EF">
        <w:rPr>
          <w:rFonts w:ascii="Times New Roman" w:hAnsi="Times New Roman"/>
          <w:color w:val="010000"/>
        </w:rPr>
        <w:t xml:space="preserve">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Anayasa</w:t>
      </w:r>
      <w:r w:rsidR="00AA59C4" w:rsidRPr="001162EF">
        <w:rPr>
          <w:rFonts w:ascii="Times New Roman" w:hAnsi="Times New Roman"/>
          <w:color w:val="010000"/>
        </w:rPr>
        <w:t>’</w:t>
      </w:r>
      <w:r w:rsidRPr="001162EF">
        <w:rPr>
          <w:rFonts w:ascii="Times New Roman" w:hAnsi="Times New Roman"/>
          <w:color w:val="010000"/>
        </w:rPr>
        <w:t xml:space="preserve">nın tanıdığı yetki çerçevesinin dışında yapılan işlemler ultra </w:t>
      </w:r>
      <w:proofErr w:type="spellStart"/>
      <w:r w:rsidRPr="001162EF">
        <w:rPr>
          <w:rFonts w:ascii="Times New Roman" w:hAnsi="Times New Roman"/>
          <w:color w:val="010000"/>
        </w:rPr>
        <w:t>vires</w:t>
      </w:r>
      <w:proofErr w:type="spellEnd"/>
      <w:r w:rsidRPr="001162EF">
        <w:rPr>
          <w:rFonts w:ascii="Times New Roman" w:hAnsi="Times New Roman"/>
          <w:color w:val="010000"/>
        </w:rPr>
        <w:t xml:space="preserve"> geçersizlikle maluldür. Geçersiz düzenlemelere dayanarak işlemler tesis edilmesi </w:t>
      </w:r>
      <w:r w:rsidR="00AA59C4" w:rsidRPr="001162EF">
        <w:rPr>
          <w:rFonts w:ascii="Times New Roman" w:hAnsi="Times New Roman"/>
          <w:color w:val="010000"/>
        </w:rPr>
        <w:t>“</w:t>
      </w:r>
      <w:r w:rsidRPr="001162EF">
        <w:rPr>
          <w:rFonts w:ascii="Times New Roman" w:hAnsi="Times New Roman"/>
          <w:color w:val="010000"/>
        </w:rPr>
        <w:t xml:space="preserve">birey haklarına telafisi </w:t>
      </w:r>
      <w:proofErr w:type="gramStart"/>
      <w:r w:rsidRPr="001162EF">
        <w:rPr>
          <w:rFonts w:ascii="Times New Roman" w:hAnsi="Times New Roman"/>
          <w:color w:val="010000"/>
        </w:rPr>
        <w:t>imkansız</w:t>
      </w:r>
      <w:proofErr w:type="gramEnd"/>
      <w:r w:rsidRPr="001162EF">
        <w:rPr>
          <w:rFonts w:ascii="Times New Roman" w:hAnsi="Times New Roman"/>
          <w:color w:val="010000"/>
        </w:rPr>
        <w:t xml:space="preserve"> zararlar verecektir. Bu nedenle bu düzenlemelerin bir an önce yürürlüklerinin durdurulması hayati önem taşımaktadır. </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Hukuk devleti ilkesini zedeleyen ve Anayasaya açıkça aykırı olan bir düzenlemenin uygulanması halinde, sonradan giderilmesi olanaksız zararlara yol açacağı çok açıktır. Anayasal düzenin en kısa sürede hukuka aykırı kurallardan arındırılması, hukuk devleti sayılmanın da gereğidir. Anayasaya aykırılığın sürdürülmesinin, bir hukuk devletinde sübjektif yararların üstünde, özenle korunması gereken hukukun üstünlüğü ilkesini de zedeleyeceği kuşkusuzdur. Hukukun üstünlüğü ilkesinin sağlanamadığı bir düzende, kişi hak ve özgürlükleri güvence altında sayılamayacağından, bu ilkenin zedelenmesinin hukuk devleti yönünden giderilmesi olanaksız durum ve zararlara yol açacağında duraksama bulunmamaktadır. </w:t>
      </w:r>
    </w:p>
    <w:p w:rsidR="00385641" w:rsidRPr="001162EF" w:rsidRDefault="00385641" w:rsidP="001162EF">
      <w:pPr>
        <w:pStyle w:val="NormalWeb"/>
        <w:spacing w:before="240" w:beforeAutospacing="0"/>
        <w:ind w:firstLine="709"/>
        <w:jc w:val="both"/>
        <w:rPr>
          <w:color w:val="010000"/>
          <w:sz w:val="24"/>
          <w:szCs w:val="24"/>
        </w:rPr>
      </w:pPr>
      <w:r w:rsidRPr="001162EF">
        <w:rPr>
          <w:color w:val="010000"/>
          <w:sz w:val="24"/>
          <w:szCs w:val="24"/>
        </w:rPr>
        <w:lastRenderedPageBreak/>
        <w:t>Bu zarar ve durumların doğmasını önlemek amacıyla, Anayasaya açıkça aykırı olan söz konusu maddenin iptal davası sonuçlanıncaya kadar yürürlüğünün de durdurulması istenerek Anayasa Mahkemesine dava açılmıştır.</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IV. SONUÇ VE İSTEM</w:t>
      </w:r>
    </w:p>
    <w:p w:rsidR="00385641" w:rsidRPr="001162EF" w:rsidRDefault="00385641" w:rsidP="001162EF">
      <w:pPr>
        <w:spacing w:before="240" w:after="100" w:afterAutospacing="1"/>
        <w:ind w:firstLine="709"/>
        <w:jc w:val="both"/>
        <w:rPr>
          <w:rFonts w:ascii="Times New Roman" w:hAnsi="Times New Roman"/>
          <w:color w:val="010000"/>
        </w:rPr>
      </w:pPr>
      <w:r w:rsidRPr="001162EF">
        <w:rPr>
          <w:rFonts w:ascii="Times New Roman" w:hAnsi="Times New Roman"/>
          <w:color w:val="010000"/>
        </w:rPr>
        <w:t xml:space="preserve">24/07/2018 tarihli ve 30488 sayılı </w:t>
      </w:r>
      <w:proofErr w:type="gramStart"/>
      <w:r w:rsidRPr="001162EF">
        <w:rPr>
          <w:rFonts w:ascii="Times New Roman" w:hAnsi="Times New Roman"/>
          <w:color w:val="010000"/>
        </w:rPr>
        <w:t>Resmi</w:t>
      </w:r>
      <w:proofErr w:type="gramEnd"/>
      <w:r w:rsidRPr="001162EF">
        <w:rPr>
          <w:rFonts w:ascii="Times New Roman" w:hAnsi="Times New Roman"/>
          <w:color w:val="010000"/>
        </w:rPr>
        <w:t xml:space="preserve"> </w:t>
      </w:r>
      <w:proofErr w:type="spellStart"/>
      <w:r w:rsidRPr="001162EF">
        <w:rPr>
          <w:rFonts w:ascii="Times New Roman" w:hAnsi="Times New Roman"/>
          <w:color w:val="010000"/>
        </w:rPr>
        <w:t>Gazete</w:t>
      </w:r>
      <w:r w:rsidR="00AA59C4" w:rsidRPr="001162EF">
        <w:rPr>
          <w:rFonts w:ascii="Times New Roman" w:hAnsi="Times New Roman"/>
          <w:color w:val="010000"/>
        </w:rPr>
        <w:t>’</w:t>
      </w:r>
      <w:r w:rsidRPr="001162EF">
        <w:rPr>
          <w:rFonts w:ascii="Times New Roman" w:hAnsi="Times New Roman"/>
          <w:color w:val="010000"/>
        </w:rPr>
        <w:t>de</w:t>
      </w:r>
      <w:proofErr w:type="spellEnd"/>
      <w:r w:rsidRPr="001162EF">
        <w:rPr>
          <w:rFonts w:ascii="Times New Roman" w:hAnsi="Times New Roman"/>
          <w:color w:val="010000"/>
        </w:rPr>
        <w:t xml:space="preserve"> yayınlanan 13 sayılı Strateji ve Bütçe Başkanlığı Teşkilatı Hakkında Cumhurbaşkanlığı Kararnamesi</w:t>
      </w:r>
      <w:r w:rsidR="00AA59C4" w:rsidRPr="001162EF">
        <w:rPr>
          <w:rFonts w:ascii="Times New Roman" w:hAnsi="Times New Roman"/>
          <w:color w:val="010000"/>
        </w:rPr>
        <w:t>’</w:t>
      </w:r>
      <w:r w:rsidRPr="001162EF">
        <w:rPr>
          <w:rFonts w:ascii="Times New Roman" w:hAnsi="Times New Roman"/>
          <w:color w:val="010000"/>
        </w:rPr>
        <w:t>nin;</w:t>
      </w:r>
    </w:p>
    <w:p w:rsidR="00385641" w:rsidRPr="001162EF" w:rsidRDefault="00385641" w:rsidP="001162EF">
      <w:pPr>
        <w:numPr>
          <w:ilvl w:val="0"/>
          <w:numId w:val="13"/>
        </w:numPr>
        <w:spacing w:before="240" w:after="100" w:afterAutospacing="1"/>
        <w:ind w:left="0" w:firstLine="709"/>
        <w:jc w:val="both"/>
        <w:rPr>
          <w:rFonts w:ascii="Times New Roman" w:hAnsi="Times New Roman"/>
          <w:color w:val="010000"/>
        </w:rPr>
      </w:pPr>
      <w:r w:rsidRPr="001162EF">
        <w:rPr>
          <w:rFonts w:ascii="Times New Roman" w:hAnsi="Times New Roman"/>
          <w:color w:val="010000"/>
        </w:rPr>
        <w:t>15. maddesinin Anayasa</w:t>
      </w:r>
      <w:r w:rsidR="00AA59C4" w:rsidRPr="001162EF">
        <w:rPr>
          <w:rFonts w:ascii="Times New Roman" w:hAnsi="Times New Roman"/>
          <w:color w:val="010000"/>
        </w:rPr>
        <w:t>’</w:t>
      </w:r>
      <w:r w:rsidRPr="001162EF">
        <w:rPr>
          <w:rFonts w:ascii="Times New Roman" w:hAnsi="Times New Roman"/>
          <w:color w:val="010000"/>
        </w:rPr>
        <w:t>nın 123. maddesine,</w:t>
      </w:r>
    </w:p>
    <w:p w:rsidR="00385641" w:rsidRPr="001162EF" w:rsidRDefault="00385641" w:rsidP="001162EF">
      <w:pPr>
        <w:numPr>
          <w:ilvl w:val="0"/>
          <w:numId w:val="13"/>
        </w:numPr>
        <w:spacing w:before="240" w:after="100" w:afterAutospacing="1"/>
        <w:ind w:left="0" w:firstLine="709"/>
        <w:jc w:val="both"/>
        <w:rPr>
          <w:rFonts w:ascii="Times New Roman" w:hAnsi="Times New Roman"/>
          <w:color w:val="010000"/>
        </w:rPr>
      </w:pPr>
      <w:r w:rsidRPr="001162EF">
        <w:rPr>
          <w:rFonts w:ascii="Times New Roman" w:hAnsi="Times New Roman"/>
          <w:color w:val="010000"/>
        </w:rPr>
        <w:t xml:space="preserve">18. maddesinin birinci cümlesinde geçen </w:t>
      </w:r>
      <w:r w:rsidR="00AA59C4" w:rsidRPr="001162EF">
        <w:rPr>
          <w:rFonts w:ascii="Times New Roman" w:hAnsi="Times New Roman"/>
          <w:color w:val="010000"/>
        </w:rPr>
        <w:t>“</w:t>
      </w:r>
      <w:r w:rsidRPr="001162EF">
        <w:rPr>
          <w:rFonts w:ascii="Times New Roman" w:hAnsi="Times New Roman"/>
          <w:color w:val="010000"/>
        </w:rPr>
        <w:t>gerekli gördüğü bilgileri</w:t>
      </w:r>
      <w:r w:rsidR="00AA59C4" w:rsidRPr="001162EF">
        <w:rPr>
          <w:rFonts w:ascii="Times New Roman" w:hAnsi="Times New Roman"/>
          <w:color w:val="010000"/>
        </w:rPr>
        <w:t>”</w:t>
      </w:r>
      <w:r w:rsidRPr="001162EF">
        <w:rPr>
          <w:rFonts w:ascii="Times New Roman" w:hAnsi="Times New Roman"/>
          <w:color w:val="010000"/>
        </w:rPr>
        <w:t xml:space="preserve"> ibaresinin Anayasa</w:t>
      </w:r>
      <w:r w:rsidR="00AA59C4" w:rsidRPr="001162EF">
        <w:rPr>
          <w:rFonts w:ascii="Times New Roman" w:hAnsi="Times New Roman"/>
          <w:color w:val="010000"/>
        </w:rPr>
        <w:t>’</w:t>
      </w:r>
      <w:r w:rsidRPr="001162EF">
        <w:rPr>
          <w:rFonts w:ascii="Times New Roman" w:hAnsi="Times New Roman"/>
          <w:color w:val="010000"/>
        </w:rPr>
        <w:t>nın 20. ve 104. maddelerine</w:t>
      </w:r>
    </w:p>
    <w:p w:rsidR="00993DD9" w:rsidRPr="001162EF" w:rsidRDefault="00385641" w:rsidP="001162EF">
      <w:pPr>
        <w:spacing w:before="240" w:after="100" w:afterAutospacing="1"/>
        <w:ind w:firstLine="709"/>
        <w:jc w:val="both"/>
        <w:rPr>
          <w:rFonts w:ascii="Times New Roman" w:hAnsi="Times New Roman"/>
          <w:color w:val="010000"/>
        </w:rPr>
      </w:pPr>
      <w:proofErr w:type="gramStart"/>
      <w:r w:rsidRPr="001162EF">
        <w:rPr>
          <w:rFonts w:ascii="Times New Roman" w:hAnsi="Times New Roman"/>
          <w:color w:val="010000"/>
        </w:rPr>
        <w:t>aykırı</w:t>
      </w:r>
      <w:proofErr w:type="gramEnd"/>
      <w:r w:rsidRPr="001162EF">
        <w:rPr>
          <w:rFonts w:ascii="Times New Roman" w:hAnsi="Times New Roman"/>
          <w:color w:val="010000"/>
        </w:rPr>
        <w:t xml:space="preserve"> olmaları nedeniyle iptallerine ve dava sonuçlanıncaya kadar yürürlüklerinin durdurulmasına karar verilmesine ilişkin istemimizi saygı ile arz ederiz.</w:t>
      </w:r>
      <w:r w:rsidR="00AA59C4" w:rsidRPr="001162EF">
        <w:rPr>
          <w:rFonts w:ascii="Times New Roman" w:hAnsi="Times New Roman"/>
          <w:color w:val="010000"/>
        </w:rPr>
        <w:t>”</w:t>
      </w:r>
    </w:p>
    <w:sectPr w:rsidR="00993DD9" w:rsidRPr="001162EF" w:rsidSect="001162EF">
      <w:headerReference w:type="default" r:id="rId9"/>
      <w:footerReference w:type="even" r:id="rId10"/>
      <w:footerReference w:type="default" r:id="rId11"/>
      <w:type w:val="continuous"/>
      <w:pgSz w:w="11900" w:h="16840"/>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1644D" w:rsidRDefault="0071644D" w:rsidP="00EA2431">
      <w:r>
        <w:separator/>
      </w:r>
    </w:p>
  </w:endnote>
  <w:endnote w:type="continuationSeparator" w:id="0">
    <w:p w:rsidR="0071644D" w:rsidRDefault="0071644D" w:rsidP="00EA24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Bold">
    <w:altName w:val="Times New Roman"/>
    <w:panose1 w:val="00000000000000000000"/>
    <w:charset w:val="00"/>
    <w:family w:val="roman"/>
    <w:notTrueType/>
    <w:pitch w:val="default"/>
    <w:sig w:usb0="00000003" w:usb1="00000000" w:usb2="00000000" w:usb3="00000000" w:csb0="00000001"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A2"/>
    <w:family w:val="swiss"/>
    <w:pitch w:val="variable"/>
    <w:sig w:usb0="E0002EFF" w:usb1="C000785B" w:usb2="00000009" w:usb3="00000000" w:csb0="000001FF" w:csb1="00000000"/>
  </w:font>
  <w:font w:name="MS ??">
    <w:altName w:val="MS Mincho"/>
    <w:panose1 w:val="00000000000000000000"/>
    <w:charset w:val="80"/>
    <w:family w:val="auto"/>
    <w:notTrueType/>
    <w:pitch w:val="variable"/>
    <w:sig w:usb0="00000001" w:usb1="08070000" w:usb2="00000010" w:usb3="00000000" w:csb0="00020000" w:csb1="00000000"/>
  </w:font>
  <w:font w:name="New York">
    <w:panose1 w:val="02040503060506020304"/>
    <w:charset w:val="00"/>
    <w:family w:val="roman"/>
    <w:notTrueType/>
    <w:pitch w:val="variable"/>
    <w:sig w:usb0="00000003" w:usb1="00000000" w:usb2="00000000" w:usb3="00000000" w:csb0="00000001" w:csb1="00000000"/>
  </w:font>
  <w:font w:name="Verdana">
    <w:panose1 w:val="020B0604030504040204"/>
    <w:charset w:val="A2"/>
    <w:family w:val="swiss"/>
    <w:pitch w:val="variable"/>
    <w:sig w:usb0="A00006FF" w:usb1="4000205B" w:usb2="00000010" w:usb3="00000000" w:csb0="0000019F" w:csb1="00000000"/>
  </w:font>
  <w:font w:name="Cambria">
    <w:panose1 w:val="02040503050406030204"/>
    <w:charset w:val="A2"/>
    <w:family w:val="roman"/>
    <w:pitch w:val="variable"/>
    <w:sig w:usb0="E00006FF" w:usb1="420024FF" w:usb2="02000000" w:usb3="00000000" w:csb0="0000019F" w:csb1="00000000"/>
  </w:font>
  <w:font w:name="Helvetica Neue">
    <w:altName w:val="Times New Roman"/>
    <w:charset w:val="00"/>
    <w:family w:val="roman"/>
    <w:pitch w:val="default"/>
  </w:font>
  <w:font w:name="ヒラギノ明朝 Pro W3">
    <w:altName w:val="MS Gothic"/>
    <w:charset w:val="80"/>
    <w:family w:val="auto"/>
    <w:pitch w:val="variable"/>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62EF" w:rsidRDefault="001162EF" w:rsidP="008D5E59">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1162EF" w:rsidRDefault="001162EF" w:rsidP="001162EF">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62EF" w:rsidRPr="001162EF" w:rsidRDefault="001162EF" w:rsidP="008D5E59">
    <w:pPr>
      <w:pStyle w:val="AltBilgi"/>
      <w:framePr w:wrap="around" w:vAnchor="text" w:hAnchor="margin" w:xAlign="right" w:y="1"/>
      <w:rPr>
        <w:rStyle w:val="SayfaNumaras"/>
        <w:rFonts w:ascii="Times New Roman" w:hAnsi="Times New Roman"/>
      </w:rPr>
    </w:pPr>
    <w:r w:rsidRPr="001162EF">
      <w:rPr>
        <w:rStyle w:val="SayfaNumaras"/>
        <w:rFonts w:ascii="Times New Roman" w:hAnsi="Times New Roman"/>
      </w:rPr>
      <w:fldChar w:fldCharType="begin"/>
    </w:r>
    <w:r w:rsidRPr="001162EF">
      <w:rPr>
        <w:rStyle w:val="SayfaNumaras"/>
        <w:rFonts w:ascii="Times New Roman" w:hAnsi="Times New Roman"/>
      </w:rPr>
      <w:instrText xml:space="preserve"> PAGE </w:instrText>
    </w:r>
    <w:r w:rsidRPr="001162EF">
      <w:rPr>
        <w:rStyle w:val="SayfaNumaras"/>
        <w:rFonts w:ascii="Times New Roman" w:hAnsi="Times New Roman"/>
      </w:rPr>
      <w:fldChar w:fldCharType="separate"/>
    </w:r>
    <w:r w:rsidRPr="001162EF">
      <w:rPr>
        <w:rStyle w:val="SayfaNumaras"/>
        <w:rFonts w:ascii="Times New Roman" w:hAnsi="Times New Roman"/>
        <w:noProof/>
      </w:rPr>
      <w:t>12</w:t>
    </w:r>
    <w:r w:rsidRPr="001162EF">
      <w:rPr>
        <w:rStyle w:val="SayfaNumaras"/>
        <w:rFonts w:ascii="Times New Roman" w:hAnsi="Times New Roman"/>
      </w:rPr>
      <w:fldChar w:fldCharType="end"/>
    </w:r>
  </w:p>
  <w:p w:rsidR="00AE3FFB" w:rsidRPr="001162EF" w:rsidRDefault="00AE3FFB" w:rsidP="001162EF">
    <w:pPr>
      <w:pStyle w:val="AltBilgi"/>
      <w:ind w:right="360"/>
      <w:jc w:val="right"/>
      <w:rPr>
        <w:rFonts w:ascii="Times New Roman" w:hAnsi="Times New Roman"/>
      </w:rPr>
    </w:pPr>
  </w:p>
  <w:p w:rsidR="003312FB" w:rsidRPr="001162EF" w:rsidRDefault="003312FB">
    <w:pPr>
      <w:pStyle w:val="AltBilgi"/>
      <w:rPr>
        <w:rFonts w:ascii="Times New Roman" w:hAnsi="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1644D" w:rsidRDefault="0071644D" w:rsidP="00EA2431">
      <w:r>
        <w:separator/>
      </w:r>
    </w:p>
  </w:footnote>
  <w:footnote w:type="continuationSeparator" w:id="0">
    <w:p w:rsidR="0071644D" w:rsidRDefault="0071644D" w:rsidP="00EA24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62EF" w:rsidRPr="001162EF" w:rsidRDefault="001162EF" w:rsidP="001162EF">
    <w:pPr>
      <w:pStyle w:val="stBilgi"/>
      <w:rPr>
        <w:rFonts w:ascii="Times New Roman" w:hAnsi="Times New Roman"/>
      </w:rPr>
    </w:pPr>
    <w:r w:rsidRPr="001162EF">
      <w:rPr>
        <w:rFonts w:ascii="Times New Roman" w:hAnsi="Times New Roman"/>
      </w:rPr>
      <w:t xml:space="preserve">Esas Sayısı </w:t>
    </w:r>
    <w:proofErr w:type="gramStart"/>
    <w:r w:rsidRPr="001162EF">
      <w:rPr>
        <w:rFonts w:ascii="Times New Roman" w:hAnsi="Times New Roman"/>
      </w:rPr>
      <w:t xml:space="preserve">  :</w:t>
    </w:r>
    <w:proofErr w:type="gramEnd"/>
    <w:r w:rsidRPr="001162EF">
      <w:rPr>
        <w:rFonts w:ascii="Times New Roman" w:hAnsi="Times New Roman"/>
      </w:rPr>
      <w:t xml:space="preserve"> 2018/133</w:t>
    </w:r>
  </w:p>
  <w:p w:rsidR="001162EF" w:rsidRPr="001162EF" w:rsidRDefault="001162EF" w:rsidP="001162EF">
    <w:pPr>
      <w:pStyle w:val="stBilgi"/>
    </w:pPr>
    <w:r w:rsidRPr="001162EF">
      <w:rPr>
        <w:rFonts w:ascii="Times New Roman" w:hAnsi="Times New Roman"/>
      </w:rPr>
      <w:t xml:space="preserve">Karar </w:t>
    </w:r>
    <w:proofErr w:type="gramStart"/>
    <w:r w:rsidRPr="001162EF">
      <w:rPr>
        <w:rFonts w:ascii="Times New Roman" w:hAnsi="Times New Roman"/>
      </w:rPr>
      <w:t>Sayısı :</w:t>
    </w:r>
    <w:proofErr w:type="gramEnd"/>
    <w:r w:rsidRPr="001162EF">
      <w:rPr>
        <w:rFonts w:ascii="Times New Roman" w:hAnsi="Times New Roman"/>
      </w:rPr>
      <w:t xml:space="preserve"> 2021/70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BB004E"/>
    <w:multiLevelType w:val="hybridMultilevel"/>
    <w:tmpl w:val="59B849E6"/>
    <w:lvl w:ilvl="0" w:tplc="61BE40D0">
      <w:start w:val="1"/>
      <w:numFmt w:val="upperLetter"/>
      <w:lvlText w:val="%1."/>
      <w:lvlJc w:val="left"/>
      <w:pPr>
        <w:tabs>
          <w:tab w:val="num" w:pos="927"/>
        </w:tabs>
        <w:ind w:left="927" w:hanging="360"/>
      </w:pPr>
      <w:rPr>
        <w:rFonts w:hint="default"/>
        <w:b w:val="0"/>
      </w:rPr>
    </w:lvl>
    <w:lvl w:ilvl="1" w:tplc="041F0019">
      <w:start w:val="1"/>
      <w:numFmt w:val="lowerLetter"/>
      <w:lvlText w:val="%2."/>
      <w:lvlJc w:val="left"/>
      <w:pPr>
        <w:tabs>
          <w:tab w:val="num" w:pos="1647"/>
        </w:tabs>
        <w:ind w:left="1647" w:hanging="360"/>
      </w:pPr>
    </w:lvl>
    <w:lvl w:ilvl="2" w:tplc="ADEE0CC0">
      <w:start w:val="2"/>
      <w:numFmt w:val="decimal"/>
      <w:lvlText w:val="%3.)"/>
      <w:lvlJc w:val="left"/>
      <w:pPr>
        <w:tabs>
          <w:tab w:val="num" w:pos="2547"/>
        </w:tabs>
        <w:ind w:left="2547" w:hanging="360"/>
      </w:pPr>
      <w:rPr>
        <w:rFonts w:hint="default"/>
      </w:rPr>
    </w:lvl>
    <w:lvl w:ilvl="3" w:tplc="041F000F" w:tentative="1">
      <w:start w:val="1"/>
      <w:numFmt w:val="decimal"/>
      <w:lvlText w:val="%4."/>
      <w:lvlJc w:val="left"/>
      <w:pPr>
        <w:tabs>
          <w:tab w:val="num" w:pos="3087"/>
        </w:tabs>
        <w:ind w:left="3087" w:hanging="360"/>
      </w:pPr>
    </w:lvl>
    <w:lvl w:ilvl="4" w:tplc="041F0019" w:tentative="1">
      <w:start w:val="1"/>
      <w:numFmt w:val="lowerLetter"/>
      <w:lvlText w:val="%5."/>
      <w:lvlJc w:val="left"/>
      <w:pPr>
        <w:tabs>
          <w:tab w:val="num" w:pos="3807"/>
        </w:tabs>
        <w:ind w:left="3807" w:hanging="360"/>
      </w:pPr>
    </w:lvl>
    <w:lvl w:ilvl="5" w:tplc="041F001B" w:tentative="1">
      <w:start w:val="1"/>
      <w:numFmt w:val="lowerRoman"/>
      <w:lvlText w:val="%6."/>
      <w:lvlJc w:val="right"/>
      <w:pPr>
        <w:tabs>
          <w:tab w:val="num" w:pos="4527"/>
        </w:tabs>
        <w:ind w:left="4527" w:hanging="180"/>
      </w:pPr>
    </w:lvl>
    <w:lvl w:ilvl="6" w:tplc="041F000F" w:tentative="1">
      <w:start w:val="1"/>
      <w:numFmt w:val="decimal"/>
      <w:lvlText w:val="%7."/>
      <w:lvlJc w:val="left"/>
      <w:pPr>
        <w:tabs>
          <w:tab w:val="num" w:pos="5247"/>
        </w:tabs>
        <w:ind w:left="5247" w:hanging="360"/>
      </w:pPr>
    </w:lvl>
    <w:lvl w:ilvl="7" w:tplc="041F0019" w:tentative="1">
      <w:start w:val="1"/>
      <w:numFmt w:val="lowerLetter"/>
      <w:lvlText w:val="%8."/>
      <w:lvlJc w:val="left"/>
      <w:pPr>
        <w:tabs>
          <w:tab w:val="num" w:pos="5967"/>
        </w:tabs>
        <w:ind w:left="5967" w:hanging="360"/>
      </w:pPr>
    </w:lvl>
    <w:lvl w:ilvl="8" w:tplc="041F001B" w:tentative="1">
      <w:start w:val="1"/>
      <w:numFmt w:val="lowerRoman"/>
      <w:lvlText w:val="%9."/>
      <w:lvlJc w:val="right"/>
      <w:pPr>
        <w:tabs>
          <w:tab w:val="num" w:pos="6687"/>
        </w:tabs>
        <w:ind w:left="6687" w:hanging="180"/>
      </w:pPr>
    </w:lvl>
  </w:abstractNum>
  <w:abstractNum w:abstractNumId="1" w15:restartNumberingAfterBreak="0">
    <w:nsid w:val="08137D81"/>
    <w:multiLevelType w:val="hybridMultilevel"/>
    <w:tmpl w:val="0C72C452"/>
    <w:styleLink w:val="ImportedStyle3"/>
    <w:lvl w:ilvl="0" w:tplc="321E2DE8">
      <w:start w:val="1"/>
      <w:numFmt w:val="upperRoman"/>
      <w:lvlText w:val="%1."/>
      <w:lvlJc w:val="left"/>
      <w:pPr>
        <w:ind w:left="1440" w:hanging="720"/>
      </w:pPr>
      <w:rPr>
        <w:rFonts w:hAnsi="Arial Unicode MS"/>
        <w:b/>
        <w:bCs/>
        <w:caps w:val="0"/>
        <w:smallCaps w:val="0"/>
        <w:strike w:val="0"/>
        <w:dstrike w:val="0"/>
        <w:outline w:val="0"/>
        <w:emboss w:val="0"/>
        <w:imprint w:val="0"/>
        <w:spacing w:val="0"/>
        <w:w w:val="100"/>
        <w:kern w:val="0"/>
        <w:position w:val="0"/>
        <w:highlight w:val="none"/>
        <w:vertAlign w:val="baseline"/>
      </w:rPr>
    </w:lvl>
    <w:lvl w:ilvl="1" w:tplc="7E12EFD4">
      <w:start w:val="1"/>
      <w:numFmt w:val="lowerLetter"/>
      <w:lvlText w:val="%2."/>
      <w:lvlJc w:val="left"/>
      <w:pPr>
        <w:tabs>
          <w:tab w:val="left" w:pos="1440"/>
        </w:tabs>
        <w:ind w:left="18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4F3AC0CC">
      <w:start w:val="1"/>
      <w:numFmt w:val="lowerRoman"/>
      <w:lvlText w:val="%3."/>
      <w:lvlJc w:val="left"/>
      <w:pPr>
        <w:tabs>
          <w:tab w:val="left" w:pos="1440"/>
        </w:tabs>
        <w:ind w:left="2520" w:hanging="313"/>
      </w:pPr>
      <w:rPr>
        <w:rFonts w:hAnsi="Arial Unicode MS"/>
        <w:b/>
        <w:bCs/>
        <w:caps w:val="0"/>
        <w:smallCaps w:val="0"/>
        <w:strike w:val="0"/>
        <w:dstrike w:val="0"/>
        <w:outline w:val="0"/>
        <w:emboss w:val="0"/>
        <w:imprint w:val="0"/>
        <w:spacing w:val="0"/>
        <w:w w:val="100"/>
        <w:kern w:val="0"/>
        <w:position w:val="0"/>
        <w:highlight w:val="none"/>
        <w:vertAlign w:val="baseline"/>
      </w:rPr>
    </w:lvl>
    <w:lvl w:ilvl="3" w:tplc="DA5CA04C">
      <w:start w:val="1"/>
      <w:numFmt w:val="decimal"/>
      <w:lvlText w:val="%4."/>
      <w:lvlJc w:val="left"/>
      <w:pPr>
        <w:tabs>
          <w:tab w:val="left" w:pos="1440"/>
        </w:tabs>
        <w:ind w:left="32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FF24D0FA">
      <w:start w:val="1"/>
      <w:numFmt w:val="lowerLetter"/>
      <w:lvlText w:val="%5."/>
      <w:lvlJc w:val="left"/>
      <w:pPr>
        <w:tabs>
          <w:tab w:val="left" w:pos="1440"/>
        </w:tabs>
        <w:ind w:left="39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BABE9D98">
      <w:start w:val="1"/>
      <w:numFmt w:val="lowerRoman"/>
      <w:lvlText w:val="%6."/>
      <w:lvlJc w:val="left"/>
      <w:pPr>
        <w:tabs>
          <w:tab w:val="left" w:pos="1440"/>
        </w:tabs>
        <w:ind w:left="4680" w:hanging="313"/>
      </w:pPr>
      <w:rPr>
        <w:rFonts w:hAnsi="Arial Unicode MS"/>
        <w:b/>
        <w:bCs/>
        <w:caps w:val="0"/>
        <w:smallCaps w:val="0"/>
        <w:strike w:val="0"/>
        <w:dstrike w:val="0"/>
        <w:outline w:val="0"/>
        <w:emboss w:val="0"/>
        <w:imprint w:val="0"/>
        <w:spacing w:val="0"/>
        <w:w w:val="100"/>
        <w:kern w:val="0"/>
        <w:position w:val="0"/>
        <w:highlight w:val="none"/>
        <w:vertAlign w:val="baseline"/>
      </w:rPr>
    </w:lvl>
    <w:lvl w:ilvl="6" w:tplc="700AB0D6">
      <w:start w:val="1"/>
      <w:numFmt w:val="decimal"/>
      <w:lvlText w:val="%7."/>
      <w:lvlJc w:val="left"/>
      <w:pPr>
        <w:tabs>
          <w:tab w:val="left" w:pos="1440"/>
        </w:tabs>
        <w:ind w:left="54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AB463DCA">
      <w:start w:val="1"/>
      <w:numFmt w:val="lowerLetter"/>
      <w:lvlText w:val="%8."/>
      <w:lvlJc w:val="left"/>
      <w:pPr>
        <w:tabs>
          <w:tab w:val="left" w:pos="1440"/>
        </w:tabs>
        <w:ind w:left="61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FA566760">
      <w:start w:val="1"/>
      <w:numFmt w:val="lowerRoman"/>
      <w:lvlText w:val="%9."/>
      <w:lvlJc w:val="left"/>
      <w:pPr>
        <w:tabs>
          <w:tab w:val="left" w:pos="1440"/>
        </w:tabs>
        <w:ind w:left="6840" w:hanging="313"/>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30A567B2"/>
    <w:multiLevelType w:val="hybridMultilevel"/>
    <w:tmpl w:val="6FC8DC64"/>
    <w:lvl w:ilvl="0" w:tplc="06CE7DCC">
      <w:start w:val="1"/>
      <w:numFmt w:val="upperLetter"/>
      <w:lvlText w:val="%1."/>
      <w:lvlJc w:val="left"/>
      <w:pPr>
        <w:ind w:left="1692" w:hanging="1125"/>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3" w15:restartNumberingAfterBreak="0">
    <w:nsid w:val="3D8E35A8"/>
    <w:multiLevelType w:val="hybridMultilevel"/>
    <w:tmpl w:val="72ACA2D2"/>
    <w:styleLink w:val="ImportedStyle2"/>
    <w:lvl w:ilvl="0" w:tplc="D7FEAFDE">
      <w:start w:val="1"/>
      <w:numFmt w:val="decimal"/>
      <w:lvlText w:val="%1."/>
      <w:lvlJc w:val="left"/>
      <w:pPr>
        <w:tabs>
          <w:tab w:val="num" w:pos="1416"/>
        </w:tabs>
        <w:ind w:left="709" w:firstLine="0"/>
      </w:pPr>
      <w:rPr>
        <w:rFonts w:hAnsi="Arial Unicode MS"/>
        <w:b/>
        <w:bCs/>
        <w:caps w:val="0"/>
        <w:smallCaps w:val="0"/>
        <w:strike w:val="0"/>
        <w:dstrike w:val="0"/>
        <w:outline w:val="0"/>
        <w:emboss w:val="0"/>
        <w:imprint w:val="0"/>
        <w:spacing w:val="0"/>
        <w:w w:val="100"/>
        <w:kern w:val="0"/>
        <w:position w:val="0"/>
        <w:highlight w:val="none"/>
        <w:vertAlign w:val="baseline"/>
      </w:rPr>
    </w:lvl>
    <w:lvl w:ilvl="1" w:tplc="7B82CF16">
      <w:start w:val="1"/>
      <w:numFmt w:val="lowerLetter"/>
      <w:lvlText w:val="%2."/>
      <w:lvlJc w:val="left"/>
      <w:pPr>
        <w:tabs>
          <w:tab w:val="num" w:pos="2136"/>
        </w:tabs>
        <w:ind w:left="1429" w:firstLine="12"/>
      </w:pPr>
      <w:rPr>
        <w:rFonts w:hAnsi="Arial Unicode MS"/>
        <w:b/>
        <w:bCs/>
        <w:caps w:val="0"/>
        <w:smallCaps w:val="0"/>
        <w:strike w:val="0"/>
        <w:dstrike w:val="0"/>
        <w:outline w:val="0"/>
        <w:emboss w:val="0"/>
        <w:imprint w:val="0"/>
        <w:spacing w:val="0"/>
        <w:w w:val="100"/>
        <w:kern w:val="0"/>
        <w:position w:val="0"/>
        <w:highlight w:val="none"/>
        <w:vertAlign w:val="baseline"/>
      </w:rPr>
    </w:lvl>
    <w:lvl w:ilvl="2" w:tplc="0A7C8A66">
      <w:start w:val="1"/>
      <w:numFmt w:val="lowerRoman"/>
      <w:lvlText w:val="%3."/>
      <w:lvlJc w:val="left"/>
      <w:pPr>
        <w:tabs>
          <w:tab w:val="num" w:pos="2856"/>
        </w:tabs>
        <w:ind w:left="2149" w:firstLine="71"/>
      </w:pPr>
      <w:rPr>
        <w:rFonts w:hAnsi="Arial Unicode MS"/>
        <w:b/>
        <w:bCs/>
        <w:caps w:val="0"/>
        <w:smallCaps w:val="0"/>
        <w:strike w:val="0"/>
        <w:dstrike w:val="0"/>
        <w:outline w:val="0"/>
        <w:emboss w:val="0"/>
        <w:imprint w:val="0"/>
        <w:spacing w:val="0"/>
        <w:w w:val="100"/>
        <w:kern w:val="0"/>
        <w:position w:val="0"/>
        <w:highlight w:val="none"/>
        <w:vertAlign w:val="baseline"/>
      </w:rPr>
    </w:lvl>
    <w:lvl w:ilvl="3" w:tplc="F3B29D30">
      <w:start w:val="1"/>
      <w:numFmt w:val="decimal"/>
      <w:lvlText w:val="%4."/>
      <w:lvlJc w:val="left"/>
      <w:pPr>
        <w:tabs>
          <w:tab w:val="num" w:pos="3576"/>
        </w:tabs>
        <w:ind w:left="2869" w:firstLine="36"/>
      </w:pPr>
      <w:rPr>
        <w:rFonts w:hAnsi="Arial Unicode MS"/>
        <w:b/>
        <w:bCs/>
        <w:caps w:val="0"/>
        <w:smallCaps w:val="0"/>
        <w:strike w:val="0"/>
        <w:dstrike w:val="0"/>
        <w:outline w:val="0"/>
        <w:emboss w:val="0"/>
        <w:imprint w:val="0"/>
        <w:spacing w:val="0"/>
        <w:w w:val="100"/>
        <w:kern w:val="0"/>
        <w:position w:val="0"/>
        <w:highlight w:val="none"/>
        <w:vertAlign w:val="baseline"/>
      </w:rPr>
    </w:lvl>
    <w:lvl w:ilvl="4" w:tplc="B3BA5F94">
      <w:start w:val="1"/>
      <w:numFmt w:val="lowerLetter"/>
      <w:lvlText w:val="%5."/>
      <w:lvlJc w:val="left"/>
      <w:pPr>
        <w:tabs>
          <w:tab w:val="num" w:pos="4296"/>
        </w:tabs>
        <w:ind w:left="3589" w:firstLine="48"/>
      </w:pPr>
      <w:rPr>
        <w:rFonts w:hAnsi="Arial Unicode MS"/>
        <w:b/>
        <w:bCs/>
        <w:caps w:val="0"/>
        <w:smallCaps w:val="0"/>
        <w:strike w:val="0"/>
        <w:dstrike w:val="0"/>
        <w:outline w:val="0"/>
        <w:emboss w:val="0"/>
        <w:imprint w:val="0"/>
        <w:spacing w:val="0"/>
        <w:w w:val="100"/>
        <w:kern w:val="0"/>
        <w:position w:val="0"/>
        <w:highlight w:val="none"/>
        <w:vertAlign w:val="baseline"/>
      </w:rPr>
    </w:lvl>
    <w:lvl w:ilvl="5" w:tplc="37448892">
      <w:start w:val="1"/>
      <w:numFmt w:val="lowerRoman"/>
      <w:lvlText w:val="%6."/>
      <w:lvlJc w:val="left"/>
      <w:pPr>
        <w:tabs>
          <w:tab w:val="num" w:pos="5016"/>
        </w:tabs>
        <w:ind w:left="4309" w:firstLine="107"/>
      </w:pPr>
      <w:rPr>
        <w:rFonts w:hAnsi="Arial Unicode MS"/>
        <w:b/>
        <w:bCs/>
        <w:caps w:val="0"/>
        <w:smallCaps w:val="0"/>
        <w:strike w:val="0"/>
        <w:dstrike w:val="0"/>
        <w:outline w:val="0"/>
        <w:emboss w:val="0"/>
        <w:imprint w:val="0"/>
        <w:spacing w:val="0"/>
        <w:w w:val="100"/>
        <w:kern w:val="0"/>
        <w:position w:val="0"/>
        <w:highlight w:val="none"/>
        <w:vertAlign w:val="baseline"/>
      </w:rPr>
    </w:lvl>
    <w:lvl w:ilvl="6" w:tplc="BA70CB7C">
      <w:start w:val="1"/>
      <w:numFmt w:val="decimal"/>
      <w:lvlText w:val="%7."/>
      <w:lvlJc w:val="left"/>
      <w:pPr>
        <w:tabs>
          <w:tab w:val="num" w:pos="5736"/>
        </w:tabs>
        <w:ind w:left="5029" w:firstLine="72"/>
      </w:pPr>
      <w:rPr>
        <w:rFonts w:hAnsi="Arial Unicode MS"/>
        <w:b/>
        <w:bCs/>
        <w:caps w:val="0"/>
        <w:smallCaps w:val="0"/>
        <w:strike w:val="0"/>
        <w:dstrike w:val="0"/>
        <w:outline w:val="0"/>
        <w:emboss w:val="0"/>
        <w:imprint w:val="0"/>
        <w:spacing w:val="0"/>
        <w:w w:val="100"/>
        <w:kern w:val="0"/>
        <w:position w:val="0"/>
        <w:highlight w:val="none"/>
        <w:vertAlign w:val="baseline"/>
      </w:rPr>
    </w:lvl>
    <w:lvl w:ilvl="7" w:tplc="D5F0E4FA">
      <w:start w:val="1"/>
      <w:numFmt w:val="lowerLetter"/>
      <w:lvlText w:val="%8."/>
      <w:lvlJc w:val="left"/>
      <w:pPr>
        <w:tabs>
          <w:tab w:val="num" w:pos="6456"/>
        </w:tabs>
        <w:ind w:left="5749" w:firstLine="84"/>
      </w:pPr>
      <w:rPr>
        <w:rFonts w:hAnsi="Arial Unicode MS"/>
        <w:b/>
        <w:bCs/>
        <w:caps w:val="0"/>
        <w:smallCaps w:val="0"/>
        <w:strike w:val="0"/>
        <w:dstrike w:val="0"/>
        <w:outline w:val="0"/>
        <w:emboss w:val="0"/>
        <w:imprint w:val="0"/>
        <w:spacing w:val="0"/>
        <w:w w:val="100"/>
        <w:kern w:val="0"/>
        <w:position w:val="0"/>
        <w:highlight w:val="none"/>
        <w:vertAlign w:val="baseline"/>
      </w:rPr>
    </w:lvl>
    <w:lvl w:ilvl="8" w:tplc="F67478A4">
      <w:start w:val="1"/>
      <w:numFmt w:val="lowerRoman"/>
      <w:lvlText w:val="%9."/>
      <w:lvlJc w:val="left"/>
      <w:pPr>
        <w:tabs>
          <w:tab w:val="num" w:pos="7176"/>
        </w:tabs>
        <w:ind w:left="6469" w:firstLine="143"/>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3EA45516"/>
    <w:multiLevelType w:val="hybridMultilevel"/>
    <w:tmpl w:val="1422BEAE"/>
    <w:lvl w:ilvl="0" w:tplc="FEF6C53C">
      <w:start w:val="3"/>
      <w:numFmt w:val="upperRoman"/>
      <w:lvlText w:val="%1."/>
      <w:lvlJc w:val="left"/>
      <w:pPr>
        <w:tabs>
          <w:tab w:val="num" w:pos="1440"/>
        </w:tabs>
        <w:ind w:left="1440" w:hanging="720"/>
      </w:pPr>
    </w:lvl>
    <w:lvl w:ilvl="1" w:tplc="041F0019">
      <w:start w:val="1"/>
      <w:numFmt w:val="lowerLetter"/>
      <w:lvlText w:val="%2."/>
      <w:lvlJc w:val="left"/>
      <w:pPr>
        <w:tabs>
          <w:tab w:val="num" w:pos="1800"/>
        </w:tabs>
        <w:ind w:left="1800" w:hanging="360"/>
      </w:pPr>
    </w:lvl>
    <w:lvl w:ilvl="2" w:tplc="041F001B">
      <w:start w:val="1"/>
      <w:numFmt w:val="lowerRoman"/>
      <w:lvlText w:val="%3."/>
      <w:lvlJc w:val="right"/>
      <w:pPr>
        <w:tabs>
          <w:tab w:val="num" w:pos="2520"/>
        </w:tabs>
        <w:ind w:left="2520" w:hanging="180"/>
      </w:pPr>
    </w:lvl>
    <w:lvl w:ilvl="3" w:tplc="041F000F">
      <w:start w:val="1"/>
      <w:numFmt w:val="decimal"/>
      <w:lvlText w:val="%4."/>
      <w:lvlJc w:val="left"/>
      <w:pPr>
        <w:tabs>
          <w:tab w:val="num" w:pos="3240"/>
        </w:tabs>
        <w:ind w:left="3240" w:hanging="360"/>
      </w:pPr>
    </w:lvl>
    <w:lvl w:ilvl="4" w:tplc="041F0019">
      <w:start w:val="1"/>
      <w:numFmt w:val="lowerLetter"/>
      <w:lvlText w:val="%5."/>
      <w:lvlJc w:val="left"/>
      <w:pPr>
        <w:tabs>
          <w:tab w:val="num" w:pos="3960"/>
        </w:tabs>
        <w:ind w:left="3960" w:hanging="360"/>
      </w:pPr>
    </w:lvl>
    <w:lvl w:ilvl="5" w:tplc="041F001B">
      <w:start w:val="1"/>
      <w:numFmt w:val="lowerRoman"/>
      <w:lvlText w:val="%6."/>
      <w:lvlJc w:val="right"/>
      <w:pPr>
        <w:tabs>
          <w:tab w:val="num" w:pos="4680"/>
        </w:tabs>
        <w:ind w:left="4680" w:hanging="180"/>
      </w:pPr>
    </w:lvl>
    <w:lvl w:ilvl="6" w:tplc="041F000F">
      <w:start w:val="1"/>
      <w:numFmt w:val="decimal"/>
      <w:lvlText w:val="%7."/>
      <w:lvlJc w:val="left"/>
      <w:pPr>
        <w:tabs>
          <w:tab w:val="num" w:pos="5400"/>
        </w:tabs>
        <w:ind w:left="5400" w:hanging="360"/>
      </w:pPr>
    </w:lvl>
    <w:lvl w:ilvl="7" w:tplc="041F0019">
      <w:start w:val="1"/>
      <w:numFmt w:val="lowerLetter"/>
      <w:lvlText w:val="%8."/>
      <w:lvlJc w:val="left"/>
      <w:pPr>
        <w:tabs>
          <w:tab w:val="num" w:pos="6120"/>
        </w:tabs>
        <w:ind w:left="6120" w:hanging="360"/>
      </w:pPr>
    </w:lvl>
    <w:lvl w:ilvl="8" w:tplc="041F001B">
      <w:start w:val="1"/>
      <w:numFmt w:val="lowerRoman"/>
      <w:lvlText w:val="%9."/>
      <w:lvlJc w:val="right"/>
      <w:pPr>
        <w:tabs>
          <w:tab w:val="num" w:pos="6840"/>
        </w:tabs>
        <w:ind w:left="6840" w:hanging="180"/>
      </w:pPr>
    </w:lvl>
  </w:abstractNum>
  <w:abstractNum w:abstractNumId="5" w15:restartNumberingAfterBreak="0">
    <w:nsid w:val="46C40431"/>
    <w:multiLevelType w:val="hybridMultilevel"/>
    <w:tmpl w:val="22C2B330"/>
    <w:lvl w:ilvl="0" w:tplc="A8DEF15E">
      <w:start w:val="1"/>
      <w:numFmt w:val="decimal"/>
      <w:lvlText w:val="%1."/>
      <w:lvlJc w:val="left"/>
      <w:pPr>
        <w:tabs>
          <w:tab w:val="num" w:pos="927"/>
        </w:tabs>
        <w:ind w:left="927" w:hanging="360"/>
      </w:pPr>
      <w:rPr>
        <w:rFonts w:hint="default"/>
      </w:rPr>
    </w:lvl>
    <w:lvl w:ilvl="1" w:tplc="041F0019" w:tentative="1">
      <w:start w:val="1"/>
      <w:numFmt w:val="lowerLetter"/>
      <w:lvlText w:val="%2."/>
      <w:lvlJc w:val="left"/>
      <w:pPr>
        <w:tabs>
          <w:tab w:val="num" w:pos="1647"/>
        </w:tabs>
        <w:ind w:left="1647" w:hanging="360"/>
      </w:pPr>
    </w:lvl>
    <w:lvl w:ilvl="2" w:tplc="041F001B" w:tentative="1">
      <w:start w:val="1"/>
      <w:numFmt w:val="lowerRoman"/>
      <w:lvlText w:val="%3."/>
      <w:lvlJc w:val="right"/>
      <w:pPr>
        <w:tabs>
          <w:tab w:val="num" w:pos="2367"/>
        </w:tabs>
        <w:ind w:left="2367" w:hanging="180"/>
      </w:pPr>
    </w:lvl>
    <w:lvl w:ilvl="3" w:tplc="041F000F" w:tentative="1">
      <w:start w:val="1"/>
      <w:numFmt w:val="decimal"/>
      <w:lvlText w:val="%4."/>
      <w:lvlJc w:val="left"/>
      <w:pPr>
        <w:tabs>
          <w:tab w:val="num" w:pos="3087"/>
        </w:tabs>
        <w:ind w:left="3087" w:hanging="360"/>
      </w:pPr>
    </w:lvl>
    <w:lvl w:ilvl="4" w:tplc="041F0019" w:tentative="1">
      <w:start w:val="1"/>
      <w:numFmt w:val="lowerLetter"/>
      <w:lvlText w:val="%5."/>
      <w:lvlJc w:val="left"/>
      <w:pPr>
        <w:tabs>
          <w:tab w:val="num" w:pos="3807"/>
        </w:tabs>
        <w:ind w:left="3807" w:hanging="360"/>
      </w:pPr>
    </w:lvl>
    <w:lvl w:ilvl="5" w:tplc="041F001B" w:tentative="1">
      <w:start w:val="1"/>
      <w:numFmt w:val="lowerRoman"/>
      <w:lvlText w:val="%6."/>
      <w:lvlJc w:val="right"/>
      <w:pPr>
        <w:tabs>
          <w:tab w:val="num" w:pos="4527"/>
        </w:tabs>
        <w:ind w:left="4527" w:hanging="180"/>
      </w:pPr>
    </w:lvl>
    <w:lvl w:ilvl="6" w:tplc="041F000F" w:tentative="1">
      <w:start w:val="1"/>
      <w:numFmt w:val="decimal"/>
      <w:lvlText w:val="%7."/>
      <w:lvlJc w:val="left"/>
      <w:pPr>
        <w:tabs>
          <w:tab w:val="num" w:pos="5247"/>
        </w:tabs>
        <w:ind w:left="5247" w:hanging="360"/>
      </w:pPr>
    </w:lvl>
    <w:lvl w:ilvl="7" w:tplc="041F0019" w:tentative="1">
      <w:start w:val="1"/>
      <w:numFmt w:val="lowerLetter"/>
      <w:lvlText w:val="%8."/>
      <w:lvlJc w:val="left"/>
      <w:pPr>
        <w:tabs>
          <w:tab w:val="num" w:pos="5967"/>
        </w:tabs>
        <w:ind w:left="5967" w:hanging="360"/>
      </w:pPr>
    </w:lvl>
    <w:lvl w:ilvl="8" w:tplc="041F001B" w:tentative="1">
      <w:start w:val="1"/>
      <w:numFmt w:val="lowerRoman"/>
      <w:lvlText w:val="%9."/>
      <w:lvlJc w:val="right"/>
      <w:pPr>
        <w:tabs>
          <w:tab w:val="num" w:pos="6687"/>
        </w:tabs>
        <w:ind w:left="6687" w:hanging="180"/>
      </w:pPr>
    </w:lvl>
  </w:abstractNum>
  <w:abstractNum w:abstractNumId="6" w15:restartNumberingAfterBreak="0">
    <w:nsid w:val="61332359"/>
    <w:multiLevelType w:val="hybridMultilevel"/>
    <w:tmpl w:val="CB9A609E"/>
    <w:lvl w:ilvl="0" w:tplc="2A8E1514">
      <w:start w:val="1"/>
      <w:numFmt w:val="decimal"/>
      <w:lvlText w:val="%1."/>
      <w:lvlJc w:val="left"/>
      <w:pPr>
        <w:ind w:left="4185" w:hanging="360"/>
      </w:pPr>
      <w:rPr>
        <w:b w:val="0"/>
        <w:sz w:val="24"/>
      </w:rPr>
    </w:lvl>
    <w:lvl w:ilvl="1" w:tplc="041F0019">
      <w:start w:val="1"/>
      <w:numFmt w:val="lowerLetter"/>
      <w:lvlText w:val="%2."/>
      <w:lvlJc w:val="left"/>
      <w:pPr>
        <w:ind w:left="4905" w:hanging="360"/>
      </w:pPr>
    </w:lvl>
    <w:lvl w:ilvl="2" w:tplc="041F001B">
      <w:start w:val="1"/>
      <w:numFmt w:val="lowerRoman"/>
      <w:lvlText w:val="%3."/>
      <w:lvlJc w:val="right"/>
      <w:pPr>
        <w:ind w:left="5625" w:hanging="180"/>
      </w:pPr>
    </w:lvl>
    <w:lvl w:ilvl="3" w:tplc="041F000F">
      <w:start w:val="1"/>
      <w:numFmt w:val="decimal"/>
      <w:lvlText w:val="%4."/>
      <w:lvlJc w:val="left"/>
      <w:pPr>
        <w:ind w:left="6345" w:hanging="360"/>
      </w:pPr>
    </w:lvl>
    <w:lvl w:ilvl="4" w:tplc="041F0019">
      <w:start w:val="1"/>
      <w:numFmt w:val="lowerLetter"/>
      <w:lvlText w:val="%5."/>
      <w:lvlJc w:val="left"/>
      <w:pPr>
        <w:ind w:left="7065" w:hanging="360"/>
      </w:pPr>
    </w:lvl>
    <w:lvl w:ilvl="5" w:tplc="041F001B">
      <w:start w:val="1"/>
      <w:numFmt w:val="lowerRoman"/>
      <w:lvlText w:val="%6."/>
      <w:lvlJc w:val="right"/>
      <w:pPr>
        <w:ind w:left="7785" w:hanging="180"/>
      </w:pPr>
    </w:lvl>
    <w:lvl w:ilvl="6" w:tplc="041F000F">
      <w:start w:val="1"/>
      <w:numFmt w:val="decimal"/>
      <w:lvlText w:val="%7."/>
      <w:lvlJc w:val="left"/>
      <w:pPr>
        <w:ind w:left="8505" w:hanging="360"/>
      </w:pPr>
    </w:lvl>
    <w:lvl w:ilvl="7" w:tplc="041F0019">
      <w:start w:val="1"/>
      <w:numFmt w:val="lowerLetter"/>
      <w:lvlText w:val="%8."/>
      <w:lvlJc w:val="left"/>
      <w:pPr>
        <w:ind w:left="9225" w:hanging="360"/>
      </w:pPr>
    </w:lvl>
    <w:lvl w:ilvl="8" w:tplc="041F001B">
      <w:start w:val="1"/>
      <w:numFmt w:val="lowerRoman"/>
      <w:lvlText w:val="%9."/>
      <w:lvlJc w:val="right"/>
      <w:pPr>
        <w:ind w:left="9945" w:hanging="180"/>
      </w:pPr>
    </w:lvl>
  </w:abstractNum>
  <w:abstractNum w:abstractNumId="7" w15:restartNumberingAfterBreak="0">
    <w:nsid w:val="6B7A6DDF"/>
    <w:multiLevelType w:val="hybridMultilevel"/>
    <w:tmpl w:val="8B70EC42"/>
    <w:styleLink w:val="ImportedStyle1"/>
    <w:lvl w:ilvl="0" w:tplc="43A8F958">
      <w:start w:val="1"/>
      <w:numFmt w:val="decimal"/>
      <w:lvlText w:val="%1."/>
      <w:lvlJc w:val="left"/>
      <w:pPr>
        <w:ind w:left="4185"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3B64C17C">
      <w:start w:val="1"/>
      <w:numFmt w:val="lowerLetter"/>
      <w:lvlText w:val="%2."/>
      <w:lvlJc w:val="left"/>
      <w:pPr>
        <w:ind w:left="4905"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6C2C7444">
      <w:start w:val="1"/>
      <w:numFmt w:val="lowerRoman"/>
      <w:lvlText w:val="%3."/>
      <w:lvlJc w:val="left"/>
      <w:pPr>
        <w:ind w:left="5625" w:hanging="306"/>
      </w:pPr>
      <w:rPr>
        <w:rFonts w:hAnsi="Arial Unicode MS"/>
        <w:caps w:val="0"/>
        <w:smallCaps w:val="0"/>
        <w:strike w:val="0"/>
        <w:dstrike w:val="0"/>
        <w:outline w:val="0"/>
        <w:emboss w:val="0"/>
        <w:imprint w:val="0"/>
        <w:spacing w:val="0"/>
        <w:w w:val="100"/>
        <w:kern w:val="0"/>
        <w:position w:val="0"/>
        <w:highlight w:val="none"/>
        <w:vertAlign w:val="baseline"/>
      </w:rPr>
    </w:lvl>
    <w:lvl w:ilvl="3" w:tplc="C4ACA828">
      <w:start w:val="1"/>
      <w:numFmt w:val="decimal"/>
      <w:lvlText w:val="%4."/>
      <w:lvlJc w:val="left"/>
      <w:pPr>
        <w:ind w:left="6345"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A440A834">
      <w:start w:val="1"/>
      <w:numFmt w:val="lowerLetter"/>
      <w:lvlText w:val="%5."/>
      <w:lvlJc w:val="left"/>
      <w:pPr>
        <w:ind w:left="7065"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43EAE9BA">
      <w:start w:val="1"/>
      <w:numFmt w:val="lowerRoman"/>
      <w:lvlText w:val="%6."/>
      <w:lvlJc w:val="left"/>
      <w:pPr>
        <w:ind w:left="7785" w:hanging="306"/>
      </w:pPr>
      <w:rPr>
        <w:rFonts w:hAnsi="Arial Unicode MS"/>
        <w:caps w:val="0"/>
        <w:smallCaps w:val="0"/>
        <w:strike w:val="0"/>
        <w:dstrike w:val="0"/>
        <w:outline w:val="0"/>
        <w:emboss w:val="0"/>
        <w:imprint w:val="0"/>
        <w:spacing w:val="0"/>
        <w:w w:val="100"/>
        <w:kern w:val="0"/>
        <w:position w:val="0"/>
        <w:highlight w:val="none"/>
        <w:vertAlign w:val="baseline"/>
      </w:rPr>
    </w:lvl>
    <w:lvl w:ilvl="6" w:tplc="4710B728">
      <w:start w:val="1"/>
      <w:numFmt w:val="decimal"/>
      <w:lvlText w:val="%7."/>
      <w:lvlJc w:val="left"/>
      <w:pPr>
        <w:ind w:left="8496" w:hanging="351"/>
      </w:pPr>
      <w:rPr>
        <w:rFonts w:hAnsi="Arial Unicode MS"/>
        <w:caps w:val="0"/>
        <w:smallCaps w:val="0"/>
        <w:strike w:val="0"/>
        <w:dstrike w:val="0"/>
        <w:outline w:val="0"/>
        <w:emboss w:val="0"/>
        <w:imprint w:val="0"/>
        <w:spacing w:val="0"/>
        <w:w w:val="100"/>
        <w:kern w:val="0"/>
        <w:position w:val="0"/>
        <w:highlight w:val="none"/>
        <w:vertAlign w:val="baseline"/>
      </w:rPr>
    </w:lvl>
    <w:lvl w:ilvl="7" w:tplc="ECCE46FC">
      <w:start w:val="1"/>
      <w:numFmt w:val="lowerLetter"/>
      <w:lvlText w:val="%8."/>
      <w:lvlJc w:val="left"/>
      <w:pPr>
        <w:ind w:left="9204" w:hanging="339"/>
      </w:pPr>
      <w:rPr>
        <w:rFonts w:hAnsi="Arial Unicode MS"/>
        <w:caps w:val="0"/>
        <w:smallCaps w:val="0"/>
        <w:strike w:val="0"/>
        <w:dstrike w:val="0"/>
        <w:outline w:val="0"/>
        <w:emboss w:val="0"/>
        <w:imprint w:val="0"/>
        <w:spacing w:val="0"/>
        <w:w w:val="100"/>
        <w:kern w:val="0"/>
        <w:position w:val="0"/>
        <w:highlight w:val="none"/>
        <w:vertAlign w:val="baseline"/>
      </w:rPr>
    </w:lvl>
    <w:lvl w:ilvl="8" w:tplc="B75A69B4">
      <w:start w:val="1"/>
      <w:numFmt w:val="lowerRoman"/>
      <w:lvlText w:val="%9."/>
      <w:lvlJc w:val="left"/>
      <w:pPr>
        <w:ind w:left="9912" w:hanging="27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6ECE1577"/>
    <w:multiLevelType w:val="hybridMultilevel"/>
    <w:tmpl w:val="3EEE8540"/>
    <w:styleLink w:val="ImportedStyle4"/>
    <w:lvl w:ilvl="0" w:tplc="5E4AC698">
      <w:start w:val="1"/>
      <w:numFmt w:val="decimal"/>
      <w:lvlText w:val="%1."/>
      <w:lvlJc w:val="left"/>
      <w:pPr>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 w:ilvl="1" w:tplc="3326A9FC">
      <w:start w:val="1"/>
      <w:numFmt w:val="lowerLetter"/>
      <w:lvlText w:val="%2."/>
      <w:lvlJc w:val="left"/>
      <w:pPr>
        <w:ind w:left="1417" w:hanging="697"/>
      </w:pPr>
      <w:rPr>
        <w:rFonts w:hAnsi="Arial Unicode MS"/>
        <w:caps w:val="0"/>
        <w:smallCaps w:val="0"/>
        <w:strike w:val="0"/>
        <w:dstrike w:val="0"/>
        <w:outline w:val="0"/>
        <w:emboss w:val="0"/>
        <w:imprint w:val="0"/>
        <w:spacing w:val="0"/>
        <w:w w:val="100"/>
        <w:kern w:val="0"/>
        <w:position w:val="0"/>
        <w:highlight w:val="none"/>
        <w:vertAlign w:val="baseline"/>
      </w:rPr>
    </w:lvl>
    <w:lvl w:ilvl="2" w:tplc="AA0C162C">
      <w:start w:val="1"/>
      <w:numFmt w:val="lowerRoman"/>
      <w:lvlText w:val="%3."/>
      <w:lvlJc w:val="left"/>
      <w:pPr>
        <w:ind w:left="2125" w:hanging="638"/>
      </w:pPr>
      <w:rPr>
        <w:rFonts w:hAnsi="Arial Unicode MS"/>
        <w:caps w:val="0"/>
        <w:smallCaps w:val="0"/>
        <w:strike w:val="0"/>
        <w:dstrike w:val="0"/>
        <w:outline w:val="0"/>
        <w:emboss w:val="0"/>
        <w:imprint w:val="0"/>
        <w:spacing w:val="0"/>
        <w:w w:val="100"/>
        <w:kern w:val="0"/>
        <w:position w:val="0"/>
        <w:highlight w:val="none"/>
        <w:vertAlign w:val="baseline"/>
      </w:rPr>
    </w:lvl>
    <w:lvl w:ilvl="3" w:tplc="EE223A5A">
      <w:start w:val="1"/>
      <w:numFmt w:val="decimal"/>
      <w:lvlText w:val="%4."/>
      <w:lvlJc w:val="left"/>
      <w:pPr>
        <w:ind w:left="2833" w:hanging="673"/>
      </w:pPr>
      <w:rPr>
        <w:rFonts w:hAnsi="Arial Unicode MS"/>
        <w:caps w:val="0"/>
        <w:smallCaps w:val="0"/>
        <w:strike w:val="0"/>
        <w:dstrike w:val="0"/>
        <w:outline w:val="0"/>
        <w:emboss w:val="0"/>
        <w:imprint w:val="0"/>
        <w:spacing w:val="0"/>
        <w:w w:val="100"/>
        <w:kern w:val="0"/>
        <w:position w:val="0"/>
        <w:highlight w:val="none"/>
        <w:vertAlign w:val="baseline"/>
      </w:rPr>
    </w:lvl>
    <w:lvl w:ilvl="4" w:tplc="171E2E04">
      <w:start w:val="1"/>
      <w:numFmt w:val="lowerLetter"/>
      <w:lvlText w:val="%5."/>
      <w:lvlJc w:val="left"/>
      <w:pPr>
        <w:ind w:left="3541" w:hanging="661"/>
      </w:pPr>
      <w:rPr>
        <w:rFonts w:hAnsi="Arial Unicode MS"/>
        <w:caps w:val="0"/>
        <w:smallCaps w:val="0"/>
        <w:strike w:val="0"/>
        <w:dstrike w:val="0"/>
        <w:outline w:val="0"/>
        <w:emboss w:val="0"/>
        <w:imprint w:val="0"/>
        <w:spacing w:val="0"/>
        <w:w w:val="100"/>
        <w:kern w:val="0"/>
        <w:position w:val="0"/>
        <w:highlight w:val="none"/>
        <w:vertAlign w:val="baseline"/>
      </w:rPr>
    </w:lvl>
    <w:lvl w:ilvl="5" w:tplc="B57E4328">
      <w:start w:val="1"/>
      <w:numFmt w:val="lowerRoman"/>
      <w:lvlText w:val="%6."/>
      <w:lvlJc w:val="left"/>
      <w:pPr>
        <w:ind w:left="4249" w:hanging="602"/>
      </w:pPr>
      <w:rPr>
        <w:rFonts w:hAnsi="Arial Unicode MS"/>
        <w:caps w:val="0"/>
        <w:smallCaps w:val="0"/>
        <w:strike w:val="0"/>
        <w:dstrike w:val="0"/>
        <w:outline w:val="0"/>
        <w:emboss w:val="0"/>
        <w:imprint w:val="0"/>
        <w:spacing w:val="0"/>
        <w:w w:val="100"/>
        <w:kern w:val="0"/>
        <w:position w:val="0"/>
        <w:highlight w:val="none"/>
        <w:vertAlign w:val="baseline"/>
      </w:rPr>
    </w:lvl>
    <w:lvl w:ilvl="6" w:tplc="C64ABF8C">
      <w:start w:val="1"/>
      <w:numFmt w:val="decimal"/>
      <w:lvlText w:val="%7."/>
      <w:lvlJc w:val="left"/>
      <w:pPr>
        <w:ind w:left="4957" w:hanging="637"/>
      </w:pPr>
      <w:rPr>
        <w:rFonts w:hAnsi="Arial Unicode MS"/>
        <w:caps w:val="0"/>
        <w:smallCaps w:val="0"/>
        <w:strike w:val="0"/>
        <w:dstrike w:val="0"/>
        <w:outline w:val="0"/>
        <w:emboss w:val="0"/>
        <w:imprint w:val="0"/>
        <w:spacing w:val="0"/>
        <w:w w:val="100"/>
        <w:kern w:val="0"/>
        <w:position w:val="0"/>
        <w:highlight w:val="none"/>
        <w:vertAlign w:val="baseline"/>
      </w:rPr>
    </w:lvl>
    <w:lvl w:ilvl="7" w:tplc="D5C69506">
      <w:start w:val="1"/>
      <w:numFmt w:val="lowerLetter"/>
      <w:lvlText w:val="%8."/>
      <w:lvlJc w:val="left"/>
      <w:pPr>
        <w:ind w:left="5665" w:hanging="625"/>
      </w:pPr>
      <w:rPr>
        <w:rFonts w:hAnsi="Arial Unicode MS"/>
        <w:caps w:val="0"/>
        <w:smallCaps w:val="0"/>
        <w:strike w:val="0"/>
        <w:dstrike w:val="0"/>
        <w:outline w:val="0"/>
        <w:emboss w:val="0"/>
        <w:imprint w:val="0"/>
        <w:spacing w:val="0"/>
        <w:w w:val="100"/>
        <w:kern w:val="0"/>
        <w:position w:val="0"/>
        <w:highlight w:val="none"/>
        <w:vertAlign w:val="baseline"/>
      </w:rPr>
    </w:lvl>
    <w:lvl w:ilvl="8" w:tplc="75920398">
      <w:start w:val="1"/>
      <w:numFmt w:val="lowerRoman"/>
      <w:lvlText w:val="%9."/>
      <w:lvlJc w:val="left"/>
      <w:pPr>
        <w:ind w:left="6373" w:hanging="56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753B1D76"/>
    <w:multiLevelType w:val="hybridMultilevel"/>
    <w:tmpl w:val="00201240"/>
    <w:lvl w:ilvl="0" w:tplc="6C184782">
      <w:start w:val="1"/>
      <w:numFmt w:val="decimal"/>
      <w:lvlText w:val="%1."/>
      <w:lvlJc w:val="left"/>
      <w:pPr>
        <w:ind w:left="4185" w:hanging="360"/>
      </w:pPr>
      <w:rPr>
        <w:b w:val="0"/>
        <w:sz w:val="24"/>
      </w:rPr>
    </w:lvl>
    <w:lvl w:ilvl="1" w:tplc="041F0019">
      <w:start w:val="1"/>
      <w:numFmt w:val="lowerLetter"/>
      <w:lvlText w:val="%2."/>
      <w:lvlJc w:val="left"/>
      <w:pPr>
        <w:ind w:left="4905" w:hanging="360"/>
      </w:pPr>
    </w:lvl>
    <w:lvl w:ilvl="2" w:tplc="041F001B">
      <w:start w:val="1"/>
      <w:numFmt w:val="lowerRoman"/>
      <w:lvlText w:val="%3."/>
      <w:lvlJc w:val="right"/>
      <w:pPr>
        <w:ind w:left="5625" w:hanging="180"/>
      </w:pPr>
    </w:lvl>
    <w:lvl w:ilvl="3" w:tplc="041F000F">
      <w:start w:val="1"/>
      <w:numFmt w:val="decimal"/>
      <w:lvlText w:val="%4."/>
      <w:lvlJc w:val="left"/>
      <w:pPr>
        <w:ind w:left="6345" w:hanging="360"/>
      </w:pPr>
    </w:lvl>
    <w:lvl w:ilvl="4" w:tplc="041F0019">
      <w:start w:val="1"/>
      <w:numFmt w:val="lowerLetter"/>
      <w:lvlText w:val="%5."/>
      <w:lvlJc w:val="left"/>
      <w:pPr>
        <w:ind w:left="7065" w:hanging="360"/>
      </w:pPr>
    </w:lvl>
    <w:lvl w:ilvl="5" w:tplc="041F001B">
      <w:start w:val="1"/>
      <w:numFmt w:val="lowerRoman"/>
      <w:lvlText w:val="%6."/>
      <w:lvlJc w:val="right"/>
      <w:pPr>
        <w:ind w:left="7785" w:hanging="180"/>
      </w:pPr>
    </w:lvl>
    <w:lvl w:ilvl="6" w:tplc="041F000F">
      <w:start w:val="1"/>
      <w:numFmt w:val="decimal"/>
      <w:lvlText w:val="%7."/>
      <w:lvlJc w:val="left"/>
      <w:pPr>
        <w:ind w:left="8505" w:hanging="360"/>
      </w:pPr>
    </w:lvl>
    <w:lvl w:ilvl="7" w:tplc="041F0019">
      <w:start w:val="1"/>
      <w:numFmt w:val="lowerLetter"/>
      <w:lvlText w:val="%8."/>
      <w:lvlJc w:val="left"/>
      <w:pPr>
        <w:ind w:left="9225" w:hanging="360"/>
      </w:pPr>
    </w:lvl>
    <w:lvl w:ilvl="8" w:tplc="041F001B">
      <w:start w:val="1"/>
      <w:numFmt w:val="lowerRoman"/>
      <w:lvlText w:val="%9."/>
      <w:lvlJc w:val="right"/>
      <w:pPr>
        <w:ind w:left="9945" w:hanging="180"/>
      </w:pPr>
    </w:lvl>
  </w:abstractNum>
  <w:num w:numId="1">
    <w:abstractNumId w:val="4"/>
  </w:num>
  <w:num w:numId="2">
    <w:abstractNumId w:val="3"/>
  </w:num>
  <w:num w:numId="3">
    <w:abstractNumId w:val="1"/>
  </w:num>
  <w:num w:numId="4">
    <w:abstractNumId w:val="8"/>
  </w:num>
  <w:num w:numId="5">
    <w:abstractNumId w:val="5"/>
  </w:num>
  <w:num w:numId="6">
    <w:abstractNumId w:val="7"/>
  </w:num>
  <w:num w:numId="7">
    <w:abstractNumId w:val="0"/>
  </w:num>
  <w:num w:numId="8">
    <w:abstractNumId w:val="2"/>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spelling="clean" w:grammar="clean"/>
  <w:defaultTabStop w:val="5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7CDD"/>
    <w:rsid w:val="00007317"/>
    <w:rsid w:val="00011171"/>
    <w:rsid w:val="00013B91"/>
    <w:rsid w:val="000175F6"/>
    <w:rsid w:val="0002281D"/>
    <w:rsid w:val="00023DAA"/>
    <w:rsid w:val="000256D5"/>
    <w:rsid w:val="0002650E"/>
    <w:rsid w:val="0003175A"/>
    <w:rsid w:val="000410CE"/>
    <w:rsid w:val="00062830"/>
    <w:rsid w:val="000671D3"/>
    <w:rsid w:val="000731AE"/>
    <w:rsid w:val="00073499"/>
    <w:rsid w:val="00075306"/>
    <w:rsid w:val="000763F4"/>
    <w:rsid w:val="00076AB7"/>
    <w:rsid w:val="0008504D"/>
    <w:rsid w:val="00095DE7"/>
    <w:rsid w:val="000C36E1"/>
    <w:rsid w:val="000D3FC2"/>
    <w:rsid w:val="000D6ECD"/>
    <w:rsid w:val="000D7AA3"/>
    <w:rsid w:val="00105296"/>
    <w:rsid w:val="001162EF"/>
    <w:rsid w:val="00135151"/>
    <w:rsid w:val="00137757"/>
    <w:rsid w:val="001401F6"/>
    <w:rsid w:val="0014721D"/>
    <w:rsid w:val="00151E11"/>
    <w:rsid w:val="00151E4A"/>
    <w:rsid w:val="00154D02"/>
    <w:rsid w:val="00174408"/>
    <w:rsid w:val="001A653E"/>
    <w:rsid w:val="001B0A7E"/>
    <w:rsid w:val="001B6277"/>
    <w:rsid w:val="001D18B4"/>
    <w:rsid w:val="001D581A"/>
    <w:rsid w:val="001F057F"/>
    <w:rsid w:val="001F0BC5"/>
    <w:rsid w:val="001F3B8D"/>
    <w:rsid w:val="001F6643"/>
    <w:rsid w:val="00212260"/>
    <w:rsid w:val="00212E50"/>
    <w:rsid w:val="00226BA8"/>
    <w:rsid w:val="00253075"/>
    <w:rsid w:val="00253225"/>
    <w:rsid w:val="00255C2A"/>
    <w:rsid w:val="00263F53"/>
    <w:rsid w:val="00270AF0"/>
    <w:rsid w:val="0027210A"/>
    <w:rsid w:val="00274B0E"/>
    <w:rsid w:val="00283A8B"/>
    <w:rsid w:val="002B58B4"/>
    <w:rsid w:val="002D5064"/>
    <w:rsid w:val="002E2169"/>
    <w:rsid w:val="002F4F07"/>
    <w:rsid w:val="002F6403"/>
    <w:rsid w:val="003067EF"/>
    <w:rsid w:val="00313B9E"/>
    <w:rsid w:val="00321BF1"/>
    <w:rsid w:val="003312FB"/>
    <w:rsid w:val="00352816"/>
    <w:rsid w:val="00364C53"/>
    <w:rsid w:val="00370E70"/>
    <w:rsid w:val="00381A60"/>
    <w:rsid w:val="00384D88"/>
    <w:rsid w:val="00385641"/>
    <w:rsid w:val="00387007"/>
    <w:rsid w:val="003A1FE0"/>
    <w:rsid w:val="003B2525"/>
    <w:rsid w:val="003C42AF"/>
    <w:rsid w:val="003D2796"/>
    <w:rsid w:val="003D715A"/>
    <w:rsid w:val="003E7351"/>
    <w:rsid w:val="003F2304"/>
    <w:rsid w:val="003F3826"/>
    <w:rsid w:val="00405A26"/>
    <w:rsid w:val="00425FD5"/>
    <w:rsid w:val="0043188B"/>
    <w:rsid w:val="00432CFE"/>
    <w:rsid w:val="00442338"/>
    <w:rsid w:val="004432F9"/>
    <w:rsid w:val="00462127"/>
    <w:rsid w:val="00472FD3"/>
    <w:rsid w:val="00485043"/>
    <w:rsid w:val="004960E4"/>
    <w:rsid w:val="004A1102"/>
    <w:rsid w:val="004A6DF3"/>
    <w:rsid w:val="004B033A"/>
    <w:rsid w:val="004B3633"/>
    <w:rsid w:val="004B3796"/>
    <w:rsid w:val="004B5F40"/>
    <w:rsid w:val="004C09B7"/>
    <w:rsid w:val="004D77DE"/>
    <w:rsid w:val="004E532D"/>
    <w:rsid w:val="004F15F8"/>
    <w:rsid w:val="004F5261"/>
    <w:rsid w:val="005102BC"/>
    <w:rsid w:val="00531754"/>
    <w:rsid w:val="00534866"/>
    <w:rsid w:val="00536878"/>
    <w:rsid w:val="00537723"/>
    <w:rsid w:val="00540CF3"/>
    <w:rsid w:val="005457D7"/>
    <w:rsid w:val="0059322A"/>
    <w:rsid w:val="005A7DEE"/>
    <w:rsid w:val="005B3846"/>
    <w:rsid w:val="005B593C"/>
    <w:rsid w:val="005D3059"/>
    <w:rsid w:val="005D4E35"/>
    <w:rsid w:val="005E6402"/>
    <w:rsid w:val="006233B0"/>
    <w:rsid w:val="00631429"/>
    <w:rsid w:val="006402C1"/>
    <w:rsid w:val="00680BED"/>
    <w:rsid w:val="00692B74"/>
    <w:rsid w:val="006D0227"/>
    <w:rsid w:val="006D2BA8"/>
    <w:rsid w:val="006D69CF"/>
    <w:rsid w:val="006F63B8"/>
    <w:rsid w:val="0070787A"/>
    <w:rsid w:val="007119B2"/>
    <w:rsid w:val="0071644D"/>
    <w:rsid w:val="00721640"/>
    <w:rsid w:val="00724A9D"/>
    <w:rsid w:val="00741F4C"/>
    <w:rsid w:val="00747CDD"/>
    <w:rsid w:val="00774263"/>
    <w:rsid w:val="00776AA9"/>
    <w:rsid w:val="0079008C"/>
    <w:rsid w:val="00795A16"/>
    <w:rsid w:val="007A1B6C"/>
    <w:rsid w:val="007A46A3"/>
    <w:rsid w:val="007B4B5E"/>
    <w:rsid w:val="007C182F"/>
    <w:rsid w:val="007C1DFD"/>
    <w:rsid w:val="007C3C83"/>
    <w:rsid w:val="007D3CB6"/>
    <w:rsid w:val="007E6B66"/>
    <w:rsid w:val="007E7779"/>
    <w:rsid w:val="007F0DF5"/>
    <w:rsid w:val="008054C5"/>
    <w:rsid w:val="0080768A"/>
    <w:rsid w:val="00807F6A"/>
    <w:rsid w:val="00817800"/>
    <w:rsid w:val="008363BE"/>
    <w:rsid w:val="0083654D"/>
    <w:rsid w:val="008401D5"/>
    <w:rsid w:val="0084067C"/>
    <w:rsid w:val="00843AAD"/>
    <w:rsid w:val="008445A8"/>
    <w:rsid w:val="008634E3"/>
    <w:rsid w:val="00863D58"/>
    <w:rsid w:val="00876D4F"/>
    <w:rsid w:val="008800B3"/>
    <w:rsid w:val="0088457E"/>
    <w:rsid w:val="008A1D1E"/>
    <w:rsid w:val="008B219E"/>
    <w:rsid w:val="008D3D6C"/>
    <w:rsid w:val="008E1203"/>
    <w:rsid w:val="008E58CF"/>
    <w:rsid w:val="00917F29"/>
    <w:rsid w:val="0093015E"/>
    <w:rsid w:val="009539AC"/>
    <w:rsid w:val="009628AB"/>
    <w:rsid w:val="00962E09"/>
    <w:rsid w:val="0096361C"/>
    <w:rsid w:val="00972907"/>
    <w:rsid w:val="00984BEE"/>
    <w:rsid w:val="00993DD9"/>
    <w:rsid w:val="00994970"/>
    <w:rsid w:val="00997E5A"/>
    <w:rsid w:val="009B183C"/>
    <w:rsid w:val="009B5D3C"/>
    <w:rsid w:val="009F6150"/>
    <w:rsid w:val="00A05453"/>
    <w:rsid w:val="00A13C65"/>
    <w:rsid w:val="00A1586B"/>
    <w:rsid w:val="00A34F97"/>
    <w:rsid w:val="00A35A5C"/>
    <w:rsid w:val="00A44775"/>
    <w:rsid w:val="00A51B8A"/>
    <w:rsid w:val="00A6536D"/>
    <w:rsid w:val="00A65B88"/>
    <w:rsid w:val="00A7003E"/>
    <w:rsid w:val="00A73537"/>
    <w:rsid w:val="00A76535"/>
    <w:rsid w:val="00A77D04"/>
    <w:rsid w:val="00A905F2"/>
    <w:rsid w:val="00AA0B24"/>
    <w:rsid w:val="00AA59C4"/>
    <w:rsid w:val="00AC4266"/>
    <w:rsid w:val="00AC7C6E"/>
    <w:rsid w:val="00AD2A4F"/>
    <w:rsid w:val="00AE3FFB"/>
    <w:rsid w:val="00AE55F6"/>
    <w:rsid w:val="00AF1FB9"/>
    <w:rsid w:val="00AF7F91"/>
    <w:rsid w:val="00B01CF1"/>
    <w:rsid w:val="00B363F2"/>
    <w:rsid w:val="00B36F0B"/>
    <w:rsid w:val="00B409BD"/>
    <w:rsid w:val="00B47E28"/>
    <w:rsid w:val="00B47EF7"/>
    <w:rsid w:val="00B47F61"/>
    <w:rsid w:val="00B61396"/>
    <w:rsid w:val="00B66BBC"/>
    <w:rsid w:val="00B749DB"/>
    <w:rsid w:val="00BA551B"/>
    <w:rsid w:val="00BA5798"/>
    <w:rsid w:val="00BA734D"/>
    <w:rsid w:val="00BB1A24"/>
    <w:rsid w:val="00BC39DF"/>
    <w:rsid w:val="00BC592D"/>
    <w:rsid w:val="00BC5CBE"/>
    <w:rsid w:val="00BC6759"/>
    <w:rsid w:val="00BD08C4"/>
    <w:rsid w:val="00BD1732"/>
    <w:rsid w:val="00BD572F"/>
    <w:rsid w:val="00BE3476"/>
    <w:rsid w:val="00C00698"/>
    <w:rsid w:val="00C10876"/>
    <w:rsid w:val="00C13834"/>
    <w:rsid w:val="00C25520"/>
    <w:rsid w:val="00C25E14"/>
    <w:rsid w:val="00C30D1D"/>
    <w:rsid w:val="00C472C3"/>
    <w:rsid w:val="00C66C86"/>
    <w:rsid w:val="00C731F4"/>
    <w:rsid w:val="00C7607E"/>
    <w:rsid w:val="00C80A4C"/>
    <w:rsid w:val="00CB4624"/>
    <w:rsid w:val="00CC46EB"/>
    <w:rsid w:val="00CF6B1F"/>
    <w:rsid w:val="00D00DC1"/>
    <w:rsid w:val="00D4070F"/>
    <w:rsid w:val="00D47B0D"/>
    <w:rsid w:val="00D73A06"/>
    <w:rsid w:val="00D77B30"/>
    <w:rsid w:val="00D8602E"/>
    <w:rsid w:val="00D94B8F"/>
    <w:rsid w:val="00D9774C"/>
    <w:rsid w:val="00DA1D65"/>
    <w:rsid w:val="00DA7E2C"/>
    <w:rsid w:val="00DB42EC"/>
    <w:rsid w:val="00DB6B95"/>
    <w:rsid w:val="00DC0DF8"/>
    <w:rsid w:val="00DC1C07"/>
    <w:rsid w:val="00DC2D91"/>
    <w:rsid w:val="00DD3344"/>
    <w:rsid w:val="00DD6B0C"/>
    <w:rsid w:val="00DD712B"/>
    <w:rsid w:val="00DE612C"/>
    <w:rsid w:val="00DF4DA7"/>
    <w:rsid w:val="00DF51EA"/>
    <w:rsid w:val="00E0439E"/>
    <w:rsid w:val="00E30011"/>
    <w:rsid w:val="00E31AD5"/>
    <w:rsid w:val="00E37B47"/>
    <w:rsid w:val="00E53E19"/>
    <w:rsid w:val="00E55700"/>
    <w:rsid w:val="00E717C6"/>
    <w:rsid w:val="00E801A3"/>
    <w:rsid w:val="00E81827"/>
    <w:rsid w:val="00E82B93"/>
    <w:rsid w:val="00E91C65"/>
    <w:rsid w:val="00EA2431"/>
    <w:rsid w:val="00EA4E06"/>
    <w:rsid w:val="00EB2BD1"/>
    <w:rsid w:val="00EB37D5"/>
    <w:rsid w:val="00EC69B3"/>
    <w:rsid w:val="00EE17BE"/>
    <w:rsid w:val="00F03C98"/>
    <w:rsid w:val="00F22A1F"/>
    <w:rsid w:val="00F233F5"/>
    <w:rsid w:val="00F256AD"/>
    <w:rsid w:val="00F33A6D"/>
    <w:rsid w:val="00F46226"/>
    <w:rsid w:val="00F6442A"/>
    <w:rsid w:val="00F77483"/>
    <w:rsid w:val="00F842AA"/>
    <w:rsid w:val="00F84AD4"/>
    <w:rsid w:val="00FA24B5"/>
    <w:rsid w:val="00FA4679"/>
    <w:rsid w:val="00FA56AD"/>
    <w:rsid w:val="00FA691B"/>
    <w:rsid w:val="00FC4BF7"/>
    <w:rsid w:val="00FC6D58"/>
    <w:rsid w:val="00FD22CF"/>
    <w:rsid w:val="00FE2500"/>
    <w:rsid w:val="00FE625A"/>
    <w:rsid w:val="00FF3D3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A846F3A1-ACB6-4257-A2D0-12840B55E1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tr-TR" w:eastAsia="tr-TR"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402C1"/>
    <w:rPr>
      <w:sz w:val="24"/>
      <w:szCs w:val="24"/>
      <w:lang w:eastAsia="en-US"/>
    </w:rPr>
  </w:style>
  <w:style w:type="paragraph" w:styleId="Balk1">
    <w:name w:val="heading 1"/>
    <w:basedOn w:val="Normal"/>
    <w:next w:val="Normal"/>
    <w:link w:val="Balk1Char"/>
    <w:qFormat/>
    <w:rsid w:val="004A6DF3"/>
    <w:pPr>
      <w:keepNext/>
      <w:keepLines/>
      <w:spacing w:before="240"/>
      <w:outlineLvl w:val="0"/>
    </w:pPr>
    <w:rPr>
      <w:rFonts w:ascii="Calibri Light" w:eastAsia="Times New Roman" w:hAnsi="Calibri Light"/>
      <w:color w:val="2E74B5"/>
      <w:sz w:val="32"/>
      <w:szCs w:val="32"/>
    </w:rPr>
  </w:style>
  <w:style w:type="paragraph" w:styleId="Balk2">
    <w:name w:val="heading 2"/>
    <w:basedOn w:val="Normal"/>
    <w:next w:val="Normal"/>
    <w:link w:val="Balk2Char"/>
    <w:qFormat/>
    <w:rsid w:val="00AF7F91"/>
    <w:pPr>
      <w:spacing w:before="120" w:after="120" w:line="360" w:lineRule="auto"/>
      <w:outlineLvl w:val="1"/>
    </w:pPr>
    <w:rPr>
      <w:sz w:val="22"/>
      <w:szCs w:val="22"/>
    </w:rPr>
  </w:style>
  <w:style w:type="paragraph" w:styleId="Balk3">
    <w:name w:val="heading 3"/>
    <w:basedOn w:val="Normal"/>
    <w:next w:val="Normal"/>
    <w:link w:val="Balk3Char"/>
    <w:qFormat/>
    <w:rsid w:val="00540CF3"/>
    <w:pPr>
      <w:keepNext/>
      <w:keepLines/>
      <w:spacing w:before="40"/>
      <w:outlineLvl w:val="2"/>
    </w:pPr>
    <w:rPr>
      <w:rFonts w:ascii="Calibri Light" w:eastAsia="Times New Roman" w:hAnsi="Calibri Light"/>
      <w:color w:val="1F4D78"/>
    </w:rPr>
  </w:style>
  <w:style w:type="paragraph" w:styleId="Balk6">
    <w:name w:val="heading 6"/>
    <w:basedOn w:val="Normal"/>
    <w:next w:val="Normal"/>
    <w:link w:val="Balk6Char"/>
    <w:qFormat/>
    <w:locked/>
    <w:rsid w:val="007A46A3"/>
    <w:pPr>
      <w:spacing w:before="240" w:after="60" w:line="276" w:lineRule="auto"/>
      <w:outlineLvl w:val="5"/>
    </w:pPr>
    <w:rPr>
      <w:rFonts w:eastAsia="Times New Roman"/>
      <w:b/>
      <w:bCs/>
      <w:sz w:val="22"/>
      <w:szCs w:val="22"/>
    </w:rPr>
  </w:style>
  <w:style w:type="paragraph" w:styleId="Balk7">
    <w:name w:val="heading 7"/>
    <w:basedOn w:val="Normal"/>
    <w:next w:val="Normal"/>
    <w:link w:val="Balk7Char"/>
    <w:qFormat/>
    <w:locked/>
    <w:rsid w:val="007A46A3"/>
    <w:pPr>
      <w:spacing w:before="240" w:after="60" w:line="276" w:lineRule="auto"/>
      <w:outlineLvl w:val="6"/>
    </w:pPr>
    <w:rPr>
      <w:rFonts w:eastAsia="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locked/>
    <w:rsid w:val="004A6DF3"/>
    <w:rPr>
      <w:rFonts w:ascii="Calibri Light" w:hAnsi="Calibri Light" w:cs="Times New Roman"/>
      <w:color w:val="2E74B5"/>
      <w:sz w:val="32"/>
      <w:szCs w:val="32"/>
    </w:rPr>
  </w:style>
  <w:style w:type="character" w:customStyle="1" w:styleId="Balk2Char">
    <w:name w:val="Başlık 2 Char"/>
    <w:basedOn w:val="VarsaylanParagrafYazTipi"/>
    <w:link w:val="Balk2"/>
    <w:locked/>
    <w:rsid w:val="00AF7F91"/>
    <w:rPr>
      <w:rFonts w:cs="Times New Roman"/>
      <w:sz w:val="22"/>
      <w:szCs w:val="22"/>
    </w:rPr>
  </w:style>
  <w:style w:type="character" w:customStyle="1" w:styleId="Balk3Char">
    <w:name w:val="Başlık 3 Char"/>
    <w:basedOn w:val="VarsaylanParagrafYazTipi"/>
    <w:link w:val="Balk3"/>
    <w:locked/>
    <w:rsid w:val="00540CF3"/>
    <w:rPr>
      <w:rFonts w:ascii="Calibri Light" w:hAnsi="Calibri Light" w:cs="Times New Roman"/>
      <w:color w:val="1F4D78"/>
    </w:rPr>
  </w:style>
  <w:style w:type="paragraph" w:styleId="ListeParagraf">
    <w:name w:val="List Paragraph"/>
    <w:aliases w:val="içindekiler vb,LİSTE PARAF,KODLAMA,ALT BAŞLIK,List Paragraph"/>
    <w:basedOn w:val="Normal"/>
    <w:link w:val="ListeParagrafChar"/>
    <w:qFormat/>
    <w:rsid w:val="004B033A"/>
    <w:pPr>
      <w:ind w:left="720"/>
      <w:contextualSpacing/>
    </w:pPr>
  </w:style>
  <w:style w:type="character" w:customStyle="1" w:styleId="grame">
    <w:name w:val="grame"/>
    <w:basedOn w:val="VarsaylanParagrafYazTipi"/>
    <w:uiPriority w:val="99"/>
    <w:rsid w:val="003F3826"/>
    <w:rPr>
      <w:rFonts w:cs="Times New Roman"/>
    </w:rPr>
  </w:style>
  <w:style w:type="character" w:customStyle="1" w:styleId="apple-converted-space">
    <w:name w:val="apple-converted-space"/>
    <w:basedOn w:val="VarsaylanParagrafYazTipi"/>
    <w:rsid w:val="003F3826"/>
    <w:rPr>
      <w:rFonts w:cs="Times New Roman"/>
    </w:rPr>
  </w:style>
  <w:style w:type="character" w:customStyle="1" w:styleId="ListeParagrafChar">
    <w:name w:val="Liste Paragraf Char"/>
    <w:aliases w:val="içindekiler vb Char,LİSTE PARAF Char,KODLAMA Char,ALT BAŞLIK Char,List Paragraph Char"/>
    <w:link w:val="ListeParagraf"/>
    <w:locked/>
    <w:rsid w:val="005457D7"/>
  </w:style>
  <w:style w:type="character" w:styleId="Kpr">
    <w:name w:val="Hyperlink"/>
    <w:basedOn w:val="VarsaylanParagrafYazTipi"/>
    <w:rsid w:val="004F5261"/>
    <w:rPr>
      <w:rFonts w:cs="Times New Roman"/>
      <w:color w:val="0000FF"/>
      <w:u w:val="single"/>
    </w:rPr>
  </w:style>
  <w:style w:type="character" w:customStyle="1" w:styleId="Dipnot">
    <w:name w:val="Dipnot_"/>
    <w:basedOn w:val="VarsaylanParagrafYazTipi"/>
    <w:link w:val="Dipnot0"/>
    <w:locked/>
    <w:rsid w:val="00EA2431"/>
    <w:rPr>
      <w:rFonts w:ascii="Times New Roman" w:hAnsi="Times New Roman" w:cs="Times New Roman"/>
      <w:sz w:val="18"/>
      <w:szCs w:val="18"/>
      <w:shd w:val="clear" w:color="auto" w:fill="FFFFFF"/>
    </w:rPr>
  </w:style>
  <w:style w:type="character" w:customStyle="1" w:styleId="Dipnottalik">
    <w:name w:val="Dipnot + İtalik"/>
    <w:basedOn w:val="Dipnot"/>
    <w:uiPriority w:val="99"/>
    <w:rsid w:val="00EA2431"/>
    <w:rPr>
      <w:rFonts w:ascii="Times New Roman" w:hAnsi="Times New Roman" w:cs="Times New Roman"/>
      <w:i/>
      <w:iCs/>
      <w:color w:val="000000"/>
      <w:spacing w:val="0"/>
      <w:w w:val="100"/>
      <w:position w:val="0"/>
      <w:sz w:val="18"/>
      <w:szCs w:val="18"/>
      <w:shd w:val="clear" w:color="auto" w:fill="FFFFFF"/>
      <w:lang w:val="tr-TR" w:eastAsia="tr-TR"/>
    </w:rPr>
  </w:style>
  <w:style w:type="character" w:customStyle="1" w:styleId="Gvdemetni2">
    <w:name w:val="Gövde metni (2)_"/>
    <w:basedOn w:val="VarsaylanParagrafYazTipi"/>
    <w:link w:val="Gvdemetni20"/>
    <w:locked/>
    <w:rsid w:val="00EA2431"/>
    <w:rPr>
      <w:rFonts w:ascii="Tahoma" w:eastAsia="Times New Roman" w:hAnsi="Tahoma" w:cs="Tahoma"/>
      <w:sz w:val="20"/>
      <w:szCs w:val="20"/>
      <w:shd w:val="clear" w:color="auto" w:fill="FFFFFF"/>
    </w:rPr>
  </w:style>
  <w:style w:type="character" w:customStyle="1" w:styleId="Gvdemetni5">
    <w:name w:val="Gövde metni (5)_"/>
    <w:basedOn w:val="VarsaylanParagrafYazTipi"/>
    <w:link w:val="Gvdemetni50"/>
    <w:locked/>
    <w:rsid w:val="00EA2431"/>
    <w:rPr>
      <w:rFonts w:ascii="Tahoma" w:eastAsia="Times New Roman" w:hAnsi="Tahoma" w:cs="Tahoma"/>
      <w:i/>
      <w:iCs/>
      <w:sz w:val="20"/>
      <w:szCs w:val="20"/>
      <w:shd w:val="clear" w:color="auto" w:fill="FFFFFF"/>
    </w:rPr>
  </w:style>
  <w:style w:type="paragraph" w:customStyle="1" w:styleId="Dipnot0">
    <w:name w:val="Dipnot"/>
    <w:basedOn w:val="Normal"/>
    <w:link w:val="Dipnot"/>
    <w:rsid w:val="00EA2431"/>
    <w:pPr>
      <w:widowControl w:val="0"/>
      <w:shd w:val="clear" w:color="auto" w:fill="FFFFFF"/>
      <w:spacing w:line="322" w:lineRule="exact"/>
      <w:ind w:hanging="220"/>
      <w:jc w:val="both"/>
    </w:pPr>
    <w:rPr>
      <w:rFonts w:ascii="Times New Roman" w:eastAsia="Times New Roman" w:hAnsi="Times New Roman"/>
      <w:sz w:val="18"/>
      <w:szCs w:val="18"/>
    </w:rPr>
  </w:style>
  <w:style w:type="paragraph" w:customStyle="1" w:styleId="Gvdemetni20">
    <w:name w:val="Gövde metni (2)"/>
    <w:basedOn w:val="Normal"/>
    <w:link w:val="Gvdemetni2"/>
    <w:rsid w:val="00EA2431"/>
    <w:pPr>
      <w:widowControl w:val="0"/>
      <w:shd w:val="clear" w:color="auto" w:fill="FFFFFF"/>
      <w:spacing w:before="240" w:line="240" w:lineRule="exact"/>
      <w:jc w:val="both"/>
    </w:pPr>
    <w:rPr>
      <w:rFonts w:ascii="Tahoma" w:hAnsi="Tahoma" w:cs="Tahoma"/>
      <w:sz w:val="20"/>
      <w:szCs w:val="20"/>
    </w:rPr>
  </w:style>
  <w:style w:type="paragraph" w:customStyle="1" w:styleId="Gvdemetni50">
    <w:name w:val="Gövde metni (5)"/>
    <w:basedOn w:val="Normal"/>
    <w:link w:val="Gvdemetni5"/>
    <w:rsid w:val="00EA2431"/>
    <w:pPr>
      <w:widowControl w:val="0"/>
      <w:shd w:val="clear" w:color="auto" w:fill="FFFFFF"/>
      <w:spacing w:line="240" w:lineRule="exact"/>
      <w:jc w:val="both"/>
    </w:pPr>
    <w:rPr>
      <w:rFonts w:ascii="Tahoma" w:hAnsi="Tahoma" w:cs="Tahoma"/>
      <w:i/>
      <w:iCs/>
      <w:sz w:val="20"/>
      <w:szCs w:val="20"/>
    </w:rPr>
  </w:style>
  <w:style w:type="character" w:customStyle="1" w:styleId="Gvdemetni5talikdeil">
    <w:name w:val="Gövde metni (5) + İtalik değil"/>
    <w:basedOn w:val="Gvdemetni5"/>
    <w:uiPriority w:val="99"/>
    <w:rsid w:val="003D2796"/>
    <w:rPr>
      <w:rFonts w:ascii="Tahoma" w:eastAsia="Times New Roman" w:hAnsi="Tahoma" w:cs="Tahoma"/>
      <w:i/>
      <w:iCs/>
      <w:color w:val="000000"/>
      <w:spacing w:val="0"/>
      <w:w w:val="100"/>
      <w:position w:val="0"/>
      <w:sz w:val="20"/>
      <w:szCs w:val="20"/>
      <w:shd w:val="clear" w:color="auto" w:fill="FFFFFF"/>
      <w:lang w:val="tr-TR" w:eastAsia="tr-TR"/>
    </w:rPr>
  </w:style>
  <w:style w:type="paragraph" w:styleId="NormalWeb">
    <w:name w:val="Normal (Web)"/>
    <w:basedOn w:val="Normal"/>
    <w:link w:val="NormalWebChar"/>
    <w:rsid w:val="001F057F"/>
    <w:pPr>
      <w:spacing w:before="100" w:beforeAutospacing="1" w:after="100" w:afterAutospacing="1"/>
    </w:pPr>
    <w:rPr>
      <w:rFonts w:ascii="Times New Roman" w:eastAsia="Times New Roman" w:hAnsi="Times New Roman"/>
      <w:sz w:val="20"/>
      <w:szCs w:val="20"/>
      <w:lang w:eastAsia="tr-TR"/>
    </w:rPr>
  </w:style>
  <w:style w:type="character" w:customStyle="1" w:styleId="NormalWebChar">
    <w:name w:val="Normal (Web) Char"/>
    <w:link w:val="NormalWeb"/>
    <w:locked/>
    <w:rsid w:val="001F057F"/>
    <w:rPr>
      <w:rFonts w:ascii="Times New Roman" w:hAnsi="Times New Roman"/>
      <w:lang w:eastAsia="tr-TR"/>
    </w:rPr>
  </w:style>
  <w:style w:type="character" w:customStyle="1" w:styleId="ver2">
    <w:name w:val="ver2"/>
    <w:basedOn w:val="VarsaylanParagrafYazTipi"/>
    <w:uiPriority w:val="99"/>
    <w:rsid w:val="001F057F"/>
    <w:rPr>
      <w:rFonts w:cs="Times New Roman"/>
    </w:rPr>
  </w:style>
  <w:style w:type="character" w:customStyle="1" w:styleId="Balk310">
    <w:name w:val="Başlık #3 + 10"/>
    <w:aliases w:val="5 pt,Kalın Değil"/>
    <w:basedOn w:val="VarsaylanParagrafYazTipi"/>
    <w:uiPriority w:val="99"/>
    <w:rsid w:val="00537723"/>
    <w:rPr>
      <w:rFonts w:ascii="Times New Roman" w:hAnsi="Times New Roman" w:cs="Times New Roman"/>
      <w:b/>
      <w:bCs/>
      <w:color w:val="000000"/>
      <w:spacing w:val="0"/>
      <w:w w:val="100"/>
      <w:position w:val="0"/>
      <w:sz w:val="21"/>
      <w:szCs w:val="21"/>
      <w:u w:val="none"/>
      <w:lang w:val="tr-TR" w:eastAsia="tr-TR"/>
    </w:rPr>
  </w:style>
  <w:style w:type="paragraph" w:customStyle="1" w:styleId="Standard">
    <w:name w:val="Standard"/>
    <w:uiPriority w:val="99"/>
    <w:rsid w:val="005A7DEE"/>
    <w:pPr>
      <w:widowControl w:val="0"/>
      <w:suppressAutoHyphens/>
      <w:textAlignment w:val="baseline"/>
    </w:pPr>
    <w:rPr>
      <w:rFonts w:ascii="Times New Roman" w:hAnsi="Times New Roman"/>
      <w:kern w:val="1"/>
      <w:sz w:val="24"/>
      <w:szCs w:val="24"/>
      <w:lang w:val="de-DE" w:eastAsia="fa-IR" w:bidi="fa-IR"/>
    </w:rPr>
  </w:style>
  <w:style w:type="character" w:customStyle="1" w:styleId="fontstyle01">
    <w:name w:val="fontstyle01"/>
    <w:basedOn w:val="VarsaylanParagrafYazTipi"/>
    <w:uiPriority w:val="99"/>
    <w:rsid w:val="00C10876"/>
    <w:rPr>
      <w:rFonts w:ascii="Bold" w:hAnsi="Bold" w:cs="Times New Roman"/>
      <w:b/>
      <w:bCs/>
      <w:color w:val="000000"/>
      <w:sz w:val="20"/>
      <w:szCs w:val="20"/>
    </w:rPr>
  </w:style>
  <w:style w:type="character" w:customStyle="1" w:styleId="fontstyle21">
    <w:name w:val="fontstyle21"/>
    <w:basedOn w:val="VarsaylanParagrafYazTipi"/>
    <w:uiPriority w:val="99"/>
    <w:rsid w:val="00C10876"/>
    <w:rPr>
      <w:rFonts w:ascii="TimesNewRomanPS-BoldMT" w:hAnsi="TimesNewRomanPS-BoldMT" w:cs="Times New Roman"/>
      <w:b/>
      <w:bCs/>
      <w:color w:val="000000"/>
      <w:sz w:val="20"/>
      <w:szCs w:val="20"/>
    </w:rPr>
  </w:style>
  <w:style w:type="character" w:customStyle="1" w:styleId="fontstyle31">
    <w:name w:val="fontstyle31"/>
    <w:basedOn w:val="VarsaylanParagrafYazTipi"/>
    <w:uiPriority w:val="99"/>
    <w:rsid w:val="00C10876"/>
    <w:rPr>
      <w:rFonts w:ascii="TimesNewRoman" w:hAnsi="TimesNewRoman" w:cs="Times New Roman"/>
      <w:i/>
      <w:iCs/>
      <w:color w:val="000000"/>
      <w:sz w:val="24"/>
      <w:szCs w:val="24"/>
    </w:rPr>
  </w:style>
  <w:style w:type="character" w:customStyle="1" w:styleId="fontstyle41">
    <w:name w:val="fontstyle41"/>
    <w:basedOn w:val="VarsaylanParagrafYazTipi"/>
    <w:uiPriority w:val="99"/>
    <w:rsid w:val="00C10876"/>
    <w:rPr>
      <w:rFonts w:ascii="TimesNewRomanPS-ItalicMT" w:hAnsi="TimesNewRomanPS-ItalicMT" w:cs="Times New Roman"/>
      <w:i/>
      <w:iCs/>
      <w:color w:val="000000"/>
      <w:sz w:val="20"/>
      <w:szCs w:val="20"/>
    </w:rPr>
  </w:style>
  <w:style w:type="paragraph" w:styleId="BalonMetni">
    <w:name w:val="Balloon Text"/>
    <w:basedOn w:val="Normal"/>
    <w:link w:val="BalonMetniChar"/>
    <w:rsid w:val="007E6B66"/>
    <w:rPr>
      <w:rFonts w:ascii="Tahoma" w:hAnsi="Tahoma" w:cs="Tahoma"/>
      <w:sz w:val="16"/>
      <w:szCs w:val="16"/>
    </w:rPr>
  </w:style>
  <w:style w:type="character" w:customStyle="1" w:styleId="BalonMetniChar">
    <w:name w:val="Balon Metni Char"/>
    <w:basedOn w:val="VarsaylanParagrafYazTipi"/>
    <w:link w:val="BalonMetni"/>
    <w:rsid w:val="00416C83"/>
    <w:rPr>
      <w:rFonts w:ascii="Times New Roman" w:hAnsi="Times New Roman"/>
      <w:sz w:val="0"/>
      <w:szCs w:val="0"/>
      <w:lang w:eastAsia="en-US"/>
    </w:rPr>
  </w:style>
  <w:style w:type="paragraph" w:styleId="stBilgi">
    <w:name w:val="header"/>
    <w:basedOn w:val="Normal"/>
    <w:link w:val="stBilgiChar1"/>
    <w:uiPriority w:val="99"/>
    <w:unhideWhenUsed/>
    <w:rsid w:val="006D0227"/>
    <w:pPr>
      <w:tabs>
        <w:tab w:val="center" w:pos="4536"/>
        <w:tab w:val="right" w:pos="9072"/>
      </w:tabs>
    </w:pPr>
  </w:style>
  <w:style w:type="character" w:customStyle="1" w:styleId="stBilgiChar1">
    <w:name w:val="Üst Bilgi Char1"/>
    <w:basedOn w:val="VarsaylanParagrafYazTipi"/>
    <w:link w:val="stBilgi"/>
    <w:uiPriority w:val="99"/>
    <w:rsid w:val="006D0227"/>
    <w:rPr>
      <w:sz w:val="24"/>
      <w:szCs w:val="24"/>
      <w:lang w:eastAsia="en-US"/>
    </w:rPr>
  </w:style>
  <w:style w:type="paragraph" w:styleId="AltBilgi">
    <w:name w:val="footer"/>
    <w:basedOn w:val="Normal"/>
    <w:link w:val="AltBilgiChar1"/>
    <w:uiPriority w:val="99"/>
    <w:unhideWhenUsed/>
    <w:rsid w:val="006D0227"/>
    <w:pPr>
      <w:tabs>
        <w:tab w:val="center" w:pos="4536"/>
        <w:tab w:val="right" w:pos="9072"/>
      </w:tabs>
    </w:pPr>
  </w:style>
  <w:style w:type="character" w:customStyle="1" w:styleId="AltBilgiChar1">
    <w:name w:val="Alt Bilgi Char1"/>
    <w:basedOn w:val="VarsaylanParagrafYazTipi"/>
    <w:link w:val="AltBilgi"/>
    <w:uiPriority w:val="99"/>
    <w:rsid w:val="006D0227"/>
    <w:rPr>
      <w:sz w:val="24"/>
      <w:szCs w:val="24"/>
      <w:lang w:eastAsia="en-US"/>
    </w:rPr>
  </w:style>
  <w:style w:type="character" w:customStyle="1" w:styleId="Balk10">
    <w:name w:val="Başlık #1_"/>
    <w:basedOn w:val="VarsaylanParagrafYazTipi"/>
    <w:link w:val="Balk11"/>
    <w:rsid w:val="00DF4DA7"/>
    <w:rPr>
      <w:rFonts w:ascii="Arial" w:eastAsia="Arial" w:hAnsi="Arial" w:cs="Arial"/>
      <w:b/>
      <w:bCs/>
      <w:sz w:val="21"/>
      <w:szCs w:val="21"/>
      <w:shd w:val="clear" w:color="auto" w:fill="FFFFFF"/>
    </w:rPr>
  </w:style>
  <w:style w:type="character" w:customStyle="1" w:styleId="Gvdemetni2Kaln">
    <w:name w:val="Gövde metni (2) + Kalın"/>
    <w:basedOn w:val="Gvdemetni2"/>
    <w:rsid w:val="00DF4DA7"/>
    <w:rPr>
      <w:rFonts w:ascii="Arial" w:eastAsia="Arial" w:hAnsi="Arial" w:cs="Arial"/>
      <w:b/>
      <w:bCs/>
      <w:i w:val="0"/>
      <w:iCs w:val="0"/>
      <w:smallCaps w:val="0"/>
      <w:strike w:val="0"/>
      <w:color w:val="000000"/>
      <w:spacing w:val="0"/>
      <w:w w:val="100"/>
      <w:position w:val="0"/>
      <w:sz w:val="21"/>
      <w:szCs w:val="21"/>
      <w:u w:val="none"/>
      <w:shd w:val="clear" w:color="auto" w:fill="FFFFFF"/>
      <w:lang w:val="tr-TR" w:eastAsia="tr-TR" w:bidi="tr-TR"/>
    </w:rPr>
  </w:style>
  <w:style w:type="character" w:customStyle="1" w:styleId="Gvdemetni2talik">
    <w:name w:val="Gövde metni (2) + İtalik"/>
    <w:basedOn w:val="Gvdemetni2"/>
    <w:rsid w:val="00DF4DA7"/>
    <w:rPr>
      <w:rFonts w:ascii="Arial" w:eastAsia="Arial" w:hAnsi="Arial" w:cs="Arial"/>
      <w:b w:val="0"/>
      <w:bCs w:val="0"/>
      <w:i/>
      <w:iCs/>
      <w:smallCaps w:val="0"/>
      <w:strike w:val="0"/>
      <w:color w:val="000000"/>
      <w:spacing w:val="0"/>
      <w:w w:val="100"/>
      <w:position w:val="0"/>
      <w:sz w:val="21"/>
      <w:szCs w:val="21"/>
      <w:u w:val="none"/>
      <w:shd w:val="clear" w:color="auto" w:fill="FFFFFF"/>
      <w:lang w:val="tr-TR" w:eastAsia="tr-TR" w:bidi="tr-TR"/>
    </w:rPr>
  </w:style>
  <w:style w:type="character" w:customStyle="1" w:styleId="Gvdemetni2Kalntalik">
    <w:name w:val="Gövde metni (2) + Kalın;İtalik"/>
    <w:basedOn w:val="Gvdemetni2"/>
    <w:rsid w:val="00DF4DA7"/>
    <w:rPr>
      <w:rFonts w:ascii="Arial" w:eastAsia="Arial" w:hAnsi="Arial" w:cs="Arial"/>
      <w:b/>
      <w:bCs/>
      <w:i/>
      <w:iCs/>
      <w:smallCaps w:val="0"/>
      <w:strike w:val="0"/>
      <w:color w:val="000000"/>
      <w:spacing w:val="0"/>
      <w:w w:val="100"/>
      <w:position w:val="0"/>
      <w:sz w:val="21"/>
      <w:szCs w:val="21"/>
      <w:u w:val="none"/>
      <w:shd w:val="clear" w:color="auto" w:fill="FFFFFF"/>
      <w:lang w:val="tr-TR" w:eastAsia="tr-TR" w:bidi="tr-TR"/>
    </w:rPr>
  </w:style>
  <w:style w:type="paragraph" w:customStyle="1" w:styleId="Balk11">
    <w:name w:val="Başlık #1"/>
    <w:basedOn w:val="Normal"/>
    <w:link w:val="Balk10"/>
    <w:rsid w:val="00DF4DA7"/>
    <w:pPr>
      <w:widowControl w:val="0"/>
      <w:shd w:val="clear" w:color="auto" w:fill="FFFFFF"/>
      <w:spacing w:after="420" w:line="0" w:lineRule="atLeast"/>
      <w:ind w:hanging="180"/>
      <w:jc w:val="both"/>
      <w:outlineLvl w:val="0"/>
    </w:pPr>
    <w:rPr>
      <w:rFonts w:ascii="Arial" w:eastAsia="Arial" w:hAnsi="Arial" w:cs="Arial"/>
      <w:b/>
      <w:bCs/>
      <w:sz w:val="21"/>
      <w:szCs w:val="21"/>
      <w:lang w:eastAsia="tr-TR"/>
    </w:rPr>
  </w:style>
  <w:style w:type="paragraph" w:customStyle="1" w:styleId="metin0">
    <w:name w:val="metin0"/>
    <w:basedOn w:val="Normal"/>
    <w:rsid w:val="00062830"/>
    <w:pPr>
      <w:spacing w:before="100" w:beforeAutospacing="1" w:after="100" w:afterAutospacing="1"/>
    </w:pPr>
    <w:rPr>
      <w:rFonts w:ascii="Times New Roman" w:eastAsia="Times New Roman" w:hAnsi="Times New Roman"/>
      <w:lang w:eastAsia="tr-TR"/>
    </w:rPr>
  </w:style>
  <w:style w:type="paragraph" w:styleId="GvdeMetniGirintisi">
    <w:name w:val="Body Text Indent"/>
    <w:basedOn w:val="Normal"/>
    <w:link w:val="GvdeMetniGirintisiChar"/>
    <w:rsid w:val="00062830"/>
    <w:pPr>
      <w:tabs>
        <w:tab w:val="center" w:pos="1524"/>
        <w:tab w:val="center" w:pos="3660"/>
        <w:tab w:val="center" w:pos="5928"/>
      </w:tabs>
      <w:spacing w:after="60"/>
      <w:ind w:firstLine="340"/>
      <w:jc w:val="both"/>
    </w:pPr>
    <w:rPr>
      <w:rFonts w:ascii="Times New Roman" w:hAnsi="Times New Roman"/>
      <w:sz w:val="20"/>
      <w:szCs w:val="18"/>
    </w:rPr>
  </w:style>
  <w:style w:type="character" w:customStyle="1" w:styleId="GvdeMetniGirintisiChar">
    <w:name w:val="Gövde Metni Girintisi Char"/>
    <w:basedOn w:val="VarsaylanParagrafYazTipi"/>
    <w:link w:val="GvdeMetniGirintisi"/>
    <w:rsid w:val="00062830"/>
    <w:rPr>
      <w:rFonts w:ascii="Times New Roman" w:hAnsi="Times New Roman"/>
      <w:sz w:val="20"/>
      <w:szCs w:val="18"/>
      <w:lang w:eastAsia="en-US"/>
    </w:rPr>
  </w:style>
  <w:style w:type="character" w:styleId="SayfaNumaras">
    <w:name w:val="page number"/>
    <w:basedOn w:val="VarsaylanParagrafYazTipi"/>
    <w:rsid w:val="00062830"/>
  </w:style>
  <w:style w:type="paragraph" w:styleId="DipnotMetni">
    <w:name w:val="footnote text"/>
    <w:basedOn w:val="Normal"/>
    <w:link w:val="DipnotMetniChar"/>
    <w:rsid w:val="00062830"/>
    <w:rPr>
      <w:rFonts w:eastAsia="MS ??"/>
      <w:lang w:val="en-US"/>
    </w:rPr>
  </w:style>
  <w:style w:type="character" w:customStyle="1" w:styleId="DipnotMetniChar">
    <w:name w:val="Dipnot Metni Char"/>
    <w:basedOn w:val="VarsaylanParagrafYazTipi"/>
    <w:link w:val="DipnotMetni"/>
    <w:rsid w:val="00062830"/>
    <w:rPr>
      <w:rFonts w:eastAsia="MS ??"/>
      <w:sz w:val="24"/>
      <w:szCs w:val="24"/>
      <w:lang w:val="en-US" w:eastAsia="en-US"/>
    </w:rPr>
  </w:style>
  <w:style w:type="character" w:customStyle="1" w:styleId="sb8d990e2">
    <w:name w:val="sb8d990e2"/>
    <w:rsid w:val="00062830"/>
    <w:rPr>
      <w:rFonts w:cs="Times New Roman"/>
    </w:rPr>
  </w:style>
  <w:style w:type="character" w:customStyle="1" w:styleId="s6b621b36">
    <w:name w:val="s6b621b36"/>
    <w:rsid w:val="00062830"/>
    <w:rPr>
      <w:rFonts w:cs="Times New Roman"/>
    </w:rPr>
  </w:style>
  <w:style w:type="character" w:customStyle="1" w:styleId="columncolumn01">
    <w:name w:val="column column01"/>
    <w:basedOn w:val="VarsaylanParagrafYazTipi"/>
    <w:rsid w:val="00062830"/>
  </w:style>
  <w:style w:type="character" w:styleId="zlenenKpr">
    <w:name w:val="FollowedHyperlink"/>
    <w:rsid w:val="00062830"/>
    <w:rPr>
      <w:color w:val="800080"/>
      <w:u w:val="single"/>
    </w:rPr>
  </w:style>
  <w:style w:type="paragraph" w:customStyle="1" w:styleId="a">
    <w:basedOn w:val="Normal"/>
    <w:next w:val="stBilgi"/>
    <w:link w:val="stBilgiChar"/>
    <w:rsid w:val="00062830"/>
    <w:pPr>
      <w:tabs>
        <w:tab w:val="center" w:pos="4536"/>
        <w:tab w:val="right" w:pos="9072"/>
      </w:tabs>
    </w:pPr>
  </w:style>
  <w:style w:type="character" w:customStyle="1" w:styleId="stBilgiChar">
    <w:name w:val="Üst Bilgi Char"/>
    <w:link w:val="a"/>
    <w:rsid w:val="00062830"/>
    <w:rPr>
      <w:rFonts w:ascii="Calibri" w:hAnsi="Calibri"/>
      <w:sz w:val="24"/>
      <w:szCs w:val="24"/>
      <w:lang w:eastAsia="en-US"/>
    </w:rPr>
  </w:style>
  <w:style w:type="character" w:customStyle="1" w:styleId="AltBilgiChar">
    <w:name w:val="Alt Bilgi Char"/>
    <w:link w:val="a0"/>
    <w:uiPriority w:val="99"/>
    <w:rsid w:val="00062830"/>
    <w:rPr>
      <w:sz w:val="24"/>
      <w:szCs w:val="24"/>
    </w:rPr>
  </w:style>
  <w:style w:type="numbering" w:customStyle="1" w:styleId="ImportedStyle2">
    <w:name w:val="Imported Style 2"/>
    <w:rsid w:val="00E31AD5"/>
    <w:pPr>
      <w:numPr>
        <w:numId w:val="2"/>
      </w:numPr>
    </w:pPr>
  </w:style>
  <w:style w:type="numbering" w:customStyle="1" w:styleId="ImportedStyle3">
    <w:name w:val="Imported Style 3"/>
    <w:rsid w:val="00E31AD5"/>
    <w:pPr>
      <w:numPr>
        <w:numId w:val="3"/>
      </w:numPr>
    </w:pPr>
  </w:style>
  <w:style w:type="numbering" w:customStyle="1" w:styleId="ImportedStyle4">
    <w:name w:val="Imported Style 4"/>
    <w:rsid w:val="00E31AD5"/>
    <w:pPr>
      <w:numPr>
        <w:numId w:val="4"/>
      </w:numPr>
    </w:pPr>
  </w:style>
  <w:style w:type="character" w:styleId="Gl">
    <w:name w:val="Strong"/>
    <w:qFormat/>
    <w:locked/>
    <w:rsid w:val="00011171"/>
    <w:rPr>
      <w:b/>
      <w:bCs/>
    </w:rPr>
  </w:style>
  <w:style w:type="paragraph" w:customStyle="1" w:styleId="Nor">
    <w:name w:val="Nor."/>
    <w:basedOn w:val="Normal"/>
    <w:next w:val="Normal"/>
    <w:rsid w:val="00011171"/>
    <w:pPr>
      <w:tabs>
        <w:tab w:val="left" w:pos="567"/>
      </w:tabs>
      <w:jc w:val="both"/>
    </w:pPr>
    <w:rPr>
      <w:rFonts w:ascii="New York" w:eastAsia="Times New Roman" w:hAnsi="New York"/>
      <w:sz w:val="18"/>
      <w:szCs w:val="20"/>
      <w:lang w:val="en-US" w:eastAsia="tr-TR"/>
    </w:rPr>
  </w:style>
  <w:style w:type="paragraph" w:customStyle="1" w:styleId="CharChar1">
    <w:name w:val="Char Char1"/>
    <w:basedOn w:val="Normal"/>
    <w:rsid w:val="00011171"/>
    <w:pPr>
      <w:spacing w:after="160" w:line="240" w:lineRule="exact"/>
    </w:pPr>
    <w:rPr>
      <w:rFonts w:ascii="Verdana" w:eastAsia="Times New Roman" w:hAnsi="Verdana"/>
      <w:sz w:val="20"/>
      <w:szCs w:val="20"/>
      <w:lang w:val="en-US"/>
    </w:rPr>
  </w:style>
  <w:style w:type="paragraph" w:customStyle="1" w:styleId="AralkYok1">
    <w:name w:val="Aralık Yok1"/>
    <w:rsid w:val="00011171"/>
    <w:rPr>
      <w:rFonts w:eastAsia="Times New Roman"/>
      <w:lang w:eastAsia="en-US"/>
    </w:rPr>
  </w:style>
  <w:style w:type="paragraph" w:customStyle="1" w:styleId="nor0">
    <w:name w:val="nor0"/>
    <w:basedOn w:val="Normal"/>
    <w:rsid w:val="00011171"/>
    <w:pPr>
      <w:jc w:val="both"/>
    </w:pPr>
    <w:rPr>
      <w:rFonts w:ascii="New York" w:eastAsia="Times New Roman" w:hAnsi="New York"/>
      <w:sz w:val="18"/>
      <w:szCs w:val="18"/>
      <w:lang w:eastAsia="tr-TR"/>
    </w:rPr>
  </w:style>
  <w:style w:type="paragraph" w:customStyle="1" w:styleId="KanTab">
    <w:name w:val="Kan Tab"/>
    <w:basedOn w:val="Normal"/>
    <w:rsid w:val="00011171"/>
    <w:pPr>
      <w:tabs>
        <w:tab w:val="left" w:pos="567"/>
        <w:tab w:val="left" w:pos="2835"/>
      </w:tabs>
      <w:jc w:val="both"/>
    </w:pPr>
    <w:rPr>
      <w:rFonts w:ascii="New York" w:eastAsia="Times New Roman" w:hAnsi="New York"/>
      <w:b/>
      <w:sz w:val="22"/>
      <w:lang w:val="en-US" w:eastAsia="tr-TR"/>
    </w:rPr>
  </w:style>
  <w:style w:type="paragraph" w:customStyle="1" w:styleId="CharChar2">
    <w:name w:val="Char Char2"/>
    <w:basedOn w:val="Normal"/>
    <w:rsid w:val="00011171"/>
    <w:pPr>
      <w:spacing w:after="160" w:line="240" w:lineRule="exact"/>
    </w:pPr>
    <w:rPr>
      <w:rFonts w:ascii="Verdana" w:eastAsia="Times New Roman" w:hAnsi="Verdana"/>
      <w:sz w:val="20"/>
      <w:szCs w:val="20"/>
      <w:lang w:val="en-US"/>
    </w:rPr>
  </w:style>
  <w:style w:type="paragraph" w:customStyle="1" w:styleId="CharCharCharCharCharCharCharCharCharChar">
    <w:name w:val="Char Char Char Char Char Char Char Char Char Char"/>
    <w:basedOn w:val="Normal"/>
    <w:rsid w:val="00011171"/>
    <w:pPr>
      <w:spacing w:after="160" w:line="240" w:lineRule="exact"/>
      <w:jc w:val="both"/>
    </w:pPr>
    <w:rPr>
      <w:rFonts w:ascii="Verdana" w:eastAsia="Times New Roman" w:hAnsi="Verdana"/>
      <w:sz w:val="20"/>
      <w:szCs w:val="20"/>
      <w:lang w:val="en-US"/>
    </w:rPr>
  </w:style>
  <w:style w:type="paragraph" w:customStyle="1" w:styleId="nor1">
    <w:name w:val="nor"/>
    <w:basedOn w:val="Normal"/>
    <w:rsid w:val="00011171"/>
    <w:pPr>
      <w:jc w:val="both"/>
    </w:pPr>
    <w:rPr>
      <w:rFonts w:ascii="New York" w:eastAsia="Times New Roman" w:hAnsi="New York"/>
      <w:sz w:val="18"/>
      <w:szCs w:val="18"/>
      <w:lang w:eastAsia="tr-TR"/>
    </w:rPr>
  </w:style>
  <w:style w:type="paragraph" w:customStyle="1" w:styleId="a0">
    <w:basedOn w:val="Normal"/>
    <w:next w:val="AltBilgi"/>
    <w:link w:val="AltBilgiChar"/>
    <w:uiPriority w:val="99"/>
    <w:rsid w:val="00011171"/>
    <w:pPr>
      <w:tabs>
        <w:tab w:val="center" w:pos="4536"/>
        <w:tab w:val="right" w:pos="9072"/>
      </w:tabs>
    </w:pPr>
    <w:rPr>
      <w:lang w:eastAsia="tr-TR"/>
    </w:rPr>
  </w:style>
  <w:style w:type="character" w:customStyle="1" w:styleId="Balk6Char">
    <w:name w:val="Başlık 6 Char"/>
    <w:basedOn w:val="VarsaylanParagrafYazTipi"/>
    <w:link w:val="Balk6"/>
    <w:rsid w:val="007A46A3"/>
    <w:rPr>
      <w:rFonts w:eastAsia="Times New Roman"/>
      <w:b/>
      <w:bCs/>
      <w:lang w:eastAsia="en-US"/>
    </w:rPr>
  </w:style>
  <w:style w:type="character" w:customStyle="1" w:styleId="Balk7Char">
    <w:name w:val="Başlık 7 Char"/>
    <w:basedOn w:val="VarsaylanParagrafYazTipi"/>
    <w:link w:val="Balk7"/>
    <w:rsid w:val="007A46A3"/>
    <w:rPr>
      <w:rFonts w:eastAsia="Times New Roman"/>
      <w:sz w:val="24"/>
      <w:szCs w:val="24"/>
      <w:lang w:eastAsia="en-US"/>
    </w:rPr>
  </w:style>
  <w:style w:type="character" w:customStyle="1" w:styleId="KonuBalChar">
    <w:name w:val="Konu Başlığı Char"/>
    <w:link w:val="KonuBal"/>
    <w:rsid w:val="007A46A3"/>
    <w:rPr>
      <w:sz w:val="24"/>
      <w:szCs w:val="24"/>
    </w:rPr>
  </w:style>
  <w:style w:type="paragraph" w:styleId="KonuBal">
    <w:name w:val="Title"/>
    <w:basedOn w:val="Normal"/>
    <w:link w:val="KonuBalChar"/>
    <w:qFormat/>
    <w:locked/>
    <w:rsid w:val="007A46A3"/>
    <w:pPr>
      <w:spacing w:before="100" w:beforeAutospacing="1" w:after="100" w:afterAutospacing="1"/>
    </w:pPr>
    <w:rPr>
      <w:lang w:eastAsia="tr-TR"/>
    </w:rPr>
  </w:style>
  <w:style w:type="character" w:customStyle="1" w:styleId="KonuBalChar1">
    <w:name w:val="Konu Başlığı Char1"/>
    <w:basedOn w:val="VarsaylanParagrafYazTipi"/>
    <w:rsid w:val="007A46A3"/>
    <w:rPr>
      <w:rFonts w:asciiTheme="majorHAnsi" w:eastAsiaTheme="majorEastAsia" w:hAnsiTheme="majorHAnsi" w:cstheme="majorBidi"/>
      <w:spacing w:val="-10"/>
      <w:kern w:val="28"/>
      <w:sz w:val="56"/>
      <w:szCs w:val="56"/>
      <w:lang w:eastAsia="en-US"/>
    </w:rPr>
  </w:style>
  <w:style w:type="character" w:customStyle="1" w:styleId="FontStyle38">
    <w:name w:val="Font Style38"/>
    <w:rsid w:val="007A46A3"/>
    <w:rPr>
      <w:rFonts w:ascii="Times New Roman" w:hAnsi="Times New Roman" w:cs="Times New Roman"/>
      <w:b/>
      <w:bCs/>
      <w:sz w:val="16"/>
      <w:szCs w:val="16"/>
    </w:rPr>
  </w:style>
  <w:style w:type="paragraph" w:customStyle="1" w:styleId="Style3">
    <w:name w:val="Style3"/>
    <w:basedOn w:val="Normal"/>
    <w:rsid w:val="007A46A3"/>
    <w:pPr>
      <w:widowControl w:val="0"/>
      <w:autoSpaceDE w:val="0"/>
      <w:autoSpaceDN w:val="0"/>
      <w:adjustRightInd w:val="0"/>
      <w:spacing w:line="212" w:lineRule="exact"/>
      <w:ind w:firstLine="504"/>
      <w:jc w:val="both"/>
    </w:pPr>
    <w:rPr>
      <w:rFonts w:ascii="Times New Roman" w:eastAsia="Times New Roman" w:hAnsi="Times New Roman"/>
      <w:lang w:eastAsia="tr-TR"/>
    </w:rPr>
  </w:style>
  <w:style w:type="character" w:customStyle="1" w:styleId="fontstyle361">
    <w:name w:val="fontstyle361"/>
    <w:rsid w:val="007A46A3"/>
    <w:rPr>
      <w:rFonts w:ascii="Times New Roman" w:hAnsi="Times New Roman" w:cs="Times New Roman" w:hint="default"/>
    </w:rPr>
  </w:style>
  <w:style w:type="paragraph" w:customStyle="1" w:styleId="style51">
    <w:name w:val="style51"/>
    <w:basedOn w:val="Normal"/>
    <w:rsid w:val="007A46A3"/>
    <w:pPr>
      <w:autoSpaceDE w:val="0"/>
      <w:autoSpaceDN w:val="0"/>
    </w:pPr>
    <w:rPr>
      <w:rFonts w:ascii="Times New Roman" w:eastAsia="Times New Roman" w:hAnsi="Times New Roman"/>
      <w:lang w:eastAsia="tr-TR"/>
    </w:rPr>
  </w:style>
  <w:style w:type="paragraph" w:customStyle="1" w:styleId="Style4">
    <w:name w:val="Style4"/>
    <w:basedOn w:val="Normal"/>
    <w:rsid w:val="007A46A3"/>
    <w:pPr>
      <w:widowControl w:val="0"/>
      <w:autoSpaceDE w:val="0"/>
      <w:autoSpaceDN w:val="0"/>
      <w:adjustRightInd w:val="0"/>
      <w:spacing w:line="230" w:lineRule="exact"/>
      <w:jc w:val="both"/>
    </w:pPr>
    <w:rPr>
      <w:rFonts w:ascii="Times New Roman" w:eastAsia="Times New Roman" w:hAnsi="Times New Roman"/>
      <w:lang w:eastAsia="tr-TR"/>
    </w:rPr>
  </w:style>
  <w:style w:type="paragraph" w:customStyle="1" w:styleId="maddebasl">
    <w:name w:val="maddebasl"/>
    <w:basedOn w:val="Normal"/>
    <w:rsid w:val="007A46A3"/>
    <w:pPr>
      <w:spacing w:before="113"/>
    </w:pPr>
    <w:rPr>
      <w:rFonts w:ascii="New York" w:eastAsia="Times New Roman" w:hAnsi="New York"/>
      <w:i/>
      <w:iCs/>
      <w:sz w:val="18"/>
      <w:szCs w:val="18"/>
      <w:lang w:eastAsia="tr-TR"/>
    </w:rPr>
  </w:style>
  <w:style w:type="paragraph" w:customStyle="1" w:styleId="nor9">
    <w:name w:val="nor9"/>
    <w:basedOn w:val="Normal"/>
    <w:rsid w:val="007A46A3"/>
    <w:pPr>
      <w:spacing w:line="360" w:lineRule="atLeast"/>
      <w:jc w:val="both"/>
    </w:pPr>
    <w:rPr>
      <w:rFonts w:ascii="New York" w:eastAsia="Times New Roman" w:hAnsi="New York"/>
      <w:sz w:val="18"/>
      <w:szCs w:val="18"/>
      <w:lang w:eastAsia="tr-TR"/>
    </w:rPr>
  </w:style>
  <w:style w:type="paragraph" w:customStyle="1" w:styleId="a1">
    <w:basedOn w:val="Normal"/>
    <w:next w:val="stBilgi"/>
    <w:uiPriority w:val="99"/>
    <w:unhideWhenUsed/>
    <w:rsid w:val="00D73A06"/>
    <w:pPr>
      <w:pBdr>
        <w:top w:val="nil"/>
        <w:left w:val="nil"/>
        <w:bottom w:val="nil"/>
        <w:right w:val="nil"/>
        <w:between w:val="nil"/>
        <w:bar w:val="nil"/>
      </w:pBdr>
      <w:tabs>
        <w:tab w:val="center" w:pos="4536"/>
        <w:tab w:val="right" w:pos="9072"/>
      </w:tabs>
    </w:pPr>
    <w:rPr>
      <w:rFonts w:cs="Calibri"/>
      <w:color w:val="000000"/>
      <w:u w:color="000000"/>
      <w:bdr w:val="nil"/>
      <w:lang w:eastAsia="tr-TR"/>
    </w:rPr>
  </w:style>
  <w:style w:type="table" w:customStyle="1" w:styleId="TableNormal">
    <w:name w:val="Table Normal"/>
    <w:rsid w:val="00D73A06"/>
    <w:pPr>
      <w:pBdr>
        <w:top w:val="nil"/>
        <w:left w:val="nil"/>
        <w:bottom w:val="nil"/>
        <w:right w:val="nil"/>
        <w:between w:val="nil"/>
        <w:bar w:val="nil"/>
      </w:pBdr>
    </w:pPr>
    <w:rPr>
      <w:rFonts w:ascii="Times New Roman" w:eastAsia="Arial Unicode MS" w:hAnsi="Times New Roman"/>
      <w:sz w:val="20"/>
      <w:szCs w:val="20"/>
      <w:bdr w:val="nil"/>
    </w:rPr>
    <w:tblPr>
      <w:tblInd w:w="0" w:type="dxa"/>
      <w:tblCellMar>
        <w:top w:w="0" w:type="dxa"/>
        <w:left w:w="0" w:type="dxa"/>
        <w:bottom w:w="0" w:type="dxa"/>
        <w:right w:w="0" w:type="dxa"/>
      </w:tblCellMar>
    </w:tblPr>
  </w:style>
  <w:style w:type="paragraph" w:customStyle="1" w:styleId="HeaderFooter">
    <w:name w:val="Header &amp; Footer"/>
    <w:rsid w:val="00D73A06"/>
    <w:pPr>
      <w:pBdr>
        <w:top w:val="nil"/>
        <w:left w:val="nil"/>
        <w:bottom w:val="nil"/>
        <w:right w:val="nil"/>
        <w:between w:val="nil"/>
        <w:bar w:val="nil"/>
      </w:pBdr>
      <w:tabs>
        <w:tab w:val="right" w:pos="9020"/>
      </w:tabs>
    </w:pPr>
    <w:rPr>
      <w:rFonts w:ascii="Helvetica Neue" w:eastAsia="Arial Unicode MS" w:hAnsi="Helvetica Neue" w:cs="Arial Unicode MS"/>
      <w:color w:val="000000"/>
      <w:sz w:val="24"/>
      <w:szCs w:val="24"/>
      <w:bdr w:val="nil"/>
    </w:rPr>
  </w:style>
  <w:style w:type="numbering" w:customStyle="1" w:styleId="ImportedStyle1">
    <w:name w:val="Imported Style 1"/>
    <w:rsid w:val="00D73A06"/>
    <w:pPr>
      <w:numPr>
        <w:numId w:val="6"/>
      </w:numPr>
    </w:pPr>
  </w:style>
  <w:style w:type="paragraph" w:customStyle="1" w:styleId="1">
    <w:name w:val="1"/>
    <w:basedOn w:val="Normal"/>
    <w:rsid w:val="00D73A06"/>
    <w:pPr>
      <w:spacing w:after="160" w:line="240" w:lineRule="exact"/>
    </w:pPr>
    <w:rPr>
      <w:rFonts w:ascii="Verdana" w:eastAsia="Times New Roman" w:hAnsi="Verdana"/>
      <w:sz w:val="20"/>
      <w:szCs w:val="20"/>
      <w:u w:color="000000"/>
      <w:lang w:val="en-US"/>
    </w:rPr>
  </w:style>
  <w:style w:type="character" w:customStyle="1" w:styleId="AltbilgiChar10">
    <w:name w:val="Altbilgi Char1"/>
    <w:uiPriority w:val="99"/>
    <w:rsid w:val="00D73A06"/>
    <w:rPr>
      <w:rFonts w:ascii="Times New Roman" w:eastAsia="Times New Roman" w:hAnsi="Times New Roman"/>
      <w:u w:color="000000"/>
    </w:rPr>
  </w:style>
  <w:style w:type="paragraph" w:styleId="AklamaMetni">
    <w:name w:val="annotation text"/>
    <w:basedOn w:val="Normal"/>
    <w:link w:val="AklamaMetniChar"/>
    <w:semiHidden/>
    <w:unhideWhenUsed/>
    <w:rsid w:val="008E1203"/>
    <w:pPr>
      <w:spacing w:after="160" w:line="259" w:lineRule="auto"/>
    </w:pPr>
    <w:rPr>
      <w:rFonts w:ascii="Times New Roman" w:hAnsi="Times New Roman"/>
      <w:sz w:val="20"/>
      <w:szCs w:val="20"/>
    </w:rPr>
  </w:style>
  <w:style w:type="character" w:customStyle="1" w:styleId="AklamaMetniChar">
    <w:name w:val="Açıklama Metni Char"/>
    <w:basedOn w:val="VarsaylanParagrafYazTipi"/>
    <w:link w:val="AklamaMetni"/>
    <w:semiHidden/>
    <w:rsid w:val="008E1203"/>
    <w:rPr>
      <w:rFonts w:ascii="Times New Roman" w:hAnsi="Times New Roman"/>
      <w:sz w:val="20"/>
      <w:szCs w:val="20"/>
      <w:lang w:eastAsia="en-US"/>
    </w:rPr>
  </w:style>
  <w:style w:type="character" w:customStyle="1" w:styleId="highlighted">
    <w:name w:val="highlighted"/>
    <w:basedOn w:val="VarsaylanParagrafYazTipi"/>
    <w:rsid w:val="008E1203"/>
  </w:style>
  <w:style w:type="paragraph" w:customStyle="1" w:styleId="3-NormalYaz">
    <w:name w:val="3-Normal Yazı"/>
    <w:rsid w:val="008E1203"/>
    <w:pPr>
      <w:tabs>
        <w:tab w:val="left" w:pos="566"/>
      </w:tabs>
      <w:jc w:val="both"/>
    </w:pPr>
    <w:rPr>
      <w:rFonts w:ascii="Times New Roman" w:eastAsia="Times New Roman" w:hAnsi="Times New Roman"/>
      <w:sz w:val="19"/>
      <w:szCs w:val="20"/>
      <w:lang w:eastAsia="en-US"/>
    </w:rPr>
  </w:style>
  <w:style w:type="paragraph" w:customStyle="1" w:styleId="Metin">
    <w:name w:val="Metin"/>
    <w:rsid w:val="008E1203"/>
    <w:pPr>
      <w:tabs>
        <w:tab w:val="left" w:pos="566"/>
      </w:tabs>
      <w:ind w:firstLine="566"/>
      <w:jc w:val="both"/>
    </w:pPr>
    <w:rPr>
      <w:rFonts w:ascii="Times New Roman" w:eastAsia="Times New Roman" w:hAnsi="Times New Roman"/>
      <w:sz w:val="19"/>
      <w:szCs w:val="20"/>
    </w:rPr>
  </w:style>
  <w:style w:type="paragraph" w:customStyle="1" w:styleId="kantab7">
    <w:name w:val="kantab7"/>
    <w:basedOn w:val="Normal"/>
    <w:rsid w:val="008E1203"/>
    <w:pPr>
      <w:jc w:val="both"/>
    </w:pPr>
    <w:rPr>
      <w:rFonts w:ascii="New York" w:eastAsia="Arial Unicode MS" w:hAnsi="New York" w:cs="Arial Unicode MS"/>
      <w:b/>
      <w:bCs/>
      <w:sz w:val="22"/>
      <w:szCs w:val="22"/>
      <w:lang w:eastAsia="tr-TR"/>
    </w:rPr>
  </w:style>
  <w:style w:type="paragraph" w:customStyle="1" w:styleId="a2">
    <w:basedOn w:val="Normal"/>
    <w:next w:val="AltBilgi"/>
    <w:uiPriority w:val="99"/>
    <w:rsid w:val="008E1203"/>
    <w:pPr>
      <w:tabs>
        <w:tab w:val="center" w:pos="4536"/>
        <w:tab w:val="right" w:pos="9072"/>
      </w:tabs>
    </w:pPr>
    <w:rPr>
      <w:rFonts w:ascii="Times New Roman" w:eastAsia="Times New Roman" w:hAnsi="Times New Roman"/>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7036891">
      <w:bodyDiv w:val="1"/>
      <w:marLeft w:val="0"/>
      <w:marRight w:val="0"/>
      <w:marTop w:val="0"/>
      <w:marBottom w:val="0"/>
      <w:divBdr>
        <w:top w:val="none" w:sz="0" w:space="0" w:color="auto"/>
        <w:left w:val="none" w:sz="0" w:space="0" w:color="auto"/>
        <w:bottom w:val="none" w:sz="0" w:space="0" w:color="auto"/>
        <w:right w:val="none" w:sz="0" w:space="0" w:color="auto"/>
      </w:divBdr>
    </w:div>
    <w:div w:id="587883882">
      <w:bodyDiv w:val="1"/>
      <w:marLeft w:val="0"/>
      <w:marRight w:val="0"/>
      <w:marTop w:val="0"/>
      <w:marBottom w:val="0"/>
      <w:divBdr>
        <w:top w:val="none" w:sz="0" w:space="0" w:color="auto"/>
        <w:left w:val="none" w:sz="0" w:space="0" w:color="auto"/>
        <w:bottom w:val="none" w:sz="0" w:space="0" w:color="auto"/>
        <w:right w:val="none" w:sz="0" w:space="0" w:color="auto"/>
      </w:divBdr>
    </w:div>
    <w:div w:id="835414533">
      <w:marLeft w:val="0"/>
      <w:marRight w:val="0"/>
      <w:marTop w:val="0"/>
      <w:marBottom w:val="0"/>
      <w:divBdr>
        <w:top w:val="none" w:sz="0" w:space="0" w:color="auto"/>
        <w:left w:val="none" w:sz="0" w:space="0" w:color="auto"/>
        <w:bottom w:val="none" w:sz="0" w:space="0" w:color="auto"/>
        <w:right w:val="none" w:sz="0" w:space="0" w:color="auto"/>
      </w:divBdr>
    </w:div>
    <w:div w:id="848527264">
      <w:bodyDiv w:val="1"/>
      <w:marLeft w:val="0"/>
      <w:marRight w:val="0"/>
      <w:marTop w:val="0"/>
      <w:marBottom w:val="0"/>
      <w:divBdr>
        <w:top w:val="none" w:sz="0" w:space="0" w:color="auto"/>
        <w:left w:val="none" w:sz="0" w:space="0" w:color="auto"/>
        <w:bottom w:val="none" w:sz="0" w:space="0" w:color="auto"/>
        <w:right w:val="none" w:sz="0" w:space="0" w:color="auto"/>
      </w:divBdr>
    </w:div>
    <w:div w:id="854731977">
      <w:bodyDiv w:val="1"/>
      <w:marLeft w:val="0"/>
      <w:marRight w:val="0"/>
      <w:marTop w:val="0"/>
      <w:marBottom w:val="0"/>
      <w:divBdr>
        <w:top w:val="none" w:sz="0" w:space="0" w:color="auto"/>
        <w:left w:val="none" w:sz="0" w:space="0" w:color="auto"/>
        <w:bottom w:val="none" w:sz="0" w:space="0" w:color="auto"/>
        <w:right w:val="none" w:sz="0" w:space="0" w:color="auto"/>
      </w:divBdr>
    </w:div>
    <w:div w:id="1089735067">
      <w:bodyDiv w:val="1"/>
      <w:marLeft w:val="0"/>
      <w:marRight w:val="0"/>
      <w:marTop w:val="0"/>
      <w:marBottom w:val="0"/>
      <w:divBdr>
        <w:top w:val="none" w:sz="0" w:space="0" w:color="auto"/>
        <w:left w:val="none" w:sz="0" w:space="0" w:color="auto"/>
        <w:bottom w:val="none" w:sz="0" w:space="0" w:color="auto"/>
        <w:right w:val="none" w:sz="0" w:space="0" w:color="auto"/>
      </w:divBdr>
    </w:div>
    <w:div w:id="1842499316">
      <w:bodyDiv w:val="1"/>
      <w:marLeft w:val="0"/>
      <w:marRight w:val="0"/>
      <w:marTop w:val="0"/>
      <w:marBottom w:val="0"/>
      <w:divBdr>
        <w:top w:val="none" w:sz="0" w:space="0" w:color="auto"/>
        <w:left w:val="none" w:sz="0" w:space="0" w:color="auto"/>
        <w:bottom w:val="none" w:sz="0" w:space="0" w:color="auto"/>
        <w:right w:val="none" w:sz="0" w:space="0" w:color="auto"/>
      </w:divBdr>
    </w:div>
    <w:div w:id="2045866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ergipark.gov.tr/download/article-file/235994"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921BBA-C40A-4C20-B87E-025C61B62A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5917</Words>
  <Characters>33731</Characters>
  <Application>Microsoft Office Word</Application>
  <DocSecurity>0</DocSecurity>
  <Lines>281</Lines>
  <Paragraphs>79</Paragraphs>
  <ScaleCrop>false</ScaleCrop>
  <HeadingPairs>
    <vt:vector size="2" baseType="variant">
      <vt:variant>
        <vt:lpstr>Konu Başlığı</vt:lpstr>
      </vt:variant>
      <vt:variant>
        <vt:i4>1</vt:i4>
      </vt:variant>
    </vt:vector>
  </HeadingPairs>
  <TitlesOfParts>
    <vt:vector size="1" baseType="lpstr">
      <vt:lpstr>ANAYASA MAHKEMESİ BAŞKANLIĞINA</vt:lpstr>
    </vt:vector>
  </TitlesOfParts>
  <Company/>
  <LinksUpToDate>false</LinksUpToDate>
  <CharactersWithSpaces>39569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ANAYASA MAHKEMESİ BAŞKANLIĞINA</dc:title>
  <dc:subject/>
  <dc:creator>Microsoft Office Kullanıcısı</dc:creator>
  <cp:keywords/>
  <dc:description/>
  <cp:lastModifiedBy>Şamil EŞSİZ</cp:lastModifiedBy>
  <cp:revision>2</cp:revision>
  <dcterms:created xsi:type="dcterms:W3CDTF">2021-12-10T06:28:00Z</dcterms:created>
  <dcterms:modified xsi:type="dcterms:W3CDTF">2021-12-10T06:28:00Z</dcterms:modified>
</cp:coreProperties>
</file>