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34D" w:rsidRPr="00A85C11" w:rsidRDefault="00A85C11" w:rsidP="00A85C11">
      <w:pPr>
        <w:pStyle w:val="ListParagraph"/>
        <w:tabs>
          <w:tab w:val="left" w:pos="0"/>
        </w:tabs>
        <w:ind w:left="0" w:firstLine="851"/>
        <w:jc w:val="both"/>
        <w:rPr>
          <w:rFonts w:ascii="Times New Roman" w:hAnsi="Times New Roman"/>
          <w:color w:val="000000"/>
        </w:rPr>
      </w:pPr>
      <w:bookmarkStart w:id="0" w:name="_GoBack"/>
      <w:bookmarkEnd w:id="0"/>
      <w:r w:rsidRPr="00A85C11">
        <w:rPr>
          <w:rFonts w:ascii="Times New Roman" w:hAnsi="Times New Roman"/>
          <w:color w:val="000000"/>
        </w:rPr>
        <w:t>“...</w:t>
      </w:r>
    </w:p>
    <w:p w:rsidR="009135B1" w:rsidRPr="00A85C11" w:rsidRDefault="009135B1" w:rsidP="00A85C11">
      <w:pPr>
        <w:ind w:firstLine="851"/>
        <w:jc w:val="both"/>
        <w:rPr>
          <w:rFonts w:ascii="Times New Roman" w:hAnsi="Times New Roman"/>
          <w:color w:val="000000"/>
          <w:lang w:eastAsia="tr-TR"/>
        </w:rPr>
      </w:pPr>
    </w:p>
    <w:p w:rsidR="009135B1" w:rsidRPr="00A85C11" w:rsidRDefault="00023962" w:rsidP="00A85C11">
      <w:pPr>
        <w:pStyle w:val="ListParagraph"/>
        <w:tabs>
          <w:tab w:val="left" w:pos="0"/>
        </w:tabs>
        <w:ind w:left="0" w:firstLine="851"/>
        <w:jc w:val="both"/>
        <w:rPr>
          <w:rFonts w:ascii="Times New Roman" w:hAnsi="Times New Roman"/>
        </w:rPr>
      </w:pPr>
      <w:r w:rsidRPr="00A85C11">
        <w:rPr>
          <w:rFonts w:ascii="Times New Roman" w:hAnsi="Times New Roman"/>
        </w:rPr>
        <w:t xml:space="preserve">1. </w:t>
      </w:r>
      <w:r w:rsidR="009135B1" w:rsidRPr="00A85C11">
        <w:rPr>
          <w:rFonts w:ascii="Times New Roman" w:hAnsi="Times New Roman"/>
        </w:rPr>
        <w:t>01/02/2018 tarih ve 7069 sayılı Olağanüstü Hal Kapsamında Bazı Düzenlemeler Yapılması Hakkında Kanun Hükmünde Kararnamenin Değiştirilerek Kabul Edilmesine Dair Kanun’un 6. maddesiyle 18/1/1972 tarihli ve 1512 sayılı Noterlik</w:t>
      </w:r>
      <w:r w:rsidR="004149C7">
        <w:rPr>
          <w:rFonts w:ascii="Times New Roman" w:hAnsi="Times New Roman"/>
        </w:rPr>
        <w:t xml:space="preserve"> </w:t>
      </w:r>
      <w:r w:rsidR="009135B1" w:rsidRPr="00A85C11">
        <w:rPr>
          <w:rFonts w:ascii="Times New Roman" w:hAnsi="Times New Roman"/>
        </w:rPr>
        <w:t>Kanununun 7 </w:t>
      </w:r>
      <w:proofErr w:type="spellStart"/>
      <w:r w:rsidR="009135B1" w:rsidRPr="00A85C11">
        <w:rPr>
          <w:rFonts w:ascii="Times New Roman" w:hAnsi="Times New Roman"/>
        </w:rPr>
        <w:t>nci</w:t>
      </w:r>
      <w:proofErr w:type="spellEnd"/>
      <w:r w:rsidR="009135B1" w:rsidRPr="00A85C11">
        <w:rPr>
          <w:rFonts w:ascii="Times New Roman" w:hAnsi="Times New Roman"/>
        </w:rPr>
        <w:t> maddesinin ikinci fıkrasına “olanlar” ibaresinden sonra gelmek üzere eklenen “</w:t>
      </w:r>
      <w:r w:rsidR="009135B1" w:rsidRPr="00A85C11">
        <w:rPr>
          <w:rFonts w:ascii="Times New Roman" w:hAnsi="Times New Roman"/>
          <w:i/>
        </w:rPr>
        <w:t>ile terör örgütleriyle iltisaklı veya irtibatlı bulunanlar</w:t>
      </w:r>
      <w:r w:rsidR="009135B1" w:rsidRPr="00A85C11">
        <w:rPr>
          <w:rFonts w:ascii="Times New Roman" w:hAnsi="Times New Roman"/>
        </w:rPr>
        <w:t>” ibaresinin Anayasaya Aykırılığı</w:t>
      </w:r>
    </w:p>
    <w:p w:rsidR="00DA0581" w:rsidRPr="00A85C11" w:rsidRDefault="00DA0581" w:rsidP="00A85C11">
      <w:pPr>
        <w:widowControl w:val="0"/>
        <w:adjustRightInd w:val="0"/>
        <w:ind w:firstLine="851"/>
        <w:jc w:val="both"/>
        <w:textAlignment w:val="baseline"/>
        <w:rPr>
          <w:rFonts w:ascii="Times New Roman" w:hAnsi="Times New Roman"/>
          <w:color w:val="000000"/>
        </w:rPr>
      </w:pPr>
    </w:p>
    <w:p w:rsidR="00DA0581" w:rsidRPr="00A85C11" w:rsidRDefault="00DA0581" w:rsidP="00A85C11">
      <w:pPr>
        <w:ind w:firstLine="851"/>
        <w:jc w:val="both"/>
        <w:rPr>
          <w:rFonts w:ascii="Times New Roman" w:hAnsi="Times New Roman"/>
          <w:color w:val="000000"/>
        </w:rPr>
      </w:pPr>
      <w:r w:rsidRPr="00A85C11">
        <w:rPr>
          <w:rFonts w:ascii="Times New Roman" w:hAnsi="Times New Roman"/>
          <w:color w:val="000000"/>
        </w:rPr>
        <w:t xml:space="preserve">1512 sayılı Noterlik Kanunu’nun 7. maddesinde Noterlik stajına başlama koşulları düzenlenmiştir. İptali istenen ibareleri içeren ikinci fıkrada noterlik stajına engel mahkûmiyeti olanlar ile terör örgütleriyle iltisaklı veya irtibatlı bulunanların, noterliğe kabul edilemeyeceği hükmüne yer verilmiştir. Buna göre terör örgütleriyle iltisaklı veya irtibatlı bulunanlar noterlik mesleğine kabul edilmeyeceklerdir. </w:t>
      </w:r>
    </w:p>
    <w:p w:rsidR="00A85C11" w:rsidRPr="00A85C11" w:rsidRDefault="00A85C11" w:rsidP="00A85C11">
      <w:pPr>
        <w:ind w:firstLine="851"/>
        <w:jc w:val="both"/>
        <w:rPr>
          <w:rFonts w:ascii="Times New Roman" w:hAnsi="Times New Roman"/>
          <w:color w:val="000000"/>
        </w:rPr>
      </w:pPr>
    </w:p>
    <w:p w:rsidR="00DA0581" w:rsidRPr="00A85C11" w:rsidRDefault="00DA0581" w:rsidP="00A85C11">
      <w:pPr>
        <w:ind w:firstLine="851"/>
        <w:jc w:val="both"/>
        <w:rPr>
          <w:rFonts w:ascii="Times New Roman" w:hAnsi="Times New Roman"/>
          <w:color w:val="000000"/>
        </w:rPr>
      </w:pPr>
      <w:r w:rsidRPr="00A85C11">
        <w:rPr>
          <w:rFonts w:ascii="Times New Roman" w:hAnsi="Times New Roman"/>
          <w:color w:val="000000"/>
        </w:rPr>
        <w:t xml:space="preserve">Noterlik Kanununun 1. maddesinde noterlik bir kamu hizmeti olarak tanımlanmıştır. </w:t>
      </w:r>
      <w:r w:rsidR="00AB3E2A" w:rsidRPr="00A85C11">
        <w:rPr>
          <w:rFonts w:ascii="Times New Roman" w:hAnsi="Times New Roman"/>
          <w:color w:val="000000"/>
        </w:rPr>
        <w:t xml:space="preserve">Anayasanın 70. maddesinde kamu hizmetine girme bir temel hak olarak düzenlenmiş ve kamu hizmetine girmede mesleğin gerektirdiği niteliklerin dışında hiçbir ayrım gözetilemeyeceği hükmüne yer verilmiştir. Dolayısıyla iptali istenen düzenleme ile Anayasanın 70. maddesinde güvence altına alınan kamu hizmetine girme hakkına müdahale edilmiştir. </w:t>
      </w:r>
    </w:p>
    <w:p w:rsidR="00A85C11" w:rsidRPr="00A85C11" w:rsidRDefault="00A85C11" w:rsidP="00A85C11">
      <w:pPr>
        <w:ind w:firstLine="851"/>
        <w:jc w:val="both"/>
        <w:rPr>
          <w:rFonts w:ascii="Times New Roman" w:hAnsi="Times New Roman"/>
          <w:color w:val="000000"/>
        </w:rPr>
      </w:pPr>
    </w:p>
    <w:p w:rsidR="00DA0581" w:rsidRPr="00A85C11" w:rsidRDefault="00AB3E2A" w:rsidP="00A85C11">
      <w:pPr>
        <w:ind w:firstLine="851"/>
        <w:jc w:val="both"/>
        <w:rPr>
          <w:rFonts w:ascii="Times New Roman" w:hAnsi="Times New Roman"/>
          <w:color w:val="000000"/>
        </w:rPr>
      </w:pPr>
      <w:r w:rsidRPr="00A85C11">
        <w:rPr>
          <w:rFonts w:ascii="Times New Roman" w:hAnsi="Times New Roman"/>
          <w:bCs/>
          <w:color w:val="000000"/>
        </w:rPr>
        <w:t xml:space="preserve">Anayasa’nın 13. maddesinde </w:t>
      </w:r>
      <w:r w:rsidRPr="00A85C11">
        <w:rPr>
          <w:rFonts w:ascii="Times New Roman" w:hAnsi="Times New Roman"/>
          <w:color w:val="000000"/>
        </w:rPr>
        <w:t xml:space="preserve">temel hakların kanunla sınırlandırılması ilkesine yer verilmiştir.  Kanunla sınırlama ilkesinin nedeni birey haklarına keyfi müdahaleyi engellemek olup, yasama organının açık tartışma ile kabul ettiği bir yasa çerçevesinde temel haklara müdahaleye izin verilmesi bireylerin temel haklarını korumayı amaçlamaktadır. Birey haklarına müdahaleye izin veren yasalar ancak içeriği belirli, anlamı öngörülebilir ise kendisinden beklenen faydayı sağlayacaktır. Temel haklara müdahaleye izin veren bir yasanın içeriği muğlâk ve tanınan yetkinin kapsamı konusunda belirlilik içermiyorsa yasayla sınırlama ölçütü ihlal edilmiş demektir. </w:t>
      </w:r>
    </w:p>
    <w:p w:rsidR="00A85C11" w:rsidRPr="00A85C11" w:rsidRDefault="00A85C11" w:rsidP="00A85C11">
      <w:pPr>
        <w:ind w:firstLine="851"/>
        <w:jc w:val="both"/>
        <w:rPr>
          <w:rFonts w:ascii="Times New Roman" w:hAnsi="Times New Roman"/>
          <w:color w:val="000000"/>
        </w:rPr>
      </w:pPr>
    </w:p>
    <w:p w:rsidR="00DA0581" w:rsidRPr="00A85C11" w:rsidRDefault="00DA0581" w:rsidP="00A85C11">
      <w:pPr>
        <w:ind w:firstLine="851"/>
        <w:jc w:val="both"/>
        <w:rPr>
          <w:rFonts w:ascii="Times New Roman" w:hAnsi="Times New Roman"/>
          <w:bCs/>
          <w:color w:val="000000"/>
        </w:rPr>
      </w:pPr>
      <w:r w:rsidRPr="00A85C11">
        <w:rPr>
          <w:rFonts w:ascii="Times New Roman" w:hAnsi="Times New Roman"/>
          <w:color w:val="000000"/>
        </w:rPr>
        <w:t>İptali istenen kuralda yer alan  “</w:t>
      </w:r>
      <w:r w:rsidR="00AB3E2A" w:rsidRPr="00A85C11">
        <w:rPr>
          <w:rStyle w:val="grame"/>
          <w:rFonts w:ascii="Times New Roman" w:hAnsi="Times New Roman"/>
          <w:i/>
          <w:color w:val="000000"/>
        </w:rPr>
        <w:t>terör örgütleriyle</w:t>
      </w:r>
      <w:r w:rsidRPr="00A85C11">
        <w:rPr>
          <w:rStyle w:val="grame"/>
          <w:rFonts w:ascii="Times New Roman" w:hAnsi="Times New Roman"/>
          <w:i/>
          <w:color w:val="000000"/>
        </w:rPr>
        <w:t xml:space="preserve"> iltisak</w:t>
      </w:r>
      <w:r w:rsidR="00AB3E2A" w:rsidRPr="00A85C11">
        <w:rPr>
          <w:rStyle w:val="grame"/>
          <w:rFonts w:ascii="Times New Roman" w:hAnsi="Times New Roman"/>
          <w:i/>
          <w:color w:val="000000"/>
        </w:rPr>
        <w:t>l</w:t>
      </w:r>
      <w:r w:rsidRPr="00A85C11">
        <w:rPr>
          <w:rStyle w:val="grame"/>
          <w:rFonts w:ascii="Times New Roman" w:hAnsi="Times New Roman"/>
          <w:i/>
          <w:color w:val="000000"/>
        </w:rPr>
        <w:t xml:space="preserve">ı </w:t>
      </w:r>
      <w:r w:rsidR="00AB3E2A" w:rsidRPr="00A85C11">
        <w:rPr>
          <w:rStyle w:val="grame"/>
          <w:rFonts w:ascii="Times New Roman" w:hAnsi="Times New Roman"/>
          <w:i/>
          <w:color w:val="000000"/>
        </w:rPr>
        <w:t>veya</w:t>
      </w:r>
      <w:r w:rsidRPr="00A85C11">
        <w:rPr>
          <w:rStyle w:val="grame"/>
          <w:rFonts w:ascii="Times New Roman" w:hAnsi="Times New Roman"/>
          <w:i/>
          <w:color w:val="000000"/>
        </w:rPr>
        <w:t xml:space="preserve"> irtibat</w:t>
      </w:r>
      <w:r w:rsidR="00AB3E2A" w:rsidRPr="00A85C11">
        <w:rPr>
          <w:rStyle w:val="grame"/>
          <w:rFonts w:ascii="Times New Roman" w:hAnsi="Times New Roman"/>
          <w:i/>
          <w:color w:val="000000"/>
        </w:rPr>
        <w:t>l</w:t>
      </w:r>
      <w:r w:rsidRPr="00A85C11">
        <w:rPr>
          <w:rStyle w:val="grame"/>
          <w:rFonts w:ascii="Times New Roman" w:hAnsi="Times New Roman"/>
          <w:i/>
          <w:color w:val="000000"/>
        </w:rPr>
        <w:t>ı</w:t>
      </w:r>
      <w:r w:rsidR="00AB3E2A" w:rsidRPr="00A85C11">
        <w:rPr>
          <w:rStyle w:val="grame"/>
          <w:rFonts w:ascii="Times New Roman" w:hAnsi="Times New Roman"/>
          <w:i/>
          <w:color w:val="000000"/>
        </w:rPr>
        <w:t xml:space="preserve"> bulunanlar</w:t>
      </w:r>
      <w:r w:rsidRPr="00A85C11">
        <w:rPr>
          <w:rStyle w:val="grame"/>
          <w:rFonts w:ascii="Times New Roman" w:hAnsi="Times New Roman"/>
          <w:i/>
          <w:color w:val="000000"/>
        </w:rPr>
        <w:t xml:space="preserve">” </w:t>
      </w:r>
      <w:r w:rsidRPr="00A85C11">
        <w:rPr>
          <w:rStyle w:val="grame"/>
          <w:rFonts w:ascii="Times New Roman" w:hAnsi="Times New Roman"/>
          <w:color w:val="000000"/>
        </w:rPr>
        <w:t>ibaresinde yer alan</w:t>
      </w:r>
      <w:r w:rsidRPr="00A85C11">
        <w:rPr>
          <w:rFonts w:ascii="Times New Roman" w:hAnsi="Times New Roman"/>
        </w:rPr>
        <w:t xml:space="preserve"> iltisak ve irtibat </w:t>
      </w:r>
      <w:r w:rsidRPr="00A85C11">
        <w:rPr>
          <w:rFonts w:ascii="Times New Roman" w:hAnsi="Times New Roman"/>
          <w:color w:val="000000"/>
        </w:rPr>
        <w:t>kavramlarının içeriği belirsiz ve öngörülemezdir.  Bir haktan yararlanma engeli</w:t>
      </w:r>
      <w:r w:rsidR="00AB3E2A" w:rsidRPr="00A85C11">
        <w:rPr>
          <w:rFonts w:ascii="Times New Roman" w:hAnsi="Times New Roman"/>
          <w:color w:val="000000"/>
        </w:rPr>
        <w:t>, dolayısıyla hakkın sınırlama nedeni</w:t>
      </w:r>
      <w:r w:rsidRPr="00A85C11">
        <w:rPr>
          <w:rFonts w:ascii="Times New Roman" w:hAnsi="Times New Roman"/>
          <w:color w:val="000000"/>
        </w:rPr>
        <w:t xml:space="preserve"> olarak öngörülen bu fiiller oldukça muğlâk </w:t>
      </w:r>
      <w:r w:rsidRPr="00A85C11">
        <w:rPr>
          <w:rFonts w:ascii="Times New Roman" w:hAnsi="Times New Roman"/>
        </w:rPr>
        <w:t>olup</w:t>
      </w:r>
      <w:r w:rsidRPr="00A85C11">
        <w:rPr>
          <w:rFonts w:ascii="Times New Roman" w:hAnsi="Times New Roman"/>
          <w:color w:val="000000"/>
        </w:rPr>
        <w:t xml:space="preserve"> bunların içeriğini öngörmek tamamen imkânsızdır. Hangi somut eylemlerin bu suçları oluşturduğu ve bu suçlar arasındaki farkın ne olduğunu ortaya koyan hiçbir düzenleme ya da açıklık bulunmamaktadır.</w:t>
      </w:r>
      <w:r w:rsidR="00AB3E2A" w:rsidRPr="00A85C11">
        <w:rPr>
          <w:rFonts w:ascii="Times New Roman" w:hAnsi="Times New Roman"/>
          <w:color w:val="000000"/>
        </w:rPr>
        <w:t xml:space="preserve"> Ayrıca bu tespitin nasıl ve kim tarafından yapılacağı, söz konusu tespit</w:t>
      </w:r>
      <w:r w:rsidR="00D17635" w:rsidRPr="00A85C11">
        <w:rPr>
          <w:rFonts w:ascii="Times New Roman" w:hAnsi="Times New Roman"/>
          <w:color w:val="000000"/>
        </w:rPr>
        <w:t xml:space="preserve"> yapılırken bireylerin usulü güvencelerden yararlandırılıp yararlandırılmayacağı ve söz konusu tespit aleyhine yargı yollarına başvuru imkânı olup olmadığı gibi hususlar da tamamen belirsizdir. </w:t>
      </w:r>
      <w:r w:rsidRPr="00A85C11">
        <w:rPr>
          <w:rFonts w:ascii="Times New Roman" w:hAnsi="Times New Roman"/>
          <w:bCs/>
        </w:rPr>
        <w:t xml:space="preserve">Oysa bir hukuk devletinde hukuk kurallarının belli ve öngörülebilir olması asgari koşuldur. </w:t>
      </w:r>
      <w:r w:rsidRPr="00A85C11">
        <w:rPr>
          <w:rFonts w:ascii="Times New Roman" w:hAnsi="Times New Roman"/>
          <w:bCs/>
          <w:color w:val="000000"/>
        </w:rPr>
        <w:t xml:space="preserve">Hangi fiilleri dolayısıyla bireylerin yaptırıma tabi tutulabileceklerini önceden öngörebilmeleri gerekir. Adı geçen kavramların içeriği ve ağırlığı belirli olmadığı gibi uygulanacak yaptırımın ağırlığı bakımından da bir belirleme bulunmayıp tamamı aynı yaptırıma tabi tutulmuştur. Bu derece muğlâk ve belirsiz bir düzenlemenin öngörülebilir olduğunu söylemeye olanak bulunmamaktadır. </w:t>
      </w:r>
    </w:p>
    <w:p w:rsidR="00A85C11" w:rsidRPr="00A85C11" w:rsidRDefault="00A85C11" w:rsidP="00A85C11">
      <w:pPr>
        <w:ind w:firstLine="851"/>
        <w:jc w:val="both"/>
        <w:rPr>
          <w:rFonts w:ascii="Times New Roman" w:hAnsi="Times New Roman"/>
          <w:bCs/>
          <w:color w:val="000000"/>
        </w:rPr>
      </w:pPr>
    </w:p>
    <w:p w:rsidR="00DA0581" w:rsidRPr="00A85C11" w:rsidRDefault="00DA0581" w:rsidP="00A85C11">
      <w:pPr>
        <w:ind w:firstLine="851"/>
        <w:jc w:val="both"/>
        <w:rPr>
          <w:rFonts w:ascii="Times New Roman" w:hAnsi="Times New Roman"/>
          <w:bCs/>
          <w:color w:val="000000"/>
        </w:rPr>
      </w:pPr>
      <w:r w:rsidRPr="00A85C11">
        <w:rPr>
          <w:rFonts w:ascii="Times New Roman" w:hAnsi="Times New Roman"/>
          <w:bCs/>
          <w:color w:val="000000"/>
        </w:rPr>
        <w:t xml:space="preserve">Yasaların içeriğinin belirliliği ve öngörülebilirliği hukuka bağlı yönetimin en temel gereklerinden biridir. Bireyler en azından bir uzmanın yardımıyla hukuk kuralının kendisinden hangi davranışı beklediğini, davranışlarının sonuçlarının ne olacağını öngörebilmelidir. Bu birey özgürlüğünün de asgari koşuludur. Yasaların hangi davranışı </w:t>
      </w:r>
      <w:r w:rsidRPr="00A85C11">
        <w:rPr>
          <w:rFonts w:ascii="Times New Roman" w:hAnsi="Times New Roman"/>
          <w:bCs/>
          <w:color w:val="000000"/>
        </w:rPr>
        <w:lastRenderedPageBreak/>
        <w:t xml:space="preserve">yasakladığını ve hangi davranışı serbest bıraktığını öngöremeyen bir bireyin davranışlarını özgürce belirlemesi mümkün olmadığı gibi, bir davranışın sonuçlarının ne olacağını öngöremeyen bireyin davranışlarından sorumlu tutulması da birey özgürlüğü ile bağdaşmaz. Hukuk devletinin yasaların öngörülebilirliğine atfettiği önem, özgürlük ile öngörülebilirlik arasındaki bu ilişkiden kaynaklanmaktadır. Bu nedenle iptali istenen içeriği belirsiz kavramlar öncelikle Anayasa’nın 2. maddesinde Cumhuriyetin temel nitelikleri arasında sayılan hukuk devleti ilkesine açıkça aykırıdır. </w:t>
      </w:r>
    </w:p>
    <w:p w:rsidR="00A85C11" w:rsidRPr="00A85C11" w:rsidRDefault="00A85C11" w:rsidP="00A85C11">
      <w:pPr>
        <w:ind w:firstLine="851"/>
        <w:jc w:val="both"/>
        <w:rPr>
          <w:rFonts w:ascii="Times New Roman" w:hAnsi="Times New Roman"/>
          <w:bCs/>
          <w:color w:val="000000"/>
        </w:rPr>
      </w:pPr>
    </w:p>
    <w:p w:rsidR="00D17635" w:rsidRPr="00A85C11" w:rsidRDefault="00DA0581" w:rsidP="00A85C11">
      <w:pPr>
        <w:ind w:firstLine="851"/>
        <w:jc w:val="both"/>
        <w:rPr>
          <w:rFonts w:ascii="Times New Roman" w:hAnsi="Times New Roman"/>
        </w:rPr>
      </w:pPr>
      <w:r w:rsidRPr="00A85C11">
        <w:rPr>
          <w:rFonts w:ascii="Times New Roman" w:hAnsi="Times New Roman"/>
          <w:bCs/>
          <w:color w:val="000000"/>
        </w:rPr>
        <w:t xml:space="preserve">Diğer taraftan </w:t>
      </w:r>
      <w:r w:rsidR="00D17635" w:rsidRPr="00A85C11">
        <w:rPr>
          <w:rFonts w:ascii="Times New Roman" w:hAnsi="Times New Roman"/>
        </w:rPr>
        <w:t>yukarıda belirtildiği gibi kural Anayasa’nın 70. maddesinde güvence altına alınan kamu hizmetine girme hakkına müdahale teşkil etmektedir. Bu müdahale Anayasanın 13. maddesinde yer alan kanunla sınırlama kuralına da uymamaktadır. Zira içeriği belirsiz ve muğlâk bir düzenlemenin 13. maddede öngörülen kanunla sınırlama güvencesine uygun olduğu söylenemez. Aynı şekilde söz konusu kural sadece olağanüstü hal süresince uygulanacak bir kural olmayıp sürekli nitelik taşımaktadır. İptali istenen kural ile kamu görevine girme hakkına yapılan müdahale ilgili maddede öngörülen koşullara ve Anayasa’nın 13. ve 15. maddelerinde belirtilen sınırlama ölçütlerine uyulmadan yapılmış, ölçüsüz bir müdahaledir.</w:t>
      </w:r>
    </w:p>
    <w:p w:rsidR="00A85C11" w:rsidRPr="00A85C11" w:rsidRDefault="00A85C11" w:rsidP="00A85C11">
      <w:pPr>
        <w:ind w:firstLine="851"/>
        <w:jc w:val="both"/>
        <w:rPr>
          <w:rFonts w:ascii="Times New Roman" w:hAnsi="Times New Roman"/>
          <w:bCs/>
          <w:color w:val="000000"/>
        </w:rPr>
      </w:pPr>
    </w:p>
    <w:p w:rsidR="00DA0581" w:rsidRPr="00A85C11" w:rsidRDefault="00DA0581" w:rsidP="00A85C11">
      <w:pPr>
        <w:ind w:firstLine="851"/>
        <w:jc w:val="both"/>
        <w:rPr>
          <w:rFonts w:ascii="Times New Roman" w:hAnsi="Times New Roman"/>
        </w:rPr>
      </w:pPr>
      <w:r w:rsidRPr="00A85C11">
        <w:rPr>
          <w:rFonts w:ascii="Times New Roman" w:hAnsi="Times New Roman"/>
          <w:color w:val="000000"/>
        </w:rPr>
        <w:t xml:space="preserve">Ayrıca </w:t>
      </w:r>
      <w:r w:rsidRPr="00A85C11">
        <w:rPr>
          <w:rFonts w:ascii="Times New Roman" w:hAnsi="Times New Roman"/>
        </w:rPr>
        <w:t>Anayasa’nın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KHK’lar ile ceza normu konamaz.</w:t>
      </w:r>
      <w:r w:rsidRPr="00A85C11">
        <w:rPr>
          <w:rFonts w:ascii="Times New Roman" w:hAnsi="Times New Roman"/>
          <w:color w:val="000000"/>
        </w:rPr>
        <w:t xml:space="preserve"> S</w:t>
      </w:r>
      <w:r w:rsidRPr="00A85C11">
        <w:rPr>
          <w:rFonts w:ascii="Times New Roman" w:hAnsi="Times New Roman"/>
        </w:rPr>
        <w:t xml:space="preserve">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w:t>
      </w:r>
      <w:r w:rsidRPr="00A85C11">
        <w:rPr>
          <w:rFonts w:ascii="Times New Roman" w:hAnsi="Times New Roman"/>
          <w:color w:val="000000"/>
        </w:rPr>
        <w:t>Anayasa Mahkemesinin yerleşik içtihadına göre disiplin suç ve cezaları da 38. maddede öngörülen kanunilik ilkesine tabidir.</w:t>
      </w:r>
      <w:r w:rsidRPr="00A85C11">
        <w:rPr>
          <w:rFonts w:ascii="Times New Roman" w:hAnsi="Times New Roman"/>
        </w:rPr>
        <w:t xml:space="preserve"> Anayasa Mahkemesi pek çok kararında Anayasa’nın 38. maddesindeki ilkelerin disiplin suç ve cezaları için de geçerli olduğuna karar vermiştir (bkz. E.2014/100, K.2015/6, K.T. 14.1.2015;</w:t>
      </w:r>
      <w:r w:rsidRPr="00A85C11">
        <w:rPr>
          <w:rFonts w:ascii="Times New Roman" w:hAnsi="Times New Roman"/>
          <w:i/>
          <w:iCs/>
        </w:rPr>
        <w:t xml:space="preserve"> </w:t>
      </w:r>
      <w:r w:rsidRPr="00A85C11">
        <w:rPr>
          <w:rFonts w:ascii="Times New Roman" w:hAnsi="Times New Roman"/>
        </w:rPr>
        <w:t xml:space="preserve">E. 2010/28, K. 2011/139, K.T. 20.10.2011). İptali istenen kural </w:t>
      </w:r>
      <w:r w:rsidR="00596C30" w:rsidRPr="00A85C11">
        <w:rPr>
          <w:rFonts w:ascii="Times New Roman" w:hAnsi="Times New Roman"/>
        </w:rPr>
        <w:t xml:space="preserve">ile getirilen yasak noterlik mesleğine kabulü engelleyen bir tür disiplin yaptırımı niteliği de taşımaktadır. Mesleğe kabul edilmeme </w:t>
      </w:r>
      <w:r w:rsidRPr="00A85C11">
        <w:rPr>
          <w:rFonts w:ascii="Times New Roman" w:hAnsi="Times New Roman"/>
        </w:rPr>
        <w:t>sonucunu doğuracak fiilleri düzenleyen kuralın hangi eylemin bu sonucu doğuracağını açık bir şekilde ortaya koyması gerekir. Oysa yukarıda belirtildiği gibi bu kavramların içeriği ve kapsamı belli olmadığı gibi, bu açıklığı sağlayacak ne bir alt düzenleme ne de yargısal içtihat ortaya çıkmış değildir. Nitekim Venedik Komisyonu da OHAL KHK’larına ilişkin olarak yayınladığı 9-10 Aralık 2016 tarihli görüşünün (</w:t>
      </w:r>
      <w:proofErr w:type="spellStart"/>
      <w:r w:rsidRPr="00A85C11">
        <w:rPr>
          <w:rFonts w:ascii="Times New Roman" w:hAnsi="Times New Roman"/>
          <w:color w:val="000000"/>
        </w:rPr>
        <w:t>Turkey</w:t>
      </w:r>
      <w:proofErr w:type="spellEnd"/>
      <w:r w:rsidRPr="00A85C11">
        <w:rPr>
          <w:rFonts w:ascii="Times New Roman" w:hAnsi="Times New Roman"/>
          <w:color w:val="000000"/>
        </w:rPr>
        <w:t xml:space="preserve"> - </w:t>
      </w:r>
      <w:proofErr w:type="spellStart"/>
      <w:r w:rsidRPr="00A85C11">
        <w:rPr>
          <w:rFonts w:ascii="Times New Roman" w:hAnsi="Times New Roman"/>
          <w:color w:val="000000"/>
        </w:rPr>
        <w:t>Opinion</w:t>
      </w:r>
      <w:proofErr w:type="spellEnd"/>
      <w:r w:rsidRPr="00A85C11">
        <w:rPr>
          <w:rFonts w:ascii="Times New Roman" w:hAnsi="Times New Roman"/>
          <w:color w:val="000000"/>
        </w:rPr>
        <w:t xml:space="preserve"> on </w:t>
      </w:r>
      <w:proofErr w:type="spellStart"/>
      <w:r w:rsidRPr="00A85C11">
        <w:rPr>
          <w:rFonts w:ascii="Times New Roman" w:hAnsi="Times New Roman"/>
          <w:color w:val="000000"/>
        </w:rPr>
        <w:t>Emergency</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Decree</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Laws</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Nos</w:t>
      </w:r>
      <w:proofErr w:type="spellEnd"/>
      <w:r w:rsidRPr="00A85C11">
        <w:rPr>
          <w:rFonts w:ascii="Times New Roman" w:hAnsi="Times New Roman"/>
          <w:color w:val="000000"/>
        </w:rPr>
        <w:t xml:space="preserve"> 667-676 </w:t>
      </w:r>
      <w:proofErr w:type="spellStart"/>
      <w:r w:rsidRPr="00A85C11">
        <w:rPr>
          <w:rFonts w:ascii="Times New Roman" w:hAnsi="Times New Roman"/>
          <w:color w:val="000000"/>
        </w:rPr>
        <w:t>adopted</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following</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the</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failed</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coup</w:t>
      </w:r>
      <w:proofErr w:type="spellEnd"/>
      <w:r w:rsidRPr="00A85C11">
        <w:rPr>
          <w:rFonts w:ascii="Times New Roman" w:hAnsi="Times New Roman"/>
          <w:color w:val="000000"/>
        </w:rPr>
        <w:t xml:space="preserve"> of 15 </w:t>
      </w:r>
      <w:proofErr w:type="spellStart"/>
      <w:r w:rsidRPr="00A85C11">
        <w:rPr>
          <w:rFonts w:ascii="Times New Roman" w:hAnsi="Times New Roman"/>
          <w:color w:val="000000"/>
        </w:rPr>
        <w:t>July</w:t>
      </w:r>
      <w:proofErr w:type="spellEnd"/>
      <w:r w:rsidRPr="00A85C11">
        <w:rPr>
          <w:rFonts w:ascii="Times New Roman" w:hAnsi="Times New Roman"/>
          <w:color w:val="000000"/>
        </w:rPr>
        <w:t xml:space="preserve"> 2016, 9-10 </w:t>
      </w:r>
      <w:proofErr w:type="spellStart"/>
      <w:r w:rsidRPr="00A85C11">
        <w:rPr>
          <w:rFonts w:ascii="Times New Roman" w:hAnsi="Times New Roman"/>
          <w:color w:val="000000"/>
        </w:rPr>
        <w:t>December</w:t>
      </w:r>
      <w:proofErr w:type="spellEnd"/>
      <w:r w:rsidRPr="00A85C11">
        <w:rPr>
          <w:rFonts w:ascii="Times New Roman" w:hAnsi="Times New Roman"/>
          <w:color w:val="000000"/>
        </w:rPr>
        <w:t xml:space="preserve"> 2016, [CDL-AD(2016)037-e]) </w:t>
      </w:r>
      <w:r w:rsidRPr="00A85C11">
        <w:rPr>
          <w:rFonts w:ascii="Times New Roman" w:hAnsi="Times New Roman"/>
        </w:rPr>
        <w:t xml:space="preserve">128-131. paragraflarında bu duruma açıkça dikkat çekmiş ve kavramların içeriğinin açıklığa kavuşturulmasını tavsiye etmiştir. Venedik Komisyonunun görüşünün yayınlandığı günden bu zamana kadar da bu açıklığı sağlayacak herhangi bir gelişme yaşanmamıştır. </w:t>
      </w:r>
    </w:p>
    <w:p w:rsidR="00A85C11" w:rsidRPr="00A85C11" w:rsidRDefault="00A85C11" w:rsidP="00A85C11">
      <w:pPr>
        <w:ind w:firstLine="851"/>
        <w:jc w:val="both"/>
        <w:rPr>
          <w:rFonts w:ascii="Times New Roman" w:hAnsi="Times New Roman"/>
        </w:rPr>
      </w:pPr>
    </w:p>
    <w:p w:rsidR="00596C30" w:rsidRPr="00A85C11" w:rsidRDefault="00596C30" w:rsidP="00A85C11">
      <w:pPr>
        <w:ind w:firstLine="851"/>
        <w:jc w:val="both"/>
        <w:rPr>
          <w:rFonts w:ascii="Times New Roman" w:hAnsi="Times New Roman"/>
        </w:rPr>
      </w:pPr>
      <w:r w:rsidRPr="00A85C11">
        <w:rPr>
          <w:rFonts w:ascii="Times New Roman" w:hAnsi="Times New Roman"/>
        </w:rPr>
        <w:t xml:space="preserve">Ayrıca bu kuralın geçmişe yürütülerek uygulanması olasılığı da çok yüksektir. Zira terör örgütleriyle irtibat ve iltisak belirlemesinin KHK ile görevden alınanları da kapsar şekilde uygulanacağı açıktır. Oysa KHK’lar ile görevden almaların tamamında söz konusu kavramlar geçmişe yürütülerek uygulanmıştır ve bu geçmişe yürürlü uygulamaya bazı sonuçlar bağlamak bu uygulamayı devam ettirmek anlamına gelecektir. Bu nedenle de de </w:t>
      </w:r>
      <w:r w:rsidRPr="00A85C11">
        <w:rPr>
          <w:rFonts w:ascii="Times New Roman" w:hAnsi="Times New Roman"/>
        </w:rPr>
        <w:lastRenderedPageBreak/>
        <w:t xml:space="preserve">kural Anayasanın 38. maddesinde güvence altına alınan ceza normlarının geçmişe yürümezliği ilkesine aykırılık oluşturmaktadır. </w:t>
      </w:r>
    </w:p>
    <w:p w:rsidR="00A85C11" w:rsidRPr="00A85C11" w:rsidRDefault="00A85C11" w:rsidP="00A85C11">
      <w:pPr>
        <w:ind w:firstLine="851"/>
        <w:jc w:val="both"/>
        <w:rPr>
          <w:rFonts w:ascii="Times New Roman" w:hAnsi="Times New Roman"/>
        </w:rPr>
      </w:pPr>
    </w:p>
    <w:p w:rsidR="00DA0581" w:rsidRPr="00A85C11" w:rsidRDefault="00DA0581" w:rsidP="00A85C11">
      <w:pPr>
        <w:ind w:firstLine="851"/>
        <w:jc w:val="both"/>
        <w:rPr>
          <w:rFonts w:ascii="Times New Roman" w:hAnsi="Times New Roman"/>
        </w:rPr>
      </w:pPr>
      <w:r w:rsidRPr="00A85C11">
        <w:rPr>
          <w:rFonts w:ascii="Times New Roman" w:hAnsi="Times New Roman"/>
        </w:rPr>
        <w:t>Açıklanan nedenlerle iptali istenen kural Anayasa’nın 2., 13.</w:t>
      </w:r>
      <w:r w:rsidR="00596C30" w:rsidRPr="00A85C11">
        <w:rPr>
          <w:rFonts w:ascii="Times New Roman" w:hAnsi="Times New Roman"/>
        </w:rPr>
        <w:t>, 15.,</w:t>
      </w:r>
      <w:r w:rsidRPr="00A85C11">
        <w:rPr>
          <w:rFonts w:ascii="Times New Roman" w:hAnsi="Times New Roman"/>
        </w:rPr>
        <w:t xml:space="preserve"> 38. </w:t>
      </w:r>
      <w:r w:rsidR="00596C30" w:rsidRPr="00A85C11">
        <w:rPr>
          <w:rFonts w:ascii="Times New Roman" w:hAnsi="Times New Roman"/>
        </w:rPr>
        <w:t xml:space="preserve">ve 70. </w:t>
      </w:r>
      <w:r w:rsidRPr="00A85C11">
        <w:rPr>
          <w:rFonts w:ascii="Times New Roman" w:hAnsi="Times New Roman"/>
        </w:rPr>
        <w:t>maddelerine açıkça aykırıdır ve iptali gerekir.</w:t>
      </w:r>
    </w:p>
    <w:p w:rsidR="00A85C11" w:rsidRPr="00A85C11" w:rsidRDefault="00A85C11" w:rsidP="00A85C11">
      <w:pPr>
        <w:ind w:firstLine="851"/>
        <w:jc w:val="both"/>
        <w:rPr>
          <w:rFonts w:ascii="Times New Roman" w:hAnsi="Times New Roman"/>
        </w:rPr>
      </w:pPr>
    </w:p>
    <w:p w:rsidR="00023962" w:rsidRPr="00A85C11" w:rsidRDefault="00023962" w:rsidP="00A85C11">
      <w:pPr>
        <w:pStyle w:val="ListParagraph"/>
        <w:tabs>
          <w:tab w:val="left" w:pos="0"/>
        </w:tabs>
        <w:ind w:left="0" w:firstLine="851"/>
        <w:jc w:val="both"/>
        <w:rPr>
          <w:rFonts w:ascii="Times New Roman" w:hAnsi="Times New Roman"/>
        </w:rPr>
      </w:pPr>
      <w:r w:rsidRPr="00A85C11">
        <w:rPr>
          <w:rFonts w:ascii="Times New Roman" w:hAnsi="Times New Roman"/>
        </w:rPr>
        <w:t xml:space="preserve">2. 01/02/2018 tarih ve 7069 sayılı Olağanüstü Hal Kapsamında Bazı Düzenlemeler Yapılması Hakkında Kanun Hükmünde Kararnamenin Değiştirilerek Kabul Edilmesine Dair Kanun’un 9. maddesiyle </w:t>
      </w:r>
      <w:r w:rsidRPr="00A85C11">
        <w:rPr>
          <w:rFonts w:ascii="Times New Roman" w:hAnsi="Times New Roman"/>
          <w:color w:val="000000"/>
          <w:lang w:eastAsia="tr-TR"/>
        </w:rPr>
        <w:t>/6/2012 tarihli ve 6325 sayılı Hukuk Uyuşmazlıklarında Arabuluculuk Kanununun 20 </w:t>
      </w:r>
      <w:proofErr w:type="spellStart"/>
      <w:r w:rsidRPr="00A85C11">
        <w:rPr>
          <w:rFonts w:ascii="Times New Roman" w:hAnsi="Times New Roman"/>
          <w:color w:val="000000"/>
          <w:lang w:eastAsia="tr-TR"/>
        </w:rPr>
        <w:t>nci</w:t>
      </w:r>
      <w:proofErr w:type="spellEnd"/>
      <w:r w:rsidRPr="00A85C11">
        <w:rPr>
          <w:rFonts w:ascii="Times New Roman" w:hAnsi="Times New Roman"/>
          <w:color w:val="000000"/>
          <w:lang w:eastAsia="tr-TR"/>
        </w:rPr>
        <w:t xml:space="preserve"> maddesinin ikinci fıkrasına (ç) bendinden sonra gelmek üzere </w:t>
      </w:r>
      <w:r w:rsidRPr="00A85C11">
        <w:rPr>
          <w:rFonts w:ascii="Times New Roman" w:hAnsi="Times New Roman"/>
        </w:rPr>
        <w:t>eklenen (d) bendinin Anayasaya aykırılığı</w:t>
      </w:r>
    </w:p>
    <w:p w:rsidR="00861F6A" w:rsidRPr="00A85C11" w:rsidRDefault="00861F6A" w:rsidP="00A85C11">
      <w:pPr>
        <w:ind w:firstLine="851"/>
        <w:jc w:val="both"/>
        <w:rPr>
          <w:rFonts w:ascii="Times New Roman" w:hAnsi="Times New Roman"/>
          <w:color w:val="000000"/>
        </w:rPr>
      </w:pPr>
    </w:p>
    <w:p w:rsidR="008169C4" w:rsidRPr="00A85C11" w:rsidRDefault="008169C4" w:rsidP="00A85C11">
      <w:pPr>
        <w:ind w:firstLine="851"/>
        <w:jc w:val="both"/>
        <w:rPr>
          <w:rFonts w:ascii="Times New Roman" w:hAnsi="Times New Roman"/>
          <w:color w:val="000000"/>
        </w:rPr>
      </w:pPr>
      <w:r w:rsidRPr="00A85C11">
        <w:rPr>
          <w:rFonts w:ascii="Times New Roman" w:hAnsi="Times New Roman"/>
          <w:color w:val="000000"/>
        </w:rPr>
        <w:t>6325</w:t>
      </w:r>
      <w:r w:rsidR="00023962" w:rsidRPr="00A85C11">
        <w:rPr>
          <w:rFonts w:ascii="Times New Roman" w:hAnsi="Times New Roman"/>
          <w:color w:val="000000"/>
        </w:rPr>
        <w:t xml:space="preserve"> sayılı </w:t>
      </w:r>
      <w:r w:rsidRPr="00A85C11">
        <w:rPr>
          <w:rFonts w:ascii="Times New Roman" w:hAnsi="Times New Roman"/>
          <w:color w:val="000000"/>
        </w:rPr>
        <w:t>Kanun</w:t>
      </w:r>
      <w:r w:rsidR="00023962" w:rsidRPr="00A85C11">
        <w:rPr>
          <w:rFonts w:ascii="Times New Roman" w:hAnsi="Times New Roman"/>
          <w:color w:val="000000"/>
        </w:rPr>
        <w:t xml:space="preserve">’un </w:t>
      </w:r>
      <w:r w:rsidRPr="00A85C11">
        <w:rPr>
          <w:rFonts w:ascii="Times New Roman" w:hAnsi="Times New Roman"/>
          <w:color w:val="000000"/>
        </w:rPr>
        <w:t>20</w:t>
      </w:r>
      <w:r w:rsidR="00023962" w:rsidRPr="00A85C11">
        <w:rPr>
          <w:rFonts w:ascii="Times New Roman" w:hAnsi="Times New Roman"/>
          <w:color w:val="000000"/>
        </w:rPr>
        <w:t xml:space="preserve">. maddesinde </w:t>
      </w:r>
      <w:r w:rsidRPr="00A85C11">
        <w:rPr>
          <w:rFonts w:ascii="Times New Roman" w:hAnsi="Times New Roman"/>
          <w:color w:val="000000"/>
        </w:rPr>
        <w:t>Arabuluculuk siciline kayıt</w:t>
      </w:r>
      <w:r w:rsidR="00023962" w:rsidRPr="00A85C11">
        <w:rPr>
          <w:rFonts w:ascii="Times New Roman" w:hAnsi="Times New Roman"/>
          <w:color w:val="000000"/>
        </w:rPr>
        <w:t xml:space="preserve"> koşulları düzenlenmiştir. İptali istenen </w:t>
      </w:r>
      <w:r w:rsidRPr="00A85C11">
        <w:rPr>
          <w:rFonts w:ascii="Times New Roman" w:hAnsi="Times New Roman"/>
          <w:color w:val="000000"/>
        </w:rPr>
        <w:t>bentte</w:t>
      </w:r>
      <w:r w:rsidR="00023962" w:rsidRPr="00A85C11">
        <w:rPr>
          <w:rFonts w:ascii="Times New Roman" w:hAnsi="Times New Roman"/>
          <w:color w:val="000000"/>
        </w:rPr>
        <w:t xml:space="preserve"> terör örgütleriyle iltisaklı veya irtibatlı bulunanların, </w:t>
      </w:r>
      <w:r w:rsidRPr="00A85C11">
        <w:rPr>
          <w:rFonts w:ascii="Times New Roman" w:hAnsi="Times New Roman"/>
          <w:color w:val="000000"/>
        </w:rPr>
        <w:t xml:space="preserve">sicile kayıt </w:t>
      </w:r>
      <w:r w:rsidR="00023962" w:rsidRPr="00A85C11">
        <w:rPr>
          <w:rFonts w:ascii="Times New Roman" w:hAnsi="Times New Roman"/>
          <w:color w:val="000000"/>
        </w:rPr>
        <w:t xml:space="preserve">edilemeyeceği hükmüne yer verilmiştir. Buna göre terör örgütleriyle iltisaklı veya irtibatlı bulunanlar </w:t>
      </w:r>
      <w:r w:rsidRPr="00A85C11">
        <w:rPr>
          <w:rFonts w:ascii="Times New Roman" w:hAnsi="Times New Roman"/>
          <w:color w:val="000000"/>
        </w:rPr>
        <w:t xml:space="preserve">arabuluculuk siciline kayıt edilmeyecek dolayısıyla arabuluculuk yapamayacaktır. </w:t>
      </w:r>
    </w:p>
    <w:p w:rsidR="00A85C11" w:rsidRPr="00A85C11" w:rsidRDefault="00A85C11" w:rsidP="00A85C11">
      <w:pPr>
        <w:ind w:firstLine="851"/>
        <w:jc w:val="both"/>
        <w:rPr>
          <w:rFonts w:ascii="Times New Roman" w:hAnsi="Times New Roman"/>
          <w:color w:val="000000"/>
        </w:rPr>
      </w:pPr>
    </w:p>
    <w:p w:rsidR="00023962" w:rsidRPr="00A85C11" w:rsidRDefault="008169C4" w:rsidP="00A85C11">
      <w:pPr>
        <w:ind w:firstLine="851"/>
        <w:jc w:val="both"/>
        <w:rPr>
          <w:rFonts w:ascii="Times New Roman" w:hAnsi="Times New Roman"/>
          <w:color w:val="000000"/>
        </w:rPr>
      </w:pPr>
      <w:r w:rsidRPr="00A85C11">
        <w:rPr>
          <w:rFonts w:ascii="Times New Roman" w:hAnsi="Times New Roman"/>
          <w:color w:val="000000"/>
        </w:rPr>
        <w:t xml:space="preserve">Kanun’un 2. maddesinde arabuluculuk, 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ortaya çıkması hâlinde çözüm önerisi de getirebilen, uzmanlık eğitimi almış olan tarafsız ve bağımsız bir üçüncü kişinin katılımıyla ve ihtiyarî olarak yürütülen uyuşmazlık çözüm yöntemi şeklinde tanımlanmıştır. Arabulucu sıfatını kazanmak ve arabuluculuk faaliyeti yürütebilmek için Bakanlıkça düzenlenen arabuluculuk siciline kayıt olmak gerekmektedir. </w:t>
      </w:r>
    </w:p>
    <w:p w:rsidR="00A85C11" w:rsidRPr="00A85C11" w:rsidRDefault="00A85C11" w:rsidP="00A85C11">
      <w:pPr>
        <w:ind w:firstLine="851"/>
        <w:jc w:val="both"/>
        <w:rPr>
          <w:rFonts w:ascii="Times New Roman" w:hAnsi="Times New Roman"/>
          <w:color w:val="000000"/>
        </w:rPr>
      </w:pPr>
    </w:p>
    <w:p w:rsidR="00023962" w:rsidRPr="00A85C11" w:rsidRDefault="008169C4" w:rsidP="00A85C11">
      <w:pPr>
        <w:ind w:firstLine="851"/>
        <w:jc w:val="both"/>
        <w:rPr>
          <w:rFonts w:ascii="Times New Roman" w:hAnsi="Times New Roman"/>
          <w:color w:val="000000"/>
        </w:rPr>
      </w:pPr>
      <w:r w:rsidRPr="00A85C11">
        <w:rPr>
          <w:rFonts w:ascii="Times New Roman" w:hAnsi="Times New Roman"/>
          <w:color w:val="000000"/>
        </w:rPr>
        <w:t xml:space="preserve">Kanundaki tanımdan arabuluculuğun bir serbest meslek olarak düzenlendiği anlaşılmaktadır. Bir serbest mesleğin icrası Anayasanın 48. maddesinde güvence altına alınan </w:t>
      </w:r>
      <w:r w:rsidR="009F7C9A" w:rsidRPr="00A85C11">
        <w:rPr>
          <w:rFonts w:ascii="Times New Roman" w:hAnsi="Times New Roman"/>
          <w:color w:val="000000"/>
        </w:rPr>
        <w:t xml:space="preserve">çalışma ve teşebbüs özgürlüğü kapsamında olduğunda kuşku bulunmamaktadır. 48. maddeye göre herkes dilediği alanda çalışma ve sözleşme hürriyetine sahiptir. Ancak arabuluculuk bir kamu hizmeti olarak görülürse bu aynı zamanda 70. maddenin koruması altında olduğu anlamına gelecektir. </w:t>
      </w:r>
      <w:r w:rsidR="00023962" w:rsidRPr="00A85C11">
        <w:rPr>
          <w:rFonts w:ascii="Times New Roman" w:hAnsi="Times New Roman"/>
          <w:color w:val="000000"/>
        </w:rPr>
        <w:t>Anayasanın 70. maddesinde kamu hizmetine girme bir temel hak olarak düzenlenmiş ve kamu hizmetine girmede mesleğin gerektirdiği niteliklerin dışında hiçbir ayrım gözetilemeyeceği hükmüne yer verilmiştir. Dolayısıyla iptali istenen düzenleme ile Anayasa</w:t>
      </w:r>
      <w:r w:rsidR="009F7C9A" w:rsidRPr="00A85C11">
        <w:rPr>
          <w:rFonts w:ascii="Times New Roman" w:hAnsi="Times New Roman"/>
          <w:color w:val="000000"/>
        </w:rPr>
        <w:t>’</w:t>
      </w:r>
      <w:r w:rsidR="00023962" w:rsidRPr="00A85C11">
        <w:rPr>
          <w:rFonts w:ascii="Times New Roman" w:hAnsi="Times New Roman"/>
          <w:color w:val="000000"/>
        </w:rPr>
        <w:t xml:space="preserve">nın </w:t>
      </w:r>
      <w:r w:rsidR="009F7C9A" w:rsidRPr="00A85C11">
        <w:rPr>
          <w:rFonts w:ascii="Times New Roman" w:hAnsi="Times New Roman"/>
          <w:color w:val="000000"/>
        </w:rPr>
        <w:t xml:space="preserve">48. ve </w:t>
      </w:r>
      <w:r w:rsidR="00023962" w:rsidRPr="00A85C11">
        <w:rPr>
          <w:rFonts w:ascii="Times New Roman" w:hAnsi="Times New Roman"/>
          <w:color w:val="000000"/>
        </w:rPr>
        <w:t>70. madde</w:t>
      </w:r>
      <w:r w:rsidR="009F7C9A" w:rsidRPr="00A85C11">
        <w:rPr>
          <w:rFonts w:ascii="Times New Roman" w:hAnsi="Times New Roman"/>
          <w:color w:val="000000"/>
        </w:rPr>
        <w:t xml:space="preserve">lerinde </w:t>
      </w:r>
      <w:r w:rsidR="00023962" w:rsidRPr="00A85C11">
        <w:rPr>
          <w:rFonts w:ascii="Times New Roman" w:hAnsi="Times New Roman"/>
          <w:color w:val="000000"/>
        </w:rPr>
        <w:t>güvence altına alınan hak</w:t>
      </w:r>
      <w:r w:rsidR="009F7C9A" w:rsidRPr="00A85C11">
        <w:rPr>
          <w:rFonts w:ascii="Times New Roman" w:hAnsi="Times New Roman"/>
          <w:color w:val="000000"/>
        </w:rPr>
        <w:t>lara</w:t>
      </w:r>
      <w:r w:rsidR="00023962" w:rsidRPr="00A85C11">
        <w:rPr>
          <w:rFonts w:ascii="Times New Roman" w:hAnsi="Times New Roman"/>
          <w:color w:val="000000"/>
        </w:rPr>
        <w:t xml:space="preserve"> müdahale edilmiştir. </w:t>
      </w:r>
    </w:p>
    <w:p w:rsidR="00A85C11" w:rsidRPr="00A85C11" w:rsidRDefault="00A85C11" w:rsidP="00A85C11">
      <w:pPr>
        <w:ind w:firstLine="851"/>
        <w:jc w:val="both"/>
        <w:rPr>
          <w:rFonts w:ascii="Times New Roman" w:hAnsi="Times New Roman"/>
          <w:color w:val="000000"/>
        </w:rPr>
      </w:pPr>
    </w:p>
    <w:p w:rsidR="00023962" w:rsidRPr="00A85C11" w:rsidRDefault="00023962" w:rsidP="00A85C11">
      <w:pPr>
        <w:ind w:firstLine="851"/>
        <w:jc w:val="both"/>
        <w:rPr>
          <w:rFonts w:ascii="Times New Roman" w:hAnsi="Times New Roman"/>
          <w:color w:val="000000"/>
        </w:rPr>
      </w:pPr>
      <w:r w:rsidRPr="00A85C11">
        <w:rPr>
          <w:rFonts w:ascii="Times New Roman" w:hAnsi="Times New Roman"/>
          <w:bCs/>
          <w:color w:val="000000"/>
        </w:rPr>
        <w:t xml:space="preserve">Anayasa’nın 13. maddesinde </w:t>
      </w:r>
      <w:r w:rsidRPr="00A85C11">
        <w:rPr>
          <w:rFonts w:ascii="Times New Roman" w:hAnsi="Times New Roman"/>
          <w:color w:val="000000"/>
        </w:rPr>
        <w:t xml:space="preserve">temel hakların kanunla sınırlandırılması ilkesine yer verilmiştir.  Kanunla sınırlama ilkesinin nedeni birey haklarına keyfi müdahaleyi engellemek olup, yasama organının açık tartışma ile kabul ettiği bir yasa çerçevesinde temel haklara müdahaleye izin verilmesi bireylerin temel haklarını korumayı amaçlamaktadır. Birey haklarına müdahaleye izin veren yasalar ancak içeriği belirli, anlamı öngörülebilir ise kendisinden beklenen faydayı sağlayacaktır. Temel haklara müdahaleye izin veren bir yasanın içeriği muğlâk ve tanınan yetkinin kapsamı konusunda belirlilik içermiyorsa yasayla sınırlama ölçütü ihlal edilmiş demektir. </w:t>
      </w:r>
    </w:p>
    <w:p w:rsidR="00A85C11" w:rsidRPr="00A85C11" w:rsidRDefault="00A85C11" w:rsidP="00A85C11">
      <w:pPr>
        <w:ind w:firstLine="851"/>
        <w:jc w:val="both"/>
        <w:rPr>
          <w:rFonts w:ascii="Times New Roman" w:hAnsi="Times New Roman"/>
          <w:color w:val="000000"/>
        </w:rPr>
      </w:pPr>
    </w:p>
    <w:p w:rsidR="00023962" w:rsidRPr="00A85C11" w:rsidRDefault="00023962" w:rsidP="00A85C11">
      <w:pPr>
        <w:ind w:firstLine="851"/>
        <w:jc w:val="both"/>
        <w:rPr>
          <w:rFonts w:ascii="Times New Roman" w:hAnsi="Times New Roman"/>
          <w:bCs/>
          <w:color w:val="000000"/>
        </w:rPr>
      </w:pPr>
      <w:r w:rsidRPr="00A85C11">
        <w:rPr>
          <w:rFonts w:ascii="Times New Roman" w:hAnsi="Times New Roman"/>
          <w:color w:val="000000"/>
        </w:rPr>
        <w:t>İptali istenen kuralda yer alan  “</w:t>
      </w:r>
      <w:r w:rsidRPr="00A85C11">
        <w:rPr>
          <w:rStyle w:val="grame"/>
          <w:rFonts w:ascii="Times New Roman" w:hAnsi="Times New Roman"/>
          <w:i/>
          <w:color w:val="000000"/>
        </w:rPr>
        <w:t xml:space="preserve">terör örgütleriyle iltisaklı veya irtibatlı bulunanlar” </w:t>
      </w:r>
      <w:r w:rsidRPr="00A85C11">
        <w:rPr>
          <w:rStyle w:val="grame"/>
          <w:rFonts w:ascii="Times New Roman" w:hAnsi="Times New Roman"/>
          <w:color w:val="000000"/>
        </w:rPr>
        <w:t>ibaresinde yer alan</w:t>
      </w:r>
      <w:r w:rsidRPr="00A85C11">
        <w:rPr>
          <w:rFonts w:ascii="Times New Roman" w:hAnsi="Times New Roman"/>
        </w:rPr>
        <w:t xml:space="preserve"> iltisak ve irtibat </w:t>
      </w:r>
      <w:r w:rsidRPr="00A85C11">
        <w:rPr>
          <w:rFonts w:ascii="Times New Roman" w:hAnsi="Times New Roman"/>
          <w:color w:val="000000"/>
        </w:rPr>
        <w:t xml:space="preserve">kavramlarının içeriği belirsiz ve öngörülemezdir.  Bir </w:t>
      </w:r>
      <w:r w:rsidRPr="00A85C11">
        <w:rPr>
          <w:rFonts w:ascii="Times New Roman" w:hAnsi="Times New Roman"/>
          <w:color w:val="000000"/>
        </w:rPr>
        <w:lastRenderedPageBreak/>
        <w:t xml:space="preserve">haktan yararlanma engeli, dolayısıyla hakkın sınırlama nedeni olarak öngörülen bu fiiller oldukça muğlâk </w:t>
      </w:r>
      <w:r w:rsidRPr="00A85C11">
        <w:rPr>
          <w:rFonts w:ascii="Times New Roman" w:hAnsi="Times New Roman"/>
        </w:rPr>
        <w:t>olup</w:t>
      </w:r>
      <w:r w:rsidRPr="00A85C11">
        <w:rPr>
          <w:rFonts w:ascii="Times New Roman" w:hAnsi="Times New Roman"/>
          <w:color w:val="000000"/>
        </w:rPr>
        <w:t xml:space="preserve"> bunların içeriğini öngörmek tamamen imkânsızdır. Hangi somut eylemlerin bu suçları oluşturduğu ve bu suçlar arasındaki farkın ne olduğunu ortaya koyan hiçbir düzenleme ya da açıklık bulunmamaktadır. Ayrıca bu tespitin nasıl ve kim tarafından yapılacağı, söz konusu tespit yapılırken bireylerin usulü güvencelerden yararlandırılıp yararlandırılmayacağı ve söz konusu tespit aleyhine yargı yollarına başvuru imkânı olup olmadığı gibi hususlar da tamamen belirsizdir. </w:t>
      </w:r>
      <w:r w:rsidRPr="00A85C11">
        <w:rPr>
          <w:rFonts w:ascii="Times New Roman" w:hAnsi="Times New Roman"/>
          <w:bCs/>
        </w:rPr>
        <w:t xml:space="preserve">Oysa bir hukuk devletinde hukuk kurallarının belli ve öngörülebilir olması asgari koşuldur. </w:t>
      </w:r>
      <w:r w:rsidRPr="00A85C11">
        <w:rPr>
          <w:rFonts w:ascii="Times New Roman" w:hAnsi="Times New Roman"/>
          <w:bCs/>
          <w:color w:val="000000"/>
        </w:rPr>
        <w:t xml:space="preserve">Hangi fiilleri dolayısıyla bireylerin yaptırıma tabi tutulabileceklerini önceden öngörebilmeleri gerekir. Adı geçen kavramların içeriği ve ağırlığı belirli olmadığı gibi uygulanacak yaptırımın ağırlığı bakımından da bir belirleme bulunmayıp tamamı aynı yaptırıma tabi tutulmuştur. Bu derece muğlâk ve belirsiz bir düzenlemenin öngörülebilir olduğunu söylemeye olanak bulunmamaktadır. </w:t>
      </w:r>
    </w:p>
    <w:p w:rsidR="00A85C11" w:rsidRPr="00A85C11" w:rsidRDefault="00A85C11" w:rsidP="00A85C11">
      <w:pPr>
        <w:ind w:firstLine="851"/>
        <w:jc w:val="both"/>
        <w:rPr>
          <w:rFonts w:ascii="Times New Roman" w:hAnsi="Times New Roman"/>
          <w:bCs/>
          <w:color w:val="000000"/>
        </w:rPr>
      </w:pPr>
    </w:p>
    <w:p w:rsidR="00023962" w:rsidRPr="00A85C11" w:rsidRDefault="00023962" w:rsidP="00A85C11">
      <w:pPr>
        <w:ind w:firstLine="851"/>
        <w:jc w:val="both"/>
        <w:rPr>
          <w:rFonts w:ascii="Times New Roman" w:hAnsi="Times New Roman"/>
          <w:bCs/>
          <w:color w:val="000000"/>
        </w:rPr>
      </w:pPr>
      <w:r w:rsidRPr="00A85C11">
        <w:rPr>
          <w:rFonts w:ascii="Times New Roman" w:hAnsi="Times New Roman"/>
          <w:bCs/>
          <w:color w:val="000000"/>
        </w:rPr>
        <w:t xml:space="preserve">Yasaların içeriğinin belirliliği ve öngörülebilirliği hukuka bağlı yönetimin en temel gereklerinden biridir. Bireyler en azından bir uzmanın yardımıyla hukuk kuralının kendisinden hangi davranışı beklediğini, davranışlarının sonuçlarının ne olacağını öngörebilmelidir. Bu birey özgürlüğünün de asgari koşuludur. Yasaların hangi davranışı yasakladığını ve hangi davranışı serbest bıraktığını öngöremeyen bir bireyin davranışlarını özgürce belirlemesi mümkün olmadığı gibi, bir davranışın sonuçlarının ne olacağını öngöremeyen bireyin davranışlarından sorumlu tutulması da birey özgürlüğü ile bağdaşmaz. Hukuk devletinin yasaların öngörülebilirliğine atfettiği önem, özgürlük ile öngörülebilirlik arasındaki bu ilişkiden kaynaklanmaktadır. Bu nedenle iptali istenen içeriği belirsiz kavramlar öncelikle Anayasa’nın 2. maddesinde Cumhuriyetin temel nitelikleri arasında sayılan hukuk devleti ilkesine açıkça aykırıdır. </w:t>
      </w:r>
    </w:p>
    <w:p w:rsidR="00A85C11" w:rsidRPr="00A85C11" w:rsidRDefault="00A85C11" w:rsidP="00A85C11">
      <w:pPr>
        <w:ind w:firstLine="851"/>
        <w:jc w:val="both"/>
        <w:rPr>
          <w:rFonts w:ascii="Times New Roman" w:hAnsi="Times New Roman"/>
          <w:bCs/>
          <w:color w:val="000000"/>
        </w:rPr>
      </w:pPr>
    </w:p>
    <w:p w:rsidR="00023962" w:rsidRPr="00A85C11" w:rsidRDefault="00023962" w:rsidP="00A85C11">
      <w:pPr>
        <w:ind w:firstLine="851"/>
        <w:jc w:val="both"/>
        <w:rPr>
          <w:rFonts w:ascii="Times New Roman" w:hAnsi="Times New Roman"/>
        </w:rPr>
      </w:pPr>
      <w:r w:rsidRPr="00A85C11">
        <w:rPr>
          <w:rFonts w:ascii="Times New Roman" w:hAnsi="Times New Roman"/>
          <w:bCs/>
          <w:color w:val="000000"/>
        </w:rPr>
        <w:t xml:space="preserve">Diğer taraftan </w:t>
      </w:r>
      <w:r w:rsidRPr="00A85C11">
        <w:rPr>
          <w:rFonts w:ascii="Times New Roman" w:hAnsi="Times New Roman"/>
        </w:rPr>
        <w:t xml:space="preserve">yukarıda belirtildiği gibi kural Anayasa’nın </w:t>
      </w:r>
      <w:r w:rsidR="009F7C9A" w:rsidRPr="00A85C11">
        <w:rPr>
          <w:rFonts w:ascii="Times New Roman" w:hAnsi="Times New Roman"/>
        </w:rPr>
        <w:t xml:space="preserve">48. ve </w:t>
      </w:r>
      <w:r w:rsidRPr="00A85C11">
        <w:rPr>
          <w:rFonts w:ascii="Times New Roman" w:hAnsi="Times New Roman"/>
        </w:rPr>
        <w:t>70. madde</w:t>
      </w:r>
      <w:r w:rsidR="009F7C9A" w:rsidRPr="00A85C11">
        <w:rPr>
          <w:rFonts w:ascii="Times New Roman" w:hAnsi="Times New Roman"/>
        </w:rPr>
        <w:t xml:space="preserve">lerinde </w:t>
      </w:r>
      <w:r w:rsidRPr="00A85C11">
        <w:rPr>
          <w:rFonts w:ascii="Times New Roman" w:hAnsi="Times New Roman"/>
        </w:rPr>
        <w:t xml:space="preserve">güvence altına alınan </w:t>
      </w:r>
      <w:r w:rsidR="009F7C9A" w:rsidRPr="00A85C11">
        <w:rPr>
          <w:rFonts w:ascii="Times New Roman" w:hAnsi="Times New Roman"/>
        </w:rPr>
        <w:t xml:space="preserve">çalışma ve </w:t>
      </w:r>
      <w:r w:rsidRPr="00A85C11">
        <w:rPr>
          <w:rFonts w:ascii="Times New Roman" w:hAnsi="Times New Roman"/>
        </w:rPr>
        <w:t>kamu hizmetine girme hak</w:t>
      </w:r>
      <w:r w:rsidR="009F7C9A" w:rsidRPr="00A85C11">
        <w:rPr>
          <w:rFonts w:ascii="Times New Roman" w:hAnsi="Times New Roman"/>
        </w:rPr>
        <w:t>ları</w:t>
      </w:r>
      <w:r w:rsidRPr="00A85C11">
        <w:rPr>
          <w:rFonts w:ascii="Times New Roman" w:hAnsi="Times New Roman"/>
        </w:rPr>
        <w:t>na müdahale teşkil etmektedir. Bu müdahale Anayasanın 13. maddesinde yer alan kanunla sınırlama kuralına da uymamaktadır. Zira içeriği belirsiz ve muğlâk bir düzenlemenin 13. maddede öngörülen kanunla sınırlama güvencesine uygun olduğu söylenemez. Aynı şekilde söz konusu kural sadece olağanüstü hal süresince uygulanacak bir kural olmayıp sürekli nitelik taşımaktadır. İptali istenen kural ile kamu görevine girme hakkına yapılan müdahale ilgili maddede öngörülen koşullara ve Anayasa’nın 13. ve 15. maddelerinde belirtilen sınırlama ölçütlerine uyulmadan yapılmış, ölçüsüz bir müdahaledir.</w:t>
      </w:r>
    </w:p>
    <w:p w:rsidR="00A85C11" w:rsidRPr="00A85C11" w:rsidRDefault="00A85C11" w:rsidP="00A85C11">
      <w:pPr>
        <w:ind w:firstLine="851"/>
        <w:jc w:val="both"/>
        <w:rPr>
          <w:rFonts w:ascii="Times New Roman" w:hAnsi="Times New Roman"/>
          <w:bCs/>
          <w:color w:val="000000"/>
        </w:rPr>
      </w:pPr>
    </w:p>
    <w:p w:rsidR="00023962" w:rsidRPr="00A85C11" w:rsidRDefault="00023962" w:rsidP="00A85C11">
      <w:pPr>
        <w:ind w:firstLine="851"/>
        <w:jc w:val="both"/>
        <w:rPr>
          <w:rFonts w:ascii="Times New Roman" w:hAnsi="Times New Roman"/>
        </w:rPr>
      </w:pPr>
      <w:r w:rsidRPr="00A85C11">
        <w:rPr>
          <w:rFonts w:ascii="Times New Roman" w:hAnsi="Times New Roman"/>
          <w:color w:val="000000"/>
        </w:rPr>
        <w:t xml:space="preserve">Ayrıca </w:t>
      </w:r>
      <w:r w:rsidRPr="00A85C11">
        <w:rPr>
          <w:rFonts w:ascii="Times New Roman" w:hAnsi="Times New Roman"/>
        </w:rPr>
        <w:t>Anayasa’nın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KHK’lar ile ceza normu konamaz.</w:t>
      </w:r>
      <w:r w:rsidRPr="00A85C11">
        <w:rPr>
          <w:rFonts w:ascii="Times New Roman" w:hAnsi="Times New Roman"/>
          <w:color w:val="000000"/>
        </w:rPr>
        <w:t xml:space="preserve"> S</w:t>
      </w:r>
      <w:r w:rsidRPr="00A85C11">
        <w:rPr>
          <w:rFonts w:ascii="Times New Roman" w:hAnsi="Times New Roman"/>
        </w:rPr>
        <w:t xml:space="preserve">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w:t>
      </w:r>
      <w:r w:rsidRPr="00A85C11">
        <w:rPr>
          <w:rFonts w:ascii="Times New Roman" w:hAnsi="Times New Roman"/>
          <w:color w:val="000000"/>
        </w:rPr>
        <w:t>Anayasa Mahkemesinin yerleşik içtihadına göre disiplin suç ve cezaları da 38. maddede öngörülen kanunilik ilkesine tabidir.</w:t>
      </w:r>
      <w:r w:rsidRPr="00A85C11">
        <w:rPr>
          <w:rFonts w:ascii="Times New Roman" w:hAnsi="Times New Roman"/>
        </w:rPr>
        <w:t xml:space="preserve"> Anayasa Mahkemesi pek çok kararında Anayasa’nın 38. maddesindeki ilkelerin disiplin suç ve cezaları için de geçerli olduğuna karar vermiştir (bkz. E.2014/100, K.2015/6, K.T. 14.1.2015;</w:t>
      </w:r>
      <w:r w:rsidRPr="00A85C11">
        <w:rPr>
          <w:rFonts w:ascii="Times New Roman" w:hAnsi="Times New Roman"/>
          <w:i/>
          <w:iCs/>
        </w:rPr>
        <w:t xml:space="preserve"> </w:t>
      </w:r>
      <w:r w:rsidRPr="00A85C11">
        <w:rPr>
          <w:rFonts w:ascii="Times New Roman" w:hAnsi="Times New Roman"/>
        </w:rPr>
        <w:t xml:space="preserve">E. 2010/28, K. 2011/139, K.T. 20.10.2011). İptali istenen kural ile getirilen yasak </w:t>
      </w:r>
      <w:r w:rsidR="009F7C9A" w:rsidRPr="00A85C11">
        <w:rPr>
          <w:rFonts w:ascii="Times New Roman" w:hAnsi="Times New Roman"/>
        </w:rPr>
        <w:t>arabuluculuk</w:t>
      </w:r>
      <w:r w:rsidRPr="00A85C11">
        <w:rPr>
          <w:rFonts w:ascii="Times New Roman" w:hAnsi="Times New Roman"/>
        </w:rPr>
        <w:t xml:space="preserve"> mesleğine kabulü engelleyen bir tür disiplin </w:t>
      </w:r>
      <w:r w:rsidRPr="00A85C11">
        <w:rPr>
          <w:rFonts w:ascii="Times New Roman" w:hAnsi="Times New Roman"/>
        </w:rPr>
        <w:lastRenderedPageBreak/>
        <w:t>yaptırımı niteliği de taşımaktadır. Mesleğe kabul edilmeme sonucunu doğuracak fiilleri düzenleyen kuralın hangi eylemin bu sonucu doğuracağını açık bir şekilde ortaya koyması gerekir. Oysa yukarıda belirtildiği gibi bu kavramların içeriği ve kapsamı belli olmadığı gibi, bu açıklığı sağlayacak ne bir alt düzenleme ne de yargısal içtihat ortaya çıkmış değildir. Nitekim Venedik Komisyonu da OHAL KHK’larına ilişkin olarak yayınladığı 9-10 Aralık 2016 tarihli görüşünün (</w:t>
      </w:r>
      <w:proofErr w:type="spellStart"/>
      <w:r w:rsidRPr="00A85C11">
        <w:rPr>
          <w:rFonts w:ascii="Times New Roman" w:hAnsi="Times New Roman"/>
          <w:color w:val="000000"/>
        </w:rPr>
        <w:t>Turkey</w:t>
      </w:r>
      <w:proofErr w:type="spellEnd"/>
      <w:r w:rsidRPr="00A85C11">
        <w:rPr>
          <w:rFonts w:ascii="Times New Roman" w:hAnsi="Times New Roman"/>
          <w:color w:val="000000"/>
        </w:rPr>
        <w:t xml:space="preserve"> - </w:t>
      </w:r>
      <w:proofErr w:type="spellStart"/>
      <w:r w:rsidRPr="00A85C11">
        <w:rPr>
          <w:rFonts w:ascii="Times New Roman" w:hAnsi="Times New Roman"/>
          <w:color w:val="000000"/>
        </w:rPr>
        <w:t>Opinion</w:t>
      </w:r>
      <w:proofErr w:type="spellEnd"/>
      <w:r w:rsidRPr="00A85C11">
        <w:rPr>
          <w:rFonts w:ascii="Times New Roman" w:hAnsi="Times New Roman"/>
          <w:color w:val="000000"/>
        </w:rPr>
        <w:t xml:space="preserve"> on </w:t>
      </w:r>
      <w:proofErr w:type="spellStart"/>
      <w:r w:rsidRPr="00A85C11">
        <w:rPr>
          <w:rFonts w:ascii="Times New Roman" w:hAnsi="Times New Roman"/>
          <w:color w:val="000000"/>
        </w:rPr>
        <w:t>Emergency</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Decree</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Laws</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Nos</w:t>
      </w:r>
      <w:proofErr w:type="spellEnd"/>
      <w:r w:rsidRPr="00A85C11">
        <w:rPr>
          <w:rFonts w:ascii="Times New Roman" w:hAnsi="Times New Roman"/>
          <w:color w:val="000000"/>
        </w:rPr>
        <w:t xml:space="preserve"> 667-676 </w:t>
      </w:r>
      <w:proofErr w:type="spellStart"/>
      <w:r w:rsidRPr="00A85C11">
        <w:rPr>
          <w:rFonts w:ascii="Times New Roman" w:hAnsi="Times New Roman"/>
          <w:color w:val="000000"/>
        </w:rPr>
        <w:t>adopted</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following</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the</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failed</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coup</w:t>
      </w:r>
      <w:proofErr w:type="spellEnd"/>
      <w:r w:rsidRPr="00A85C11">
        <w:rPr>
          <w:rFonts w:ascii="Times New Roman" w:hAnsi="Times New Roman"/>
          <w:color w:val="000000"/>
        </w:rPr>
        <w:t xml:space="preserve"> of 15 </w:t>
      </w:r>
      <w:proofErr w:type="spellStart"/>
      <w:r w:rsidRPr="00A85C11">
        <w:rPr>
          <w:rFonts w:ascii="Times New Roman" w:hAnsi="Times New Roman"/>
          <w:color w:val="000000"/>
        </w:rPr>
        <w:t>July</w:t>
      </w:r>
      <w:proofErr w:type="spellEnd"/>
      <w:r w:rsidRPr="00A85C11">
        <w:rPr>
          <w:rFonts w:ascii="Times New Roman" w:hAnsi="Times New Roman"/>
          <w:color w:val="000000"/>
        </w:rPr>
        <w:t xml:space="preserve"> 2016, 9-10 </w:t>
      </w:r>
      <w:proofErr w:type="spellStart"/>
      <w:r w:rsidRPr="00A85C11">
        <w:rPr>
          <w:rFonts w:ascii="Times New Roman" w:hAnsi="Times New Roman"/>
          <w:color w:val="000000"/>
        </w:rPr>
        <w:t>December</w:t>
      </w:r>
      <w:proofErr w:type="spellEnd"/>
      <w:r w:rsidRPr="00A85C11">
        <w:rPr>
          <w:rFonts w:ascii="Times New Roman" w:hAnsi="Times New Roman"/>
          <w:color w:val="000000"/>
        </w:rPr>
        <w:t xml:space="preserve"> 2016, [CDL-AD(2016)037-e]) </w:t>
      </w:r>
      <w:r w:rsidRPr="00A85C11">
        <w:rPr>
          <w:rFonts w:ascii="Times New Roman" w:hAnsi="Times New Roman"/>
        </w:rPr>
        <w:t xml:space="preserve">128-131. paragraflarında bu duruma açıkça dikkat çekmiş ve kavramların içeriğinin açıklığa kavuşturulmasını tavsiye etmiştir. Venedik Komisyonunun görüşünün yayınlandığı günden bu zamana kadar da bu açıklığı sağlayacak herhangi bir gelişme yaşanmamıştır. </w:t>
      </w:r>
    </w:p>
    <w:p w:rsidR="00A85C11" w:rsidRPr="00A85C11" w:rsidRDefault="00A85C11" w:rsidP="00A85C11">
      <w:pPr>
        <w:ind w:firstLine="851"/>
        <w:jc w:val="both"/>
        <w:rPr>
          <w:rFonts w:ascii="Times New Roman" w:hAnsi="Times New Roman"/>
        </w:rPr>
      </w:pPr>
    </w:p>
    <w:p w:rsidR="00023962" w:rsidRPr="00A85C11" w:rsidRDefault="00023962" w:rsidP="00A85C11">
      <w:pPr>
        <w:ind w:firstLine="851"/>
        <w:jc w:val="both"/>
        <w:rPr>
          <w:rFonts w:ascii="Times New Roman" w:hAnsi="Times New Roman"/>
        </w:rPr>
      </w:pPr>
      <w:r w:rsidRPr="00A85C11">
        <w:rPr>
          <w:rFonts w:ascii="Times New Roman" w:hAnsi="Times New Roman"/>
        </w:rPr>
        <w:t xml:space="preserve">Ayrıca bu kuralın geçmişe yürütülerek uygulanması olasılığı da çok yüksektir. Zira terör örgütleriyle irtibat ve iltisak belirlemesinin KHK ile görevden alınanları da kapsar şekilde uygulanacağı açıktır. Oysa KHK’lar ile görevden almaların tamamında söz konusu kavramlar geçmişe yürütülerek uygulanmıştır ve bu geçmişe yürürlü uygulamaya bazı sonuçlar bağlamak bu uygulamayı devam ettirmek anlamına gelecektir. Bu nedenle de kural Anayasa’nın 38. maddesinde güvence altına alınan ceza normlarının geçmişe yürümezliği ilkesine aykırılık oluşturmaktadır. </w:t>
      </w:r>
    </w:p>
    <w:p w:rsidR="00A85C11" w:rsidRPr="00A85C11" w:rsidRDefault="00A85C11" w:rsidP="00A85C11">
      <w:pPr>
        <w:ind w:firstLine="851"/>
        <w:jc w:val="both"/>
        <w:rPr>
          <w:rFonts w:ascii="Times New Roman" w:hAnsi="Times New Roman"/>
        </w:rPr>
      </w:pPr>
    </w:p>
    <w:p w:rsidR="00023962" w:rsidRPr="00A85C11" w:rsidRDefault="00023962" w:rsidP="00A85C11">
      <w:pPr>
        <w:ind w:firstLine="851"/>
        <w:jc w:val="both"/>
        <w:rPr>
          <w:rFonts w:ascii="Times New Roman" w:hAnsi="Times New Roman"/>
        </w:rPr>
      </w:pPr>
      <w:r w:rsidRPr="00A85C11">
        <w:rPr>
          <w:rFonts w:ascii="Times New Roman" w:hAnsi="Times New Roman"/>
        </w:rPr>
        <w:t>Açıklanan nedenlerle iptali istenen kural Anayasa’nın 2., 13., 15., 38.</w:t>
      </w:r>
      <w:r w:rsidR="009F7C9A" w:rsidRPr="00A85C11">
        <w:rPr>
          <w:rFonts w:ascii="Times New Roman" w:hAnsi="Times New Roman"/>
        </w:rPr>
        <w:t>, 48.</w:t>
      </w:r>
      <w:r w:rsidRPr="00A85C11">
        <w:rPr>
          <w:rFonts w:ascii="Times New Roman" w:hAnsi="Times New Roman"/>
        </w:rPr>
        <w:t xml:space="preserve"> ve 70. maddelerine açıkça aykırıdır ve iptali gerekir.</w:t>
      </w:r>
    </w:p>
    <w:p w:rsidR="00A85C11" w:rsidRPr="00A85C11" w:rsidRDefault="00A85C11" w:rsidP="00A85C11">
      <w:pPr>
        <w:ind w:firstLine="851"/>
        <w:jc w:val="both"/>
        <w:rPr>
          <w:rFonts w:ascii="Times New Roman" w:hAnsi="Times New Roman"/>
        </w:rPr>
      </w:pPr>
    </w:p>
    <w:p w:rsidR="009F7C9A" w:rsidRPr="00A85C11" w:rsidRDefault="009F7C9A" w:rsidP="00A85C11">
      <w:pPr>
        <w:pStyle w:val="ListParagraph"/>
        <w:tabs>
          <w:tab w:val="left" w:pos="0"/>
        </w:tabs>
        <w:ind w:left="0" w:firstLine="851"/>
        <w:jc w:val="both"/>
        <w:rPr>
          <w:rFonts w:ascii="Times New Roman" w:hAnsi="Times New Roman"/>
        </w:rPr>
      </w:pPr>
      <w:r w:rsidRPr="00A85C11">
        <w:rPr>
          <w:rFonts w:ascii="Times New Roman" w:hAnsi="Times New Roman"/>
        </w:rPr>
        <w:t xml:space="preserve">3. 01/02/2018 tarih ve 7069 sayılı Olağanüstü Hal Kapsamında Bazı Düzenlemeler Yapılması Hakkında Kanun Hükmünde Kararnamenin Değiştirilerek Kabul Edilmesine Dair Kanun’un 10. maddesiyle </w:t>
      </w:r>
      <w:r w:rsidRPr="00A85C11">
        <w:rPr>
          <w:rFonts w:ascii="Times New Roman" w:hAnsi="Times New Roman"/>
          <w:color w:val="000000"/>
          <w:lang w:eastAsia="tr-TR"/>
        </w:rPr>
        <w:t xml:space="preserve">3/11/2016 tarihli ve 6754 sayılı Bilirkişilik Kanununun 10 uncu maddesinin birinci fıkrasına (a) bendinden sonra gelmek üzere </w:t>
      </w:r>
      <w:r w:rsidRPr="00A85C11">
        <w:rPr>
          <w:rFonts w:ascii="Times New Roman" w:hAnsi="Times New Roman"/>
        </w:rPr>
        <w:t>eklenen (b) bendi</w:t>
      </w:r>
      <w:r w:rsidR="007114F5" w:rsidRPr="00A85C11">
        <w:rPr>
          <w:rFonts w:ascii="Times New Roman" w:hAnsi="Times New Roman"/>
        </w:rPr>
        <w:t>nin Anayasaya aykırılığı</w:t>
      </w:r>
      <w:r w:rsidRPr="00A85C11">
        <w:rPr>
          <w:rFonts w:ascii="Times New Roman" w:hAnsi="Times New Roman"/>
        </w:rPr>
        <w:t xml:space="preserve"> </w:t>
      </w:r>
    </w:p>
    <w:p w:rsidR="00861F6A" w:rsidRPr="00A85C11" w:rsidRDefault="00861F6A" w:rsidP="00A85C11">
      <w:pPr>
        <w:ind w:firstLine="851"/>
        <w:jc w:val="both"/>
        <w:rPr>
          <w:rFonts w:ascii="Times New Roman" w:hAnsi="Times New Roman"/>
          <w:color w:val="000000"/>
        </w:rPr>
      </w:pPr>
    </w:p>
    <w:p w:rsidR="009F7C9A" w:rsidRPr="00A85C11" w:rsidRDefault="009F7C9A" w:rsidP="00A85C11">
      <w:pPr>
        <w:ind w:firstLine="851"/>
        <w:jc w:val="both"/>
        <w:rPr>
          <w:rFonts w:ascii="Times New Roman" w:hAnsi="Times New Roman"/>
          <w:color w:val="000000"/>
        </w:rPr>
      </w:pPr>
      <w:r w:rsidRPr="00A85C11">
        <w:rPr>
          <w:rFonts w:ascii="Times New Roman" w:hAnsi="Times New Roman"/>
          <w:color w:val="000000"/>
        </w:rPr>
        <w:t>6</w:t>
      </w:r>
      <w:r w:rsidR="00732159" w:rsidRPr="00A85C11">
        <w:rPr>
          <w:rFonts w:ascii="Times New Roman" w:hAnsi="Times New Roman"/>
          <w:color w:val="000000"/>
        </w:rPr>
        <w:t>754</w:t>
      </w:r>
      <w:r w:rsidRPr="00A85C11">
        <w:rPr>
          <w:rFonts w:ascii="Times New Roman" w:hAnsi="Times New Roman"/>
          <w:color w:val="000000"/>
        </w:rPr>
        <w:t xml:space="preserve"> sayılı Kanun’un </w:t>
      </w:r>
      <w:r w:rsidR="00732159" w:rsidRPr="00A85C11">
        <w:rPr>
          <w:rFonts w:ascii="Times New Roman" w:hAnsi="Times New Roman"/>
          <w:color w:val="000000"/>
        </w:rPr>
        <w:t>1</w:t>
      </w:r>
      <w:r w:rsidRPr="00A85C11">
        <w:rPr>
          <w:rFonts w:ascii="Times New Roman" w:hAnsi="Times New Roman"/>
          <w:color w:val="000000"/>
        </w:rPr>
        <w:t xml:space="preserve">0. maddesinde </w:t>
      </w:r>
      <w:r w:rsidR="00732159" w:rsidRPr="00A85C11">
        <w:rPr>
          <w:rFonts w:ascii="Times New Roman" w:hAnsi="Times New Roman"/>
          <w:color w:val="000000"/>
        </w:rPr>
        <w:t>bilirkişiliğe kabul</w:t>
      </w:r>
      <w:r w:rsidRPr="00A85C11">
        <w:rPr>
          <w:rFonts w:ascii="Times New Roman" w:hAnsi="Times New Roman"/>
          <w:color w:val="000000"/>
        </w:rPr>
        <w:t xml:space="preserve"> koşulları düzenlenmiştir. İptali istenen bentte terör örgütleriyle iltisaklı veya irtibatlı bulunanların, </w:t>
      </w:r>
      <w:r w:rsidR="00732159" w:rsidRPr="00A85C11">
        <w:rPr>
          <w:rFonts w:ascii="Times New Roman" w:hAnsi="Times New Roman"/>
          <w:color w:val="000000"/>
        </w:rPr>
        <w:t>bilirkişiliğe kabul edilmeyeceği</w:t>
      </w:r>
      <w:r w:rsidRPr="00A85C11">
        <w:rPr>
          <w:rFonts w:ascii="Times New Roman" w:hAnsi="Times New Roman"/>
          <w:color w:val="000000"/>
        </w:rPr>
        <w:t xml:space="preserve"> hükmüne yer verilmiştir. Buna göre terör örgütleriyle iltisaklı veya irtibatlı bulunanlar </w:t>
      </w:r>
      <w:r w:rsidR="00732159" w:rsidRPr="00A85C11">
        <w:rPr>
          <w:rFonts w:ascii="Times New Roman" w:hAnsi="Times New Roman"/>
          <w:color w:val="000000"/>
        </w:rPr>
        <w:t xml:space="preserve">bilirkişiler bölge kuruluna </w:t>
      </w:r>
      <w:r w:rsidRPr="00A85C11">
        <w:rPr>
          <w:rFonts w:ascii="Times New Roman" w:hAnsi="Times New Roman"/>
          <w:color w:val="000000"/>
        </w:rPr>
        <w:t xml:space="preserve">kayıt edilmeyecek dolayısıyla </w:t>
      </w:r>
      <w:r w:rsidR="00732159" w:rsidRPr="00A85C11">
        <w:rPr>
          <w:rFonts w:ascii="Times New Roman" w:hAnsi="Times New Roman"/>
          <w:color w:val="000000"/>
        </w:rPr>
        <w:t>bilirkişilik</w:t>
      </w:r>
      <w:r w:rsidRPr="00A85C11">
        <w:rPr>
          <w:rFonts w:ascii="Times New Roman" w:hAnsi="Times New Roman"/>
          <w:color w:val="000000"/>
        </w:rPr>
        <w:t xml:space="preserve"> yapamayacaktır. </w:t>
      </w:r>
    </w:p>
    <w:p w:rsidR="00A85C11" w:rsidRPr="00A85C11" w:rsidRDefault="00A85C11" w:rsidP="00A85C11">
      <w:pPr>
        <w:ind w:firstLine="851"/>
        <w:jc w:val="both"/>
        <w:rPr>
          <w:rFonts w:ascii="Times New Roman" w:hAnsi="Times New Roman"/>
          <w:color w:val="000000"/>
        </w:rPr>
      </w:pPr>
    </w:p>
    <w:p w:rsidR="009F7C9A" w:rsidRPr="00A85C11" w:rsidRDefault="009F7C9A" w:rsidP="00A85C11">
      <w:pPr>
        <w:ind w:firstLine="851"/>
        <w:jc w:val="both"/>
        <w:rPr>
          <w:rFonts w:ascii="Times New Roman" w:hAnsi="Times New Roman"/>
          <w:color w:val="000000"/>
        </w:rPr>
      </w:pPr>
      <w:r w:rsidRPr="00A85C11">
        <w:rPr>
          <w:rFonts w:ascii="Times New Roman" w:hAnsi="Times New Roman"/>
          <w:color w:val="000000"/>
        </w:rPr>
        <w:t xml:space="preserve">Kanun’un 2. maddesinde </w:t>
      </w:r>
      <w:r w:rsidR="00732159" w:rsidRPr="00A85C11">
        <w:rPr>
          <w:rFonts w:ascii="Times New Roman" w:hAnsi="Times New Roman"/>
          <w:color w:val="000000"/>
        </w:rPr>
        <w:t xml:space="preserve">bilirkişi, çözümü uzmanlığı, özel veya teknik bilgiyi gerektiren hâllerde oy ve görüşünü sözlü veya yazılı olarak vermesi için başvurulan gerçek veya özel hukuk tüzel kişisi </w:t>
      </w:r>
      <w:r w:rsidRPr="00A85C11">
        <w:rPr>
          <w:rFonts w:ascii="Times New Roman" w:hAnsi="Times New Roman"/>
          <w:color w:val="000000"/>
        </w:rPr>
        <w:t xml:space="preserve">şeklinde tanımlanmıştır. </w:t>
      </w:r>
      <w:r w:rsidR="00732159" w:rsidRPr="00A85C11">
        <w:rPr>
          <w:rFonts w:ascii="Times New Roman" w:hAnsi="Times New Roman"/>
          <w:color w:val="000000"/>
        </w:rPr>
        <w:t>Bilirkişi</w:t>
      </w:r>
      <w:r w:rsidRPr="00A85C11">
        <w:rPr>
          <w:rFonts w:ascii="Times New Roman" w:hAnsi="Times New Roman"/>
          <w:color w:val="000000"/>
        </w:rPr>
        <w:t xml:space="preserve"> sıfatını kazanmak ve </w:t>
      </w:r>
      <w:r w:rsidR="00732159" w:rsidRPr="00A85C11">
        <w:rPr>
          <w:rFonts w:ascii="Times New Roman" w:hAnsi="Times New Roman"/>
          <w:color w:val="000000"/>
        </w:rPr>
        <w:t>bilirkişilik</w:t>
      </w:r>
      <w:r w:rsidRPr="00A85C11">
        <w:rPr>
          <w:rFonts w:ascii="Times New Roman" w:hAnsi="Times New Roman"/>
          <w:color w:val="000000"/>
        </w:rPr>
        <w:t xml:space="preserve"> faaliyeti yürütebilmek için </w:t>
      </w:r>
      <w:r w:rsidR="00732159" w:rsidRPr="00A85C11">
        <w:rPr>
          <w:rFonts w:ascii="Times New Roman" w:hAnsi="Times New Roman"/>
          <w:color w:val="000000"/>
        </w:rPr>
        <w:t>bölge kurullarınca tutulan bilirkişi</w:t>
      </w:r>
      <w:r w:rsidRPr="00A85C11">
        <w:rPr>
          <w:rFonts w:ascii="Times New Roman" w:hAnsi="Times New Roman"/>
          <w:color w:val="000000"/>
        </w:rPr>
        <w:t xml:space="preserve"> siciline kayıt olmak gerekmektedir. </w:t>
      </w:r>
    </w:p>
    <w:p w:rsidR="00A85C11" w:rsidRPr="00A85C11" w:rsidRDefault="00A85C11" w:rsidP="00A85C11">
      <w:pPr>
        <w:ind w:firstLine="851"/>
        <w:jc w:val="both"/>
        <w:rPr>
          <w:rFonts w:ascii="Times New Roman" w:hAnsi="Times New Roman"/>
          <w:color w:val="000000"/>
        </w:rPr>
      </w:pPr>
    </w:p>
    <w:p w:rsidR="009F7C9A" w:rsidRPr="00A85C11" w:rsidRDefault="009F7C9A" w:rsidP="00A85C11">
      <w:pPr>
        <w:ind w:firstLine="851"/>
        <w:jc w:val="both"/>
        <w:rPr>
          <w:rFonts w:ascii="Times New Roman" w:hAnsi="Times New Roman"/>
          <w:color w:val="000000"/>
        </w:rPr>
      </w:pPr>
      <w:r w:rsidRPr="00A85C11">
        <w:rPr>
          <w:rFonts w:ascii="Times New Roman" w:hAnsi="Times New Roman"/>
          <w:color w:val="000000"/>
        </w:rPr>
        <w:t xml:space="preserve">Kanundaki tanımdan </w:t>
      </w:r>
      <w:r w:rsidR="00732159" w:rsidRPr="00A85C11">
        <w:rPr>
          <w:rFonts w:ascii="Times New Roman" w:hAnsi="Times New Roman"/>
          <w:color w:val="000000"/>
        </w:rPr>
        <w:t>bilirkişiliğin</w:t>
      </w:r>
      <w:r w:rsidRPr="00A85C11">
        <w:rPr>
          <w:rFonts w:ascii="Times New Roman" w:hAnsi="Times New Roman"/>
          <w:color w:val="000000"/>
        </w:rPr>
        <w:t xml:space="preserve"> bir serbest meslek olarak düzenlendiği anlaşılmaktadır. Bir serbest mesleğin icrası Anayasa</w:t>
      </w:r>
      <w:r w:rsidR="007114F5" w:rsidRPr="00A85C11">
        <w:rPr>
          <w:rFonts w:ascii="Times New Roman" w:hAnsi="Times New Roman"/>
          <w:color w:val="000000"/>
        </w:rPr>
        <w:t>’</w:t>
      </w:r>
      <w:r w:rsidRPr="00A85C11">
        <w:rPr>
          <w:rFonts w:ascii="Times New Roman" w:hAnsi="Times New Roman"/>
          <w:color w:val="000000"/>
        </w:rPr>
        <w:t xml:space="preserve">nın 48. maddesinde güvence altına alınan çalışma ve teşebbüs özgürlüğü kapsamında olduğunda kuşku bulunmamaktadır. 48. maddeye göre herkes dilediği alanda çalışma ve sözleşme hürriyetine sahiptir. Ancak </w:t>
      </w:r>
      <w:r w:rsidR="007114F5" w:rsidRPr="00A85C11">
        <w:rPr>
          <w:rFonts w:ascii="Times New Roman" w:hAnsi="Times New Roman"/>
          <w:color w:val="000000"/>
        </w:rPr>
        <w:t>bilirkişilik</w:t>
      </w:r>
      <w:r w:rsidRPr="00A85C11">
        <w:rPr>
          <w:rFonts w:ascii="Times New Roman" w:hAnsi="Times New Roman"/>
          <w:color w:val="000000"/>
        </w:rPr>
        <w:t xml:space="preserve"> bir kamu hizmeti olarak görülürse bu aynı zamanda 70. maddenin koruması altında olduğu anlamına gelecektir. Anayasanın 70. maddesinde kamu hizmetine girme bir temel hak olarak düzenlenmiş ve kamu hizmetine girmede mesleğin gerektirdiği niteliklerin dışında </w:t>
      </w:r>
      <w:r w:rsidRPr="00A85C11">
        <w:rPr>
          <w:rFonts w:ascii="Times New Roman" w:hAnsi="Times New Roman"/>
          <w:color w:val="000000"/>
        </w:rPr>
        <w:lastRenderedPageBreak/>
        <w:t xml:space="preserve">hiçbir ayrım gözetilemeyeceği hükmüne yer verilmiştir. Dolayısıyla iptali istenen düzenleme ile Anayasa’nın 48. ve 70. maddelerinde güvence altına alınan haklara müdahale edilmiştir. </w:t>
      </w:r>
    </w:p>
    <w:p w:rsidR="00A85C11" w:rsidRPr="00A85C11" w:rsidRDefault="00A85C11" w:rsidP="00A85C11">
      <w:pPr>
        <w:ind w:firstLine="851"/>
        <w:jc w:val="both"/>
        <w:rPr>
          <w:rFonts w:ascii="Times New Roman" w:hAnsi="Times New Roman"/>
          <w:color w:val="000000"/>
        </w:rPr>
      </w:pPr>
    </w:p>
    <w:p w:rsidR="009F7C9A" w:rsidRPr="00A85C11" w:rsidRDefault="009F7C9A" w:rsidP="00A85C11">
      <w:pPr>
        <w:ind w:firstLine="851"/>
        <w:jc w:val="both"/>
        <w:rPr>
          <w:rFonts w:ascii="Times New Roman" w:hAnsi="Times New Roman"/>
          <w:color w:val="000000"/>
        </w:rPr>
      </w:pPr>
      <w:r w:rsidRPr="00A85C11">
        <w:rPr>
          <w:rFonts w:ascii="Times New Roman" w:hAnsi="Times New Roman"/>
          <w:bCs/>
          <w:color w:val="000000"/>
        </w:rPr>
        <w:t xml:space="preserve">Anayasa’nın 13. maddesinde </w:t>
      </w:r>
      <w:r w:rsidRPr="00A85C11">
        <w:rPr>
          <w:rFonts w:ascii="Times New Roman" w:hAnsi="Times New Roman"/>
          <w:color w:val="000000"/>
        </w:rPr>
        <w:t xml:space="preserve">temel hakların kanunla sınırlandırılması ilkesine yer verilmiştir.  Kanunla sınırlama ilkesinin nedeni birey haklarına keyfi müdahaleyi engellemek olup, yasama organının açık tartışma ile kabul ettiği bir yasa çerçevesinde temel haklara müdahaleye izin verilmesi bireylerin temel haklarını korumayı amaçlamaktadır. Birey haklarına müdahaleye izin veren yasalar ancak içeriği belirli, anlamı öngörülebilir ise kendisinden beklenen faydayı sağlayacaktır. Temel haklara müdahaleye izin veren bir yasanın içeriği muğlâk ve tanınan yetkinin kapsamı konusunda belirlilik içermiyorsa yasayla sınırlama ölçütü ihlal edilmiş demektir. </w:t>
      </w:r>
    </w:p>
    <w:p w:rsidR="00A85C11" w:rsidRPr="00A85C11" w:rsidRDefault="00A85C11" w:rsidP="00A85C11">
      <w:pPr>
        <w:ind w:firstLine="851"/>
        <w:jc w:val="both"/>
        <w:rPr>
          <w:rFonts w:ascii="Times New Roman" w:hAnsi="Times New Roman"/>
          <w:color w:val="000000"/>
        </w:rPr>
      </w:pPr>
    </w:p>
    <w:p w:rsidR="009F7C9A" w:rsidRPr="00A85C11" w:rsidRDefault="009F7C9A" w:rsidP="00A85C11">
      <w:pPr>
        <w:ind w:firstLine="851"/>
        <w:jc w:val="both"/>
        <w:rPr>
          <w:rFonts w:ascii="Times New Roman" w:hAnsi="Times New Roman"/>
          <w:bCs/>
          <w:color w:val="000000"/>
        </w:rPr>
      </w:pPr>
      <w:r w:rsidRPr="00A85C11">
        <w:rPr>
          <w:rFonts w:ascii="Times New Roman" w:hAnsi="Times New Roman"/>
          <w:color w:val="000000"/>
        </w:rPr>
        <w:t>İptali istenen kuralda yer alan  “</w:t>
      </w:r>
      <w:r w:rsidRPr="00A85C11">
        <w:rPr>
          <w:rStyle w:val="grame"/>
          <w:rFonts w:ascii="Times New Roman" w:hAnsi="Times New Roman"/>
          <w:i/>
          <w:color w:val="000000"/>
        </w:rPr>
        <w:t xml:space="preserve">terör örgütleriyle iltisaklı veya irtibatlı bulunanlar” </w:t>
      </w:r>
      <w:r w:rsidRPr="00A85C11">
        <w:rPr>
          <w:rStyle w:val="grame"/>
          <w:rFonts w:ascii="Times New Roman" w:hAnsi="Times New Roman"/>
          <w:color w:val="000000"/>
        </w:rPr>
        <w:t>ibaresinde yer alan</w:t>
      </w:r>
      <w:r w:rsidRPr="00A85C11">
        <w:rPr>
          <w:rFonts w:ascii="Times New Roman" w:hAnsi="Times New Roman"/>
        </w:rPr>
        <w:t xml:space="preserve"> iltisak ve irtibat </w:t>
      </w:r>
      <w:r w:rsidRPr="00A85C11">
        <w:rPr>
          <w:rFonts w:ascii="Times New Roman" w:hAnsi="Times New Roman"/>
          <w:color w:val="000000"/>
        </w:rPr>
        <w:t xml:space="preserve">kavramlarının içeriği belirsiz ve öngörülemezdir.  Bir haktan yararlanma engeli, dolayısıyla hakkın sınırlama nedeni olarak öngörülen bu fiiller oldukça muğlâk </w:t>
      </w:r>
      <w:r w:rsidRPr="00A85C11">
        <w:rPr>
          <w:rFonts w:ascii="Times New Roman" w:hAnsi="Times New Roman"/>
        </w:rPr>
        <w:t>olup</w:t>
      </w:r>
      <w:r w:rsidRPr="00A85C11">
        <w:rPr>
          <w:rFonts w:ascii="Times New Roman" w:hAnsi="Times New Roman"/>
          <w:color w:val="000000"/>
        </w:rPr>
        <w:t xml:space="preserve"> bunların içeriğini öngörmek tamamen imkânsızdır. Hangi somut eylemlerin bu suçları oluşturduğu ve bu suçlar arasındaki farkın ne olduğunu ortaya koyan hiçbir düzenleme ya da açıklık bulunmamaktadır. Ayrıca bu tespitin nasıl ve kim tarafından yapılacağı, söz konusu tespit yapılırken bireylerin usulü güvencelerden yararlandırılıp yararlandırılmayacağı ve söz konusu tespit aleyhine yargı yollarına başvuru imkânı olup olmadığı gibi hususlar da tamamen belirsizdir. </w:t>
      </w:r>
      <w:r w:rsidRPr="00A85C11">
        <w:rPr>
          <w:rFonts w:ascii="Times New Roman" w:hAnsi="Times New Roman"/>
          <w:bCs/>
        </w:rPr>
        <w:t xml:space="preserve">Oysa bir hukuk devletinde hukuk kurallarının belli ve öngörülebilir olması asgari koşuldur. </w:t>
      </w:r>
      <w:r w:rsidRPr="00A85C11">
        <w:rPr>
          <w:rFonts w:ascii="Times New Roman" w:hAnsi="Times New Roman"/>
          <w:bCs/>
          <w:color w:val="000000"/>
        </w:rPr>
        <w:t xml:space="preserve">Hangi fiilleri dolayısıyla bireylerin yaptırıma tabi tutulabileceklerini önceden öngörebilmeleri gerekir. Adı geçen kavramların içeriği ve ağırlığı belirli olmadığı gibi uygulanacak yaptırımın ağırlığı bakımından da bir belirleme bulunmayıp tamamı aynı yaptırıma tabi tutulmuştur. Bu derece muğlâk ve belirsiz bir düzenlemenin öngörülebilir olduğunu söylemeye olanak bulunmamaktadır. </w:t>
      </w:r>
    </w:p>
    <w:p w:rsidR="00A85C11" w:rsidRPr="00A85C11" w:rsidRDefault="00A85C11" w:rsidP="00A85C11">
      <w:pPr>
        <w:ind w:firstLine="851"/>
        <w:jc w:val="both"/>
        <w:rPr>
          <w:rFonts w:ascii="Times New Roman" w:hAnsi="Times New Roman"/>
          <w:bCs/>
          <w:color w:val="000000"/>
        </w:rPr>
      </w:pPr>
    </w:p>
    <w:p w:rsidR="009F7C9A" w:rsidRPr="00A85C11" w:rsidRDefault="009F7C9A" w:rsidP="00A85C11">
      <w:pPr>
        <w:ind w:firstLine="851"/>
        <w:jc w:val="both"/>
        <w:rPr>
          <w:rFonts w:ascii="Times New Roman" w:hAnsi="Times New Roman"/>
          <w:bCs/>
          <w:color w:val="000000"/>
        </w:rPr>
      </w:pPr>
      <w:r w:rsidRPr="00A85C11">
        <w:rPr>
          <w:rFonts w:ascii="Times New Roman" w:hAnsi="Times New Roman"/>
          <w:bCs/>
          <w:color w:val="000000"/>
        </w:rPr>
        <w:t xml:space="preserve">Yasaların içeriğinin belirliliği ve öngörülebilirliği hukuka bağlı yönetimin en temel gereklerinden biridir. Bireyler en azından bir uzmanın yardımıyla hukuk kuralının kendisinden hangi davranışı beklediğini, davranışlarının sonuçlarının ne olacağını öngörebilmelidir. Bu birey özgürlüğünün de asgari koşuludur. Yasaların hangi davranışı yasakladığını ve hangi davranışı serbest bıraktığını öngöremeyen bir bireyin davranışlarını özgürce belirlemesi mümkün olmadığı gibi, bir davranışın sonuçlarının ne olacağını öngöremeyen bireyin davranışlarından sorumlu tutulması da birey özgürlüğü ile bağdaşmaz. Hukuk devletinin yasaların öngörülebilirliğine atfettiği önem, özgürlük ile öngörülebilirlik arasındaki bu ilişkiden kaynaklanmaktadır. Bu nedenle iptali istenen içeriği belirsiz kavramlar öncelikle Anayasa’nın 2. maddesinde Cumhuriyetin temel nitelikleri arasında sayılan hukuk devleti ilkesine açıkça aykırıdır. </w:t>
      </w:r>
    </w:p>
    <w:p w:rsidR="00A85C11" w:rsidRPr="00A85C11" w:rsidRDefault="00A85C11" w:rsidP="00A85C11">
      <w:pPr>
        <w:ind w:firstLine="851"/>
        <w:jc w:val="both"/>
        <w:rPr>
          <w:rFonts w:ascii="Times New Roman" w:hAnsi="Times New Roman"/>
          <w:bCs/>
          <w:color w:val="000000"/>
        </w:rPr>
      </w:pPr>
    </w:p>
    <w:p w:rsidR="009F7C9A" w:rsidRPr="00A85C11" w:rsidRDefault="009F7C9A" w:rsidP="00A85C11">
      <w:pPr>
        <w:ind w:firstLine="851"/>
        <w:jc w:val="both"/>
        <w:rPr>
          <w:rFonts w:ascii="Times New Roman" w:hAnsi="Times New Roman"/>
          <w:bCs/>
          <w:color w:val="000000"/>
        </w:rPr>
      </w:pPr>
      <w:r w:rsidRPr="00A85C11">
        <w:rPr>
          <w:rFonts w:ascii="Times New Roman" w:hAnsi="Times New Roman"/>
          <w:bCs/>
          <w:color w:val="000000"/>
        </w:rPr>
        <w:t xml:space="preserve">Diğer taraftan </w:t>
      </w:r>
      <w:r w:rsidRPr="00A85C11">
        <w:rPr>
          <w:rFonts w:ascii="Times New Roman" w:hAnsi="Times New Roman"/>
        </w:rPr>
        <w:t>yukarıda belirtildiği gibi kural Anayasa’nın 48. ve 70. maddelerinde güvence altına alınan çalışma ve kamu hizmetine girme haklarına müdahale teşkil etmektedir. Bu müdahale Anayasanın 13. maddesinde yer alan kanunla sınırlama kuralına da uymamaktadır. Zira içeriği belirsiz ve muğlâk bir düzenlemenin 13. maddede öngörülen kanunla sınırlama güvencesine uygun olduğu söylenemez. Aynı şekilde söz konusu kural sadece olağanüstü hal süresince uygulanacak bir kural olmayıp sürekli nitelik taşımaktadır. İptali istenen kural ile kamu görevine girme hakkına yapılan müdahale ilgili maddede öngörülen koşullara ve Anayasa’nın 13. ve 15. maddelerinde belirtilen sınırlama ölçütlerine uyulmadan yapılmış, ölçüsüz bir müdahaledir.</w:t>
      </w:r>
    </w:p>
    <w:p w:rsidR="009F7C9A" w:rsidRPr="00A85C11" w:rsidRDefault="009F7C9A" w:rsidP="00A85C11">
      <w:pPr>
        <w:ind w:firstLine="851"/>
        <w:jc w:val="both"/>
        <w:rPr>
          <w:rFonts w:ascii="Times New Roman" w:hAnsi="Times New Roman"/>
        </w:rPr>
      </w:pPr>
      <w:r w:rsidRPr="00A85C11">
        <w:rPr>
          <w:rFonts w:ascii="Times New Roman" w:hAnsi="Times New Roman"/>
          <w:color w:val="000000"/>
        </w:rPr>
        <w:lastRenderedPageBreak/>
        <w:t xml:space="preserve">Ayrıca </w:t>
      </w:r>
      <w:r w:rsidRPr="00A85C11">
        <w:rPr>
          <w:rFonts w:ascii="Times New Roman" w:hAnsi="Times New Roman"/>
        </w:rPr>
        <w:t>Anayasa’nın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KHK’lar ile ceza normu konamaz.</w:t>
      </w:r>
      <w:r w:rsidRPr="00A85C11">
        <w:rPr>
          <w:rFonts w:ascii="Times New Roman" w:hAnsi="Times New Roman"/>
          <w:color w:val="000000"/>
        </w:rPr>
        <w:t xml:space="preserve"> S</w:t>
      </w:r>
      <w:r w:rsidRPr="00A85C11">
        <w:rPr>
          <w:rFonts w:ascii="Times New Roman" w:hAnsi="Times New Roman"/>
        </w:rPr>
        <w:t xml:space="preserve">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w:t>
      </w:r>
      <w:r w:rsidRPr="00A85C11">
        <w:rPr>
          <w:rFonts w:ascii="Times New Roman" w:hAnsi="Times New Roman"/>
          <w:color w:val="000000"/>
        </w:rPr>
        <w:t>Anayasa Mahkemesinin yerleşik içtihadına göre disiplin suç ve cezaları da 38. maddede öngörülen kanunilik ilkesine tabidir.</w:t>
      </w:r>
      <w:r w:rsidRPr="00A85C11">
        <w:rPr>
          <w:rFonts w:ascii="Times New Roman" w:hAnsi="Times New Roman"/>
        </w:rPr>
        <w:t xml:space="preserve"> Anayasa Mahkemesi pek çok kararında Anayasa’nın 38. maddesindeki ilkelerin disiplin suç ve cezaları için de geçerli olduğuna karar vermiştir (bkz. E.2014/100, K.2015/6, K.T. 14.1.2015;</w:t>
      </w:r>
      <w:r w:rsidRPr="00A85C11">
        <w:rPr>
          <w:rFonts w:ascii="Times New Roman" w:hAnsi="Times New Roman"/>
          <w:i/>
          <w:iCs/>
        </w:rPr>
        <w:t xml:space="preserve"> </w:t>
      </w:r>
      <w:r w:rsidRPr="00A85C11">
        <w:rPr>
          <w:rFonts w:ascii="Times New Roman" w:hAnsi="Times New Roman"/>
        </w:rPr>
        <w:t xml:space="preserve">E. 2010/28, K. 2011/139, K.T. 20.10.2011). İptali istenen kural ile getirilen yasak </w:t>
      </w:r>
      <w:r w:rsidR="007114F5" w:rsidRPr="00A85C11">
        <w:rPr>
          <w:rFonts w:ascii="Times New Roman" w:hAnsi="Times New Roman"/>
        </w:rPr>
        <w:t>bilirkişilik</w:t>
      </w:r>
      <w:r w:rsidRPr="00A85C11">
        <w:rPr>
          <w:rFonts w:ascii="Times New Roman" w:hAnsi="Times New Roman"/>
        </w:rPr>
        <w:t xml:space="preserve"> mesleğine kabulü engelleyen bir tür disiplin yaptırımı niteliği de taşımaktadır. Mesleğe kabul edilmeme sonucunu doğuracak fiilleri düzenleyen kuralın hangi eylemin bu sonucu doğuracağını açık bir şekilde ortaya koyması gerekir. Oysa yukarıda belirtildiği gibi bu kavramların içeriği ve kapsamı belli olmadığı gibi, bu açıklığı sağlayacak ne bir alt düzenleme ne de yargısal içtihat ortaya çıkmış değildir. Nitekim Venedik Komisyonu da OHAL KHK’larına ilişkin olarak yayınladığı 9-10 Aralık 2016 tarihli görüşünün (</w:t>
      </w:r>
      <w:proofErr w:type="spellStart"/>
      <w:r w:rsidRPr="00A85C11">
        <w:rPr>
          <w:rFonts w:ascii="Times New Roman" w:hAnsi="Times New Roman"/>
          <w:color w:val="000000"/>
        </w:rPr>
        <w:t>Turkey</w:t>
      </w:r>
      <w:proofErr w:type="spellEnd"/>
      <w:r w:rsidRPr="00A85C11">
        <w:rPr>
          <w:rFonts w:ascii="Times New Roman" w:hAnsi="Times New Roman"/>
          <w:color w:val="000000"/>
        </w:rPr>
        <w:t xml:space="preserve"> - </w:t>
      </w:r>
      <w:proofErr w:type="spellStart"/>
      <w:r w:rsidRPr="00A85C11">
        <w:rPr>
          <w:rFonts w:ascii="Times New Roman" w:hAnsi="Times New Roman"/>
          <w:color w:val="000000"/>
        </w:rPr>
        <w:t>Opinion</w:t>
      </w:r>
      <w:proofErr w:type="spellEnd"/>
      <w:r w:rsidRPr="00A85C11">
        <w:rPr>
          <w:rFonts w:ascii="Times New Roman" w:hAnsi="Times New Roman"/>
          <w:color w:val="000000"/>
        </w:rPr>
        <w:t xml:space="preserve"> on </w:t>
      </w:r>
      <w:proofErr w:type="spellStart"/>
      <w:r w:rsidRPr="00A85C11">
        <w:rPr>
          <w:rFonts w:ascii="Times New Roman" w:hAnsi="Times New Roman"/>
          <w:color w:val="000000"/>
        </w:rPr>
        <w:t>Emergency</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Decree</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Laws</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Nos</w:t>
      </w:r>
      <w:proofErr w:type="spellEnd"/>
      <w:r w:rsidRPr="00A85C11">
        <w:rPr>
          <w:rFonts w:ascii="Times New Roman" w:hAnsi="Times New Roman"/>
          <w:color w:val="000000"/>
        </w:rPr>
        <w:t xml:space="preserve"> 667-676 </w:t>
      </w:r>
      <w:proofErr w:type="spellStart"/>
      <w:r w:rsidRPr="00A85C11">
        <w:rPr>
          <w:rFonts w:ascii="Times New Roman" w:hAnsi="Times New Roman"/>
          <w:color w:val="000000"/>
        </w:rPr>
        <w:t>adopted</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following</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the</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failed</w:t>
      </w:r>
      <w:proofErr w:type="spellEnd"/>
      <w:r w:rsidRPr="00A85C11">
        <w:rPr>
          <w:rFonts w:ascii="Times New Roman" w:hAnsi="Times New Roman"/>
          <w:color w:val="000000"/>
        </w:rPr>
        <w:t xml:space="preserve"> </w:t>
      </w:r>
      <w:proofErr w:type="spellStart"/>
      <w:r w:rsidRPr="00A85C11">
        <w:rPr>
          <w:rFonts w:ascii="Times New Roman" w:hAnsi="Times New Roman"/>
          <w:color w:val="000000"/>
        </w:rPr>
        <w:t>coup</w:t>
      </w:r>
      <w:proofErr w:type="spellEnd"/>
      <w:r w:rsidRPr="00A85C11">
        <w:rPr>
          <w:rFonts w:ascii="Times New Roman" w:hAnsi="Times New Roman"/>
          <w:color w:val="000000"/>
        </w:rPr>
        <w:t xml:space="preserve"> of 15 </w:t>
      </w:r>
      <w:proofErr w:type="spellStart"/>
      <w:r w:rsidRPr="00A85C11">
        <w:rPr>
          <w:rFonts w:ascii="Times New Roman" w:hAnsi="Times New Roman"/>
          <w:color w:val="000000"/>
        </w:rPr>
        <w:t>July</w:t>
      </w:r>
      <w:proofErr w:type="spellEnd"/>
      <w:r w:rsidRPr="00A85C11">
        <w:rPr>
          <w:rFonts w:ascii="Times New Roman" w:hAnsi="Times New Roman"/>
          <w:color w:val="000000"/>
        </w:rPr>
        <w:t xml:space="preserve"> 2016, 9-10 </w:t>
      </w:r>
      <w:proofErr w:type="spellStart"/>
      <w:r w:rsidRPr="00A85C11">
        <w:rPr>
          <w:rFonts w:ascii="Times New Roman" w:hAnsi="Times New Roman"/>
          <w:color w:val="000000"/>
        </w:rPr>
        <w:t>December</w:t>
      </w:r>
      <w:proofErr w:type="spellEnd"/>
      <w:r w:rsidRPr="00A85C11">
        <w:rPr>
          <w:rFonts w:ascii="Times New Roman" w:hAnsi="Times New Roman"/>
          <w:color w:val="000000"/>
        </w:rPr>
        <w:t xml:space="preserve"> 2016, [CDL-AD(2016)037-e]) </w:t>
      </w:r>
      <w:r w:rsidRPr="00A85C11">
        <w:rPr>
          <w:rFonts w:ascii="Times New Roman" w:hAnsi="Times New Roman"/>
        </w:rPr>
        <w:t xml:space="preserve">128-131. paragraflarında bu duruma açıkça dikkat çekmiş ve kavramların içeriğinin açıklığa kavuşturulmasını tavsiye etmiştir. Venedik Komisyonunun görüşünün yayınlandığı günden bu zamana kadar da bu açıklığı sağlayacak herhangi bir gelişme yaşanmamıştır. </w:t>
      </w:r>
    </w:p>
    <w:p w:rsidR="00A85C11" w:rsidRPr="00A85C11" w:rsidRDefault="00A85C11" w:rsidP="00A85C11">
      <w:pPr>
        <w:ind w:firstLine="851"/>
        <w:jc w:val="both"/>
        <w:rPr>
          <w:rFonts w:ascii="Times New Roman" w:hAnsi="Times New Roman"/>
        </w:rPr>
      </w:pPr>
    </w:p>
    <w:p w:rsidR="009F7C9A" w:rsidRPr="00A85C11" w:rsidRDefault="009F7C9A" w:rsidP="00A85C11">
      <w:pPr>
        <w:ind w:firstLine="851"/>
        <w:jc w:val="both"/>
        <w:rPr>
          <w:rFonts w:ascii="Times New Roman" w:hAnsi="Times New Roman"/>
        </w:rPr>
      </w:pPr>
      <w:r w:rsidRPr="00A85C11">
        <w:rPr>
          <w:rFonts w:ascii="Times New Roman" w:hAnsi="Times New Roman"/>
        </w:rPr>
        <w:t xml:space="preserve">Ayrıca bu kuralın geçmişe yürütülerek uygulanması olasılığı da çok yüksektir. Zira terör örgütleriyle irtibat ve iltisak belirlemesinin KHK ile görevden alınanları da kapsar şekilde uygulanacağı açıktır. Oysa KHK’lar ile görevden almaların tamamında söz konusu kavramlar geçmişe yürütülerek uygulanmıştır ve bu geçmişe yürürlü uygulamaya bazı sonuçlar bağlamak bu uygulamayı devam ettirmek anlamına gelecektir. Bu nedenle de kural Anayasa’nın 38. maddesinde güvence altına alınan ceza normlarının geçmişe yürümezliği ilkesine aykırılık oluşturmaktadır. </w:t>
      </w:r>
    </w:p>
    <w:p w:rsidR="00A85C11" w:rsidRPr="00A85C11" w:rsidRDefault="00A85C11" w:rsidP="00A85C11">
      <w:pPr>
        <w:ind w:firstLine="851"/>
        <w:jc w:val="both"/>
        <w:rPr>
          <w:rFonts w:ascii="Times New Roman" w:hAnsi="Times New Roman"/>
        </w:rPr>
      </w:pPr>
    </w:p>
    <w:p w:rsidR="009F7C9A" w:rsidRPr="00A85C11" w:rsidRDefault="009F7C9A" w:rsidP="00A85C11">
      <w:pPr>
        <w:ind w:firstLine="851"/>
        <w:jc w:val="both"/>
        <w:rPr>
          <w:rFonts w:ascii="Times New Roman" w:hAnsi="Times New Roman"/>
        </w:rPr>
      </w:pPr>
      <w:r w:rsidRPr="00A85C11">
        <w:rPr>
          <w:rFonts w:ascii="Times New Roman" w:hAnsi="Times New Roman"/>
        </w:rPr>
        <w:t>Açıklanan nedenlerle iptali istenen kural Anayasa’nın 2., 13., 15., 38., 48. ve 70. maddelerine açıkça aykırıdır ve iptali gerekir.</w:t>
      </w:r>
    </w:p>
    <w:p w:rsidR="00A85C11" w:rsidRPr="00A85C11" w:rsidRDefault="00A85C11" w:rsidP="00A85C11">
      <w:pPr>
        <w:ind w:firstLine="851"/>
        <w:jc w:val="both"/>
        <w:rPr>
          <w:rFonts w:ascii="Times New Roman" w:hAnsi="Times New Roman"/>
        </w:rPr>
      </w:pPr>
    </w:p>
    <w:p w:rsidR="00596C30" w:rsidRPr="00A85C11" w:rsidRDefault="00596C30" w:rsidP="00A85C11">
      <w:pPr>
        <w:ind w:firstLine="851"/>
        <w:jc w:val="both"/>
        <w:rPr>
          <w:rFonts w:ascii="Times New Roman" w:hAnsi="Times New Roman"/>
        </w:rPr>
      </w:pPr>
      <w:r w:rsidRPr="00A85C11">
        <w:rPr>
          <w:rFonts w:ascii="Times New Roman" w:hAnsi="Times New Roman"/>
        </w:rPr>
        <w:t>III. YÜRÜRLÜĞÜ DURDURMA İSTEMİNİN GEREKÇESİ</w:t>
      </w:r>
    </w:p>
    <w:p w:rsidR="00A85C11" w:rsidRPr="00A85C11" w:rsidRDefault="00A85C11" w:rsidP="00A85C11">
      <w:pPr>
        <w:ind w:firstLine="851"/>
        <w:jc w:val="both"/>
        <w:rPr>
          <w:rFonts w:ascii="Times New Roman" w:hAnsi="Times New Roman"/>
        </w:rPr>
      </w:pPr>
    </w:p>
    <w:p w:rsidR="00596C30" w:rsidRPr="00A85C11" w:rsidRDefault="00596C30" w:rsidP="00A85C11">
      <w:pPr>
        <w:ind w:firstLine="851"/>
        <w:jc w:val="both"/>
        <w:rPr>
          <w:rFonts w:ascii="Times New Roman" w:hAnsi="Times New Roman"/>
        </w:rPr>
      </w:pPr>
      <w:r w:rsidRPr="00A85C11">
        <w:rPr>
          <w:rFonts w:ascii="Times New Roman" w:hAnsi="Times New Roman"/>
        </w:rPr>
        <w:t xml:space="preserve">Anayasa Mahkemesinin 7069 sayılı Kanun’un Anayasaya aykırı gördüğümüz maddelerinin anayasa uygunluğunu incelemesi ve esastan karara bağlaması zaman alabilecektir. Yargı denetimi yürütme organının hukuk devleti sınırları içinde kalmasını sağlayan en etkili araçtır. </w:t>
      </w:r>
    </w:p>
    <w:p w:rsidR="00A85C11" w:rsidRPr="00A85C11" w:rsidRDefault="00A85C11" w:rsidP="00A85C11">
      <w:pPr>
        <w:ind w:firstLine="851"/>
        <w:jc w:val="both"/>
        <w:rPr>
          <w:rFonts w:ascii="Times New Roman" w:hAnsi="Times New Roman"/>
        </w:rPr>
      </w:pPr>
    </w:p>
    <w:p w:rsidR="00596C30" w:rsidRPr="00A85C11" w:rsidRDefault="00596C30" w:rsidP="00A85C11">
      <w:pPr>
        <w:ind w:firstLine="851"/>
        <w:jc w:val="both"/>
        <w:rPr>
          <w:rFonts w:ascii="Times New Roman" w:hAnsi="Times New Roman"/>
        </w:rPr>
      </w:pPr>
      <w:r w:rsidRPr="00A85C11">
        <w:rPr>
          <w:rFonts w:ascii="Times New Roman" w:hAnsi="Times New Roman"/>
        </w:rPr>
        <w:t xml:space="preserve">Olağanüstü hallerde yargı denetiminin önemi daha da artmakta, devlet organlarının işlemlerinin yargı denetimine bağlı tutulması, yasama organının Anayasanın çizdiği sınırlar içinde kalmasını sağlamak ve temel hak ve özgürlüklerin korunması bakımından özellikle önem taşımaktadır. </w:t>
      </w:r>
    </w:p>
    <w:p w:rsidR="00A85C11" w:rsidRPr="00A85C11" w:rsidRDefault="00A85C11" w:rsidP="00A85C11">
      <w:pPr>
        <w:ind w:firstLine="851"/>
        <w:jc w:val="both"/>
        <w:rPr>
          <w:rFonts w:ascii="Times New Roman" w:hAnsi="Times New Roman"/>
        </w:rPr>
      </w:pPr>
    </w:p>
    <w:p w:rsidR="00596C30" w:rsidRPr="00A85C11" w:rsidRDefault="00596C30" w:rsidP="00A85C11">
      <w:pPr>
        <w:ind w:firstLine="851"/>
        <w:jc w:val="both"/>
        <w:rPr>
          <w:rFonts w:ascii="Times New Roman" w:hAnsi="Times New Roman"/>
        </w:rPr>
      </w:pPr>
      <w:r w:rsidRPr="00A85C11">
        <w:rPr>
          <w:rFonts w:ascii="Times New Roman" w:hAnsi="Times New Roman"/>
        </w:rPr>
        <w:lastRenderedPageBreak/>
        <w:t>İptalini istediğimiz 7069 sayılı Kanun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Gazete'de yayımlanacağı güne kadar yürürlüğün durdurulması istemiyle iptal davası açılmıştır.</w:t>
      </w:r>
    </w:p>
    <w:p w:rsidR="00596C30" w:rsidRPr="00A85C11" w:rsidRDefault="00596C30" w:rsidP="00A85C11">
      <w:pPr>
        <w:widowControl w:val="0"/>
        <w:autoSpaceDE w:val="0"/>
        <w:autoSpaceDN w:val="0"/>
        <w:adjustRightInd w:val="0"/>
        <w:ind w:firstLine="851"/>
        <w:jc w:val="both"/>
        <w:rPr>
          <w:rFonts w:ascii="Times New Roman" w:hAnsi="Times New Roman"/>
        </w:rPr>
      </w:pPr>
    </w:p>
    <w:p w:rsidR="00596C30" w:rsidRPr="00A85C11" w:rsidRDefault="00596C30" w:rsidP="00A85C11">
      <w:pPr>
        <w:ind w:firstLine="851"/>
        <w:jc w:val="both"/>
        <w:rPr>
          <w:rFonts w:ascii="Times New Roman" w:hAnsi="Times New Roman"/>
          <w:color w:val="000000"/>
        </w:rPr>
      </w:pPr>
      <w:r w:rsidRPr="00A85C11">
        <w:rPr>
          <w:rFonts w:ascii="Times New Roman" w:hAnsi="Times New Roman"/>
          <w:color w:val="000000"/>
        </w:rPr>
        <w:t>IV. SONUÇ VE İSTEM</w:t>
      </w:r>
    </w:p>
    <w:p w:rsidR="00A85C11" w:rsidRPr="00A85C11" w:rsidRDefault="00A85C11" w:rsidP="00A85C11">
      <w:pPr>
        <w:ind w:firstLine="851"/>
        <w:jc w:val="both"/>
        <w:rPr>
          <w:rFonts w:ascii="Times New Roman" w:hAnsi="Times New Roman"/>
          <w:color w:val="000000"/>
        </w:rPr>
      </w:pPr>
    </w:p>
    <w:p w:rsidR="007114F5" w:rsidRPr="00A85C11" w:rsidRDefault="00596C30" w:rsidP="00A85C11">
      <w:pPr>
        <w:pStyle w:val="ListParagraph"/>
        <w:tabs>
          <w:tab w:val="left" w:pos="0"/>
        </w:tabs>
        <w:ind w:left="0" w:firstLine="851"/>
        <w:jc w:val="both"/>
        <w:rPr>
          <w:rFonts w:ascii="Times New Roman" w:hAnsi="Times New Roman"/>
        </w:rPr>
      </w:pPr>
      <w:r w:rsidRPr="00A85C11">
        <w:rPr>
          <w:rFonts w:ascii="Times New Roman" w:hAnsi="Times New Roman"/>
        </w:rPr>
        <w:t>01/02/2018 tarih ve 7069</w:t>
      </w:r>
      <w:r w:rsidR="0004211C" w:rsidRPr="00A85C11">
        <w:rPr>
          <w:rFonts w:ascii="Times New Roman" w:hAnsi="Times New Roman"/>
        </w:rPr>
        <w:t xml:space="preserve"> sayılı </w:t>
      </w:r>
      <w:r w:rsidRPr="00A85C11">
        <w:rPr>
          <w:rFonts w:ascii="Times New Roman" w:hAnsi="Times New Roman"/>
        </w:rPr>
        <w:t>Olağanüstü Hal Kapsamında Bazı Düzenlemeler Yapılması Hakkında Kanun Hükmünde Kararnamenin Değiştirilerek Kabul Edilmesine Dair Ka</w:t>
      </w:r>
      <w:r w:rsidR="0004211C" w:rsidRPr="00A85C11">
        <w:rPr>
          <w:rFonts w:ascii="Times New Roman" w:hAnsi="Times New Roman"/>
        </w:rPr>
        <w:t>nun’</w:t>
      </w:r>
      <w:r w:rsidRPr="00A85C11">
        <w:rPr>
          <w:rFonts w:ascii="Times New Roman" w:hAnsi="Times New Roman"/>
        </w:rPr>
        <w:t>un</w:t>
      </w:r>
      <w:r w:rsidR="0004211C" w:rsidRPr="00A85C11">
        <w:rPr>
          <w:rFonts w:ascii="Times New Roman" w:hAnsi="Times New Roman"/>
        </w:rPr>
        <w:t xml:space="preserve"> </w:t>
      </w:r>
    </w:p>
    <w:p w:rsidR="00A85C11" w:rsidRPr="00A85C11" w:rsidRDefault="00A85C11" w:rsidP="00A85C11">
      <w:pPr>
        <w:pStyle w:val="ListParagraph"/>
        <w:tabs>
          <w:tab w:val="left" w:pos="0"/>
        </w:tabs>
        <w:ind w:left="0" w:firstLine="851"/>
        <w:jc w:val="both"/>
        <w:rPr>
          <w:rFonts w:ascii="Times New Roman" w:hAnsi="Times New Roman"/>
        </w:rPr>
      </w:pPr>
    </w:p>
    <w:p w:rsidR="007114F5" w:rsidRPr="00A85C11" w:rsidRDefault="00A85C11" w:rsidP="00A85C11">
      <w:pPr>
        <w:pStyle w:val="ListParagraph"/>
        <w:tabs>
          <w:tab w:val="left" w:pos="0"/>
        </w:tabs>
        <w:ind w:left="0" w:firstLine="851"/>
        <w:jc w:val="both"/>
        <w:rPr>
          <w:rFonts w:ascii="Times New Roman" w:hAnsi="Times New Roman"/>
        </w:rPr>
      </w:pPr>
      <w:r>
        <w:rPr>
          <w:rFonts w:ascii="Times New Roman" w:hAnsi="Times New Roman"/>
        </w:rPr>
        <w:t xml:space="preserve">1) </w:t>
      </w:r>
      <w:r w:rsidR="0004211C" w:rsidRPr="00A85C11">
        <w:rPr>
          <w:rFonts w:ascii="Times New Roman" w:hAnsi="Times New Roman"/>
        </w:rPr>
        <w:t>6. maddesiyle 18/1/1972 tarihli ve 1512 sayılı Noterlik Kanununun 7 </w:t>
      </w:r>
      <w:proofErr w:type="spellStart"/>
      <w:r w:rsidR="0004211C" w:rsidRPr="00A85C11">
        <w:rPr>
          <w:rFonts w:ascii="Times New Roman" w:hAnsi="Times New Roman"/>
        </w:rPr>
        <w:t>nci</w:t>
      </w:r>
      <w:proofErr w:type="spellEnd"/>
      <w:r w:rsidR="0004211C" w:rsidRPr="00A85C11">
        <w:rPr>
          <w:rFonts w:ascii="Times New Roman" w:hAnsi="Times New Roman"/>
        </w:rPr>
        <w:t> maddesinin ikinci fıkrasına “olanlar” ibaresinden sonra gelmek üzere eklenen “</w:t>
      </w:r>
      <w:r w:rsidR="0004211C" w:rsidRPr="00A85C11">
        <w:rPr>
          <w:rFonts w:ascii="Times New Roman" w:hAnsi="Times New Roman"/>
          <w:i/>
        </w:rPr>
        <w:t>ile terör örgütleriyle iltisaklı veya irtibatlı bulunanlar</w:t>
      </w:r>
      <w:r w:rsidR="0004211C" w:rsidRPr="00A85C11">
        <w:rPr>
          <w:rFonts w:ascii="Times New Roman" w:hAnsi="Times New Roman"/>
        </w:rPr>
        <w:t>” ibaresinin Anayasa’nın 2., 13., 15., 38. ve 70. maddelerine</w:t>
      </w:r>
      <w:r w:rsidR="007114F5" w:rsidRPr="00A85C11">
        <w:rPr>
          <w:rFonts w:ascii="Times New Roman" w:hAnsi="Times New Roman"/>
        </w:rPr>
        <w:t>,</w:t>
      </w:r>
    </w:p>
    <w:p w:rsidR="00A85C11" w:rsidRPr="00A85C11" w:rsidRDefault="00A85C11" w:rsidP="00A85C11">
      <w:pPr>
        <w:pStyle w:val="ListParagraph"/>
        <w:tabs>
          <w:tab w:val="left" w:pos="0"/>
        </w:tabs>
        <w:ind w:left="851"/>
        <w:jc w:val="both"/>
        <w:rPr>
          <w:rFonts w:ascii="Times New Roman" w:hAnsi="Times New Roman"/>
        </w:rPr>
      </w:pPr>
    </w:p>
    <w:p w:rsidR="007114F5" w:rsidRPr="00A85C11" w:rsidRDefault="00A85C11" w:rsidP="00A85C11">
      <w:pPr>
        <w:pStyle w:val="ListParagraph"/>
        <w:tabs>
          <w:tab w:val="left" w:pos="0"/>
        </w:tabs>
        <w:ind w:left="0" w:firstLine="851"/>
        <w:jc w:val="both"/>
        <w:rPr>
          <w:rFonts w:ascii="Times New Roman" w:hAnsi="Times New Roman"/>
        </w:rPr>
      </w:pPr>
      <w:r>
        <w:rPr>
          <w:rFonts w:ascii="Times New Roman" w:hAnsi="Times New Roman"/>
        </w:rPr>
        <w:t xml:space="preserve">2) </w:t>
      </w:r>
      <w:r w:rsidR="007114F5" w:rsidRPr="00A85C11">
        <w:rPr>
          <w:rFonts w:ascii="Times New Roman" w:hAnsi="Times New Roman"/>
        </w:rPr>
        <w:t xml:space="preserve">9. maddesiyle </w:t>
      </w:r>
      <w:r w:rsidR="007114F5" w:rsidRPr="00A85C11">
        <w:rPr>
          <w:rFonts w:ascii="Times New Roman" w:hAnsi="Times New Roman"/>
          <w:color w:val="000000"/>
          <w:lang w:eastAsia="tr-TR"/>
        </w:rPr>
        <w:t>/6/2012 tarihli ve 6325 sayılı Hukuk Uyuşmazlıklarında Arabuluculuk Kanununun 20 </w:t>
      </w:r>
      <w:proofErr w:type="spellStart"/>
      <w:r w:rsidR="007114F5" w:rsidRPr="00A85C11">
        <w:rPr>
          <w:rFonts w:ascii="Times New Roman" w:hAnsi="Times New Roman"/>
          <w:color w:val="000000"/>
          <w:lang w:eastAsia="tr-TR"/>
        </w:rPr>
        <w:t>nci</w:t>
      </w:r>
      <w:proofErr w:type="spellEnd"/>
      <w:r w:rsidR="007114F5" w:rsidRPr="00A85C11">
        <w:rPr>
          <w:rFonts w:ascii="Times New Roman" w:hAnsi="Times New Roman"/>
          <w:color w:val="000000"/>
          <w:lang w:eastAsia="tr-TR"/>
        </w:rPr>
        <w:t xml:space="preserve"> maddesinin ikinci fıkrasına (ç) bendinden sonra gelmek üzere </w:t>
      </w:r>
      <w:r w:rsidR="007114F5" w:rsidRPr="00A85C11">
        <w:rPr>
          <w:rFonts w:ascii="Times New Roman" w:hAnsi="Times New Roman"/>
        </w:rPr>
        <w:t>eklenen (d) bendinin Anayasa’nın 2., 13., 15., 38., 48. ve 70. maddelerine,</w:t>
      </w:r>
    </w:p>
    <w:p w:rsidR="00A85C11" w:rsidRPr="00A85C11" w:rsidRDefault="00A85C11" w:rsidP="00A85C11">
      <w:pPr>
        <w:pStyle w:val="ListeParagraf"/>
        <w:rPr>
          <w:rFonts w:ascii="Times New Roman" w:hAnsi="Times New Roman"/>
        </w:rPr>
      </w:pPr>
    </w:p>
    <w:p w:rsidR="00A85C11" w:rsidRPr="00A85C11" w:rsidRDefault="00A85C11" w:rsidP="00A85C11">
      <w:pPr>
        <w:pStyle w:val="ListParagraph"/>
        <w:tabs>
          <w:tab w:val="left" w:pos="0"/>
        </w:tabs>
        <w:ind w:left="851"/>
        <w:jc w:val="both"/>
        <w:rPr>
          <w:rFonts w:ascii="Times New Roman" w:hAnsi="Times New Roman"/>
        </w:rPr>
      </w:pPr>
    </w:p>
    <w:p w:rsidR="007114F5" w:rsidRPr="00A85C11" w:rsidRDefault="00A85C11" w:rsidP="00A85C11">
      <w:pPr>
        <w:pStyle w:val="ListParagraph"/>
        <w:tabs>
          <w:tab w:val="left" w:pos="0"/>
        </w:tabs>
        <w:ind w:left="0" w:firstLine="851"/>
        <w:jc w:val="both"/>
        <w:rPr>
          <w:rFonts w:ascii="Times New Roman" w:hAnsi="Times New Roman"/>
        </w:rPr>
      </w:pPr>
      <w:r>
        <w:rPr>
          <w:rFonts w:ascii="Times New Roman" w:hAnsi="Times New Roman"/>
        </w:rPr>
        <w:t xml:space="preserve">3) </w:t>
      </w:r>
      <w:r w:rsidR="007114F5" w:rsidRPr="00A85C11">
        <w:rPr>
          <w:rFonts w:ascii="Times New Roman" w:hAnsi="Times New Roman"/>
        </w:rPr>
        <w:t>10. maddesiyle 3/11/2016 tarihli ve 6754 sayılı Bilirkişilik Kanununun 10 uncu maddesinin birinci fıkrasına (a) bendinden sonra gelmek üzere eklenen (b) bendinin Anayasa’nın 2., 13., 15., 38., 48. ve 70. maddelerine,</w:t>
      </w:r>
    </w:p>
    <w:p w:rsidR="00861F6A" w:rsidRPr="00A85C11" w:rsidRDefault="0004211C" w:rsidP="00A85C11">
      <w:pPr>
        <w:pStyle w:val="ListParagraph"/>
        <w:tabs>
          <w:tab w:val="left" w:pos="0"/>
        </w:tabs>
        <w:ind w:left="0" w:firstLine="851"/>
        <w:jc w:val="both"/>
        <w:rPr>
          <w:rFonts w:ascii="Times New Roman" w:hAnsi="Times New Roman"/>
        </w:rPr>
      </w:pPr>
      <w:r w:rsidRPr="00A85C11">
        <w:rPr>
          <w:rFonts w:ascii="Times New Roman" w:hAnsi="Times New Roman"/>
        </w:rPr>
        <w:t xml:space="preserve"> </w:t>
      </w:r>
    </w:p>
    <w:p w:rsidR="0004211C" w:rsidRPr="00A85C11" w:rsidRDefault="0004211C" w:rsidP="00A85C11">
      <w:pPr>
        <w:pStyle w:val="ListParagraph"/>
        <w:tabs>
          <w:tab w:val="left" w:pos="0"/>
        </w:tabs>
        <w:ind w:left="0" w:firstLine="851"/>
        <w:jc w:val="both"/>
        <w:rPr>
          <w:rFonts w:ascii="Times New Roman" w:hAnsi="Times New Roman"/>
          <w:color w:val="000000"/>
        </w:rPr>
      </w:pPr>
      <w:r w:rsidRPr="00A85C11">
        <w:rPr>
          <w:rFonts w:ascii="Times New Roman" w:hAnsi="Times New Roman"/>
          <w:color w:val="000000"/>
        </w:rPr>
        <w:t>aykırı olması nedeniyle iptal</w:t>
      </w:r>
      <w:r w:rsidR="007114F5" w:rsidRPr="00A85C11">
        <w:rPr>
          <w:rFonts w:ascii="Times New Roman" w:hAnsi="Times New Roman"/>
          <w:color w:val="000000"/>
        </w:rPr>
        <w:t>ler</w:t>
      </w:r>
      <w:r w:rsidRPr="00A85C11">
        <w:rPr>
          <w:rFonts w:ascii="Times New Roman" w:hAnsi="Times New Roman"/>
          <w:color w:val="000000"/>
        </w:rPr>
        <w:t>ine ve uygulanması halinde giderilmesi güç ya da olanaksız zarar ve durumlar olacağı için, iptal davası sonuçlanıncaya kadar yürürlü</w:t>
      </w:r>
      <w:r w:rsidR="007114F5" w:rsidRPr="00A85C11">
        <w:rPr>
          <w:rFonts w:ascii="Times New Roman" w:hAnsi="Times New Roman"/>
          <w:color w:val="000000"/>
        </w:rPr>
        <w:t>klerinin</w:t>
      </w:r>
      <w:r w:rsidRPr="00A85C11">
        <w:rPr>
          <w:rFonts w:ascii="Times New Roman" w:hAnsi="Times New Roman"/>
          <w:color w:val="000000"/>
        </w:rPr>
        <w:t xml:space="preserve"> durdurulmasına karar verilmesine ilişkin istemimizi saygı ile arz ederiz.</w:t>
      </w:r>
      <w:r w:rsidR="00A85C11" w:rsidRPr="00A85C11">
        <w:rPr>
          <w:rFonts w:ascii="Times New Roman" w:hAnsi="Times New Roman"/>
          <w:color w:val="000000"/>
        </w:rPr>
        <w:t>”</w:t>
      </w:r>
    </w:p>
    <w:p w:rsidR="007114F5" w:rsidRPr="00A85C11" w:rsidRDefault="007114F5" w:rsidP="00A85C11">
      <w:pPr>
        <w:pStyle w:val="ListParagraph"/>
        <w:tabs>
          <w:tab w:val="left" w:pos="0"/>
        </w:tabs>
        <w:ind w:left="0" w:firstLine="851"/>
        <w:jc w:val="both"/>
        <w:rPr>
          <w:rFonts w:ascii="Times New Roman" w:hAnsi="Times New Roman"/>
          <w:color w:val="000000"/>
        </w:rPr>
      </w:pPr>
    </w:p>
    <w:p w:rsidR="00497228" w:rsidRPr="00A85C11" w:rsidRDefault="00497228" w:rsidP="00A85C11">
      <w:pPr>
        <w:pStyle w:val="ListParagraph"/>
        <w:tabs>
          <w:tab w:val="left" w:pos="0"/>
        </w:tabs>
        <w:ind w:left="0" w:firstLine="851"/>
        <w:jc w:val="both"/>
        <w:rPr>
          <w:rFonts w:ascii="Times New Roman" w:hAnsi="Times New Roman"/>
          <w:color w:val="000000"/>
        </w:rPr>
      </w:pPr>
    </w:p>
    <w:sectPr w:rsidR="00497228" w:rsidRPr="00A85C11" w:rsidSect="00A85C11">
      <w:headerReference w:type="default" r:id="rId7"/>
      <w:footerReference w:type="default" r:id="rId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135" w:rsidRDefault="00FE2135" w:rsidP="00285D4B">
      <w:r>
        <w:separator/>
      </w:r>
    </w:p>
  </w:endnote>
  <w:endnote w:type="continuationSeparator" w:id="0">
    <w:p w:rsidR="00FE2135" w:rsidRDefault="00FE2135" w:rsidP="0028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4B" w:rsidRPr="00285D4B" w:rsidRDefault="00285D4B">
    <w:pPr>
      <w:pStyle w:val="AltBilgi"/>
      <w:jc w:val="right"/>
      <w:rPr>
        <w:rFonts w:ascii="Arial" w:hAnsi="Arial" w:cs="Arial"/>
        <w:sz w:val="22"/>
        <w:szCs w:val="22"/>
      </w:rPr>
    </w:pPr>
    <w:r w:rsidRPr="00285D4B">
      <w:rPr>
        <w:rFonts w:ascii="Arial" w:hAnsi="Arial" w:cs="Arial"/>
        <w:sz w:val="22"/>
        <w:szCs w:val="22"/>
      </w:rPr>
      <w:fldChar w:fldCharType="begin"/>
    </w:r>
    <w:r w:rsidRPr="00285D4B">
      <w:rPr>
        <w:rFonts w:ascii="Arial" w:hAnsi="Arial" w:cs="Arial"/>
        <w:sz w:val="22"/>
        <w:szCs w:val="22"/>
      </w:rPr>
      <w:instrText>PAGE   \* MERGEFORMAT</w:instrText>
    </w:r>
    <w:r w:rsidRPr="00285D4B">
      <w:rPr>
        <w:rFonts w:ascii="Arial" w:hAnsi="Arial" w:cs="Arial"/>
        <w:sz w:val="22"/>
        <w:szCs w:val="22"/>
      </w:rPr>
      <w:fldChar w:fldCharType="separate"/>
    </w:r>
    <w:r w:rsidR="00A85C11">
      <w:rPr>
        <w:rFonts w:ascii="Arial" w:hAnsi="Arial" w:cs="Arial"/>
        <w:noProof/>
        <w:sz w:val="22"/>
        <w:szCs w:val="22"/>
      </w:rPr>
      <w:t>8</w:t>
    </w:r>
    <w:r w:rsidRPr="00285D4B">
      <w:rPr>
        <w:rFonts w:ascii="Arial" w:hAnsi="Arial" w:cs="Arial"/>
        <w:sz w:val="22"/>
        <w:szCs w:val="22"/>
      </w:rPr>
      <w:fldChar w:fldCharType="end"/>
    </w:r>
  </w:p>
  <w:p w:rsidR="00285D4B" w:rsidRDefault="00285D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135" w:rsidRDefault="00FE2135" w:rsidP="00285D4B">
      <w:r>
        <w:separator/>
      </w:r>
    </w:p>
  </w:footnote>
  <w:footnote w:type="continuationSeparator" w:id="0">
    <w:p w:rsidR="00FE2135" w:rsidRDefault="00FE2135" w:rsidP="0028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C11" w:rsidRPr="00A85C11" w:rsidRDefault="00A85C11">
    <w:pPr>
      <w:pStyle w:val="stBilgi"/>
      <w:rPr>
        <w:rFonts w:ascii="Times New Roman" w:hAnsi="Times New Roman"/>
      </w:rPr>
    </w:pPr>
    <w:r w:rsidRPr="00A85C11">
      <w:rPr>
        <w:rFonts w:ascii="Times New Roman" w:hAnsi="Times New Roman"/>
      </w:rPr>
      <w:t>Esas Sayısı   : 2018/89</w:t>
    </w:r>
  </w:p>
  <w:p w:rsidR="00A85C11" w:rsidRPr="00A85C11" w:rsidRDefault="00A85C11">
    <w:pPr>
      <w:pStyle w:val="stBilgi"/>
      <w:rPr>
        <w:rFonts w:ascii="Times New Roman" w:hAnsi="Times New Roman"/>
      </w:rPr>
    </w:pPr>
    <w:r w:rsidRPr="00A85C11">
      <w:rPr>
        <w:rFonts w:ascii="Times New Roman" w:hAnsi="Times New Roman"/>
      </w:rPr>
      <w:t>Karar Sayısı : 2018/</w:t>
    </w:r>
    <w:r w:rsidR="00C64460">
      <w:rPr>
        <w:rFonts w:ascii="Times New Roman" w:hAnsi="Times New Roman"/>
      </w:rPr>
      <w:t>84</w:t>
    </w:r>
  </w:p>
  <w:p w:rsidR="00285D4B" w:rsidRDefault="00285D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40CBD"/>
    <w:multiLevelType w:val="hybridMultilevel"/>
    <w:tmpl w:val="3AAC5B56"/>
    <w:lvl w:ilvl="0" w:tplc="4E3E0CE2">
      <w:start w:val="1"/>
      <w:numFmt w:val="decimal"/>
      <w:lvlText w:val="%1)"/>
      <w:lvlJc w:val="left"/>
      <w:pPr>
        <w:tabs>
          <w:tab w:val="num" w:pos="870"/>
        </w:tabs>
        <w:ind w:left="870" w:hanging="5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6E943AE"/>
    <w:multiLevelType w:val="hybridMultilevel"/>
    <w:tmpl w:val="2760F55E"/>
    <w:lvl w:ilvl="0" w:tplc="45AC5D34">
      <w:start w:val="1"/>
      <w:numFmt w:val="decimal"/>
      <w:lvlText w:val="%1)"/>
      <w:lvlJc w:val="left"/>
      <w:pPr>
        <w:ind w:left="4046" w:hanging="360"/>
      </w:pPr>
      <w:rPr>
        <w:rFonts w:cs="Times New Roman" w:hint="default"/>
      </w:rPr>
    </w:lvl>
    <w:lvl w:ilvl="1" w:tplc="041F0019" w:tentative="1">
      <w:start w:val="1"/>
      <w:numFmt w:val="lowerLetter"/>
      <w:lvlText w:val="%2."/>
      <w:lvlJc w:val="left"/>
      <w:pPr>
        <w:ind w:left="4766" w:hanging="360"/>
      </w:pPr>
      <w:rPr>
        <w:rFonts w:cs="Times New Roman"/>
      </w:rPr>
    </w:lvl>
    <w:lvl w:ilvl="2" w:tplc="041F001B" w:tentative="1">
      <w:start w:val="1"/>
      <w:numFmt w:val="lowerRoman"/>
      <w:lvlText w:val="%3."/>
      <w:lvlJc w:val="right"/>
      <w:pPr>
        <w:ind w:left="5486" w:hanging="180"/>
      </w:pPr>
      <w:rPr>
        <w:rFonts w:cs="Times New Roman"/>
      </w:rPr>
    </w:lvl>
    <w:lvl w:ilvl="3" w:tplc="041F000F" w:tentative="1">
      <w:start w:val="1"/>
      <w:numFmt w:val="decimal"/>
      <w:lvlText w:val="%4."/>
      <w:lvlJc w:val="left"/>
      <w:pPr>
        <w:ind w:left="6206" w:hanging="360"/>
      </w:pPr>
      <w:rPr>
        <w:rFonts w:cs="Times New Roman"/>
      </w:rPr>
    </w:lvl>
    <w:lvl w:ilvl="4" w:tplc="041F0019" w:tentative="1">
      <w:start w:val="1"/>
      <w:numFmt w:val="lowerLetter"/>
      <w:lvlText w:val="%5."/>
      <w:lvlJc w:val="left"/>
      <w:pPr>
        <w:ind w:left="6926" w:hanging="360"/>
      </w:pPr>
      <w:rPr>
        <w:rFonts w:cs="Times New Roman"/>
      </w:rPr>
    </w:lvl>
    <w:lvl w:ilvl="5" w:tplc="041F001B" w:tentative="1">
      <w:start w:val="1"/>
      <w:numFmt w:val="lowerRoman"/>
      <w:lvlText w:val="%6."/>
      <w:lvlJc w:val="right"/>
      <w:pPr>
        <w:ind w:left="7646" w:hanging="180"/>
      </w:pPr>
      <w:rPr>
        <w:rFonts w:cs="Times New Roman"/>
      </w:rPr>
    </w:lvl>
    <w:lvl w:ilvl="6" w:tplc="041F000F" w:tentative="1">
      <w:start w:val="1"/>
      <w:numFmt w:val="decimal"/>
      <w:lvlText w:val="%7."/>
      <w:lvlJc w:val="left"/>
      <w:pPr>
        <w:ind w:left="8366" w:hanging="360"/>
      </w:pPr>
      <w:rPr>
        <w:rFonts w:cs="Times New Roman"/>
      </w:rPr>
    </w:lvl>
    <w:lvl w:ilvl="7" w:tplc="041F0019" w:tentative="1">
      <w:start w:val="1"/>
      <w:numFmt w:val="lowerLetter"/>
      <w:lvlText w:val="%8."/>
      <w:lvlJc w:val="left"/>
      <w:pPr>
        <w:ind w:left="9086" w:hanging="360"/>
      </w:pPr>
      <w:rPr>
        <w:rFonts w:cs="Times New Roman"/>
      </w:rPr>
    </w:lvl>
    <w:lvl w:ilvl="8" w:tplc="041F001B" w:tentative="1">
      <w:start w:val="1"/>
      <w:numFmt w:val="lowerRoman"/>
      <w:lvlText w:val="%9."/>
      <w:lvlJc w:val="right"/>
      <w:pPr>
        <w:ind w:left="9806" w:hanging="180"/>
      </w:pPr>
      <w:rPr>
        <w:rFonts w:cs="Times New Roman"/>
      </w:rPr>
    </w:lvl>
  </w:abstractNum>
  <w:abstractNum w:abstractNumId="2" w15:restartNumberingAfterBreak="0">
    <w:nsid w:val="4A224A8A"/>
    <w:multiLevelType w:val="hybridMultilevel"/>
    <w:tmpl w:val="2760F55E"/>
    <w:lvl w:ilvl="0" w:tplc="45AC5D34">
      <w:start w:val="1"/>
      <w:numFmt w:val="decimal"/>
      <w:lvlText w:val="%1)"/>
      <w:lvlJc w:val="left"/>
      <w:pPr>
        <w:ind w:left="4046" w:hanging="360"/>
      </w:pPr>
      <w:rPr>
        <w:rFonts w:cs="Times New Roman" w:hint="default"/>
      </w:rPr>
    </w:lvl>
    <w:lvl w:ilvl="1" w:tplc="041F0019" w:tentative="1">
      <w:start w:val="1"/>
      <w:numFmt w:val="lowerLetter"/>
      <w:lvlText w:val="%2."/>
      <w:lvlJc w:val="left"/>
      <w:pPr>
        <w:ind w:left="4766" w:hanging="360"/>
      </w:pPr>
      <w:rPr>
        <w:rFonts w:cs="Times New Roman"/>
      </w:rPr>
    </w:lvl>
    <w:lvl w:ilvl="2" w:tplc="041F001B" w:tentative="1">
      <w:start w:val="1"/>
      <w:numFmt w:val="lowerRoman"/>
      <w:lvlText w:val="%3."/>
      <w:lvlJc w:val="right"/>
      <w:pPr>
        <w:ind w:left="5486" w:hanging="180"/>
      </w:pPr>
      <w:rPr>
        <w:rFonts w:cs="Times New Roman"/>
      </w:rPr>
    </w:lvl>
    <w:lvl w:ilvl="3" w:tplc="041F000F" w:tentative="1">
      <w:start w:val="1"/>
      <w:numFmt w:val="decimal"/>
      <w:lvlText w:val="%4."/>
      <w:lvlJc w:val="left"/>
      <w:pPr>
        <w:ind w:left="6206" w:hanging="360"/>
      </w:pPr>
      <w:rPr>
        <w:rFonts w:cs="Times New Roman"/>
      </w:rPr>
    </w:lvl>
    <w:lvl w:ilvl="4" w:tplc="041F0019" w:tentative="1">
      <w:start w:val="1"/>
      <w:numFmt w:val="lowerLetter"/>
      <w:lvlText w:val="%5."/>
      <w:lvlJc w:val="left"/>
      <w:pPr>
        <w:ind w:left="6926" w:hanging="360"/>
      </w:pPr>
      <w:rPr>
        <w:rFonts w:cs="Times New Roman"/>
      </w:rPr>
    </w:lvl>
    <w:lvl w:ilvl="5" w:tplc="041F001B" w:tentative="1">
      <w:start w:val="1"/>
      <w:numFmt w:val="lowerRoman"/>
      <w:lvlText w:val="%6."/>
      <w:lvlJc w:val="right"/>
      <w:pPr>
        <w:ind w:left="7646" w:hanging="180"/>
      </w:pPr>
      <w:rPr>
        <w:rFonts w:cs="Times New Roman"/>
      </w:rPr>
    </w:lvl>
    <w:lvl w:ilvl="6" w:tplc="041F000F" w:tentative="1">
      <w:start w:val="1"/>
      <w:numFmt w:val="decimal"/>
      <w:lvlText w:val="%7."/>
      <w:lvlJc w:val="left"/>
      <w:pPr>
        <w:ind w:left="8366" w:hanging="360"/>
      </w:pPr>
      <w:rPr>
        <w:rFonts w:cs="Times New Roman"/>
      </w:rPr>
    </w:lvl>
    <w:lvl w:ilvl="7" w:tplc="041F0019" w:tentative="1">
      <w:start w:val="1"/>
      <w:numFmt w:val="lowerLetter"/>
      <w:lvlText w:val="%8."/>
      <w:lvlJc w:val="left"/>
      <w:pPr>
        <w:ind w:left="9086" w:hanging="360"/>
      </w:pPr>
      <w:rPr>
        <w:rFonts w:cs="Times New Roman"/>
      </w:rPr>
    </w:lvl>
    <w:lvl w:ilvl="8" w:tplc="041F001B" w:tentative="1">
      <w:start w:val="1"/>
      <w:numFmt w:val="lowerRoman"/>
      <w:lvlText w:val="%9."/>
      <w:lvlJc w:val="right"/>
      <w:pPr>
        <w:ind w:left="9806" w:hanging="180"/>
      </w:pPr>
      <w:rPr>
        <w:rFonts w:cs="Times New Roman"/>
      </w:rPr>
    </w:lvl>
  </w:abstractNum>
  <w:abstractNum w:abstractNumId="3" w15:restartNumberingAfterBreak="0">
    <w:nsid w:val="62B16CDE"/>
    <w:multiLevelType w:val="hybridMultilevel"/>
    <w:tmpl w:val="2760F55E"/>
    <w:lvl w:ilvl="0" w:tplc="45AC5D34">
      <w:start w:val="1"/>
      <w:numFmt w:val="decimal"/>
      <w:lvlText w:val="%1)"/>
      <w:lvlJc w:val="left"/>
      <w:pPr>
        <w:ind w:left="4046" w:hanging="360"/>
      </w:pPr>
      <w:rPr>
        <w:rFonts w:cs="Times New Roman" w:hint="default"/>
      </w:rPr>
    </w:lvl>
    <w:lvl w:ilvl="1" w:tplc="041F0019" w:tentative="1">
      <w:start w:val="1"/>
      <w:numFmt w:val="lowerLetter"/>
      <w:lvlText w:val="%2."/>
      <w:lvlJc w:val="left"/>
      <w:pPr>
        <w:ind w:left="4766" w:hanging="360"/>
      </w:pPr>
      <w:rPr>
        <w:rFonts w:cs="Times New Roman"/>
      </w:rPr>
    </w:lvl>
    <w:lvl w:ilvl="2" w:tplc="041F001B" w:tentative="1">
      <w:start w:val="1"/>
      <w:numFmt w:val="lowerRoman"/>
      <w:lvlText w:val="%3."/>
      <w:lvlJc w:val="right"/>
      <w:pPr>
        <w:ind w:left="5486" w:hanging="180"/>
      </w:pPr>
      <w:rPr>
        <w:rFonts w:cs="Times New Roman"/>
      </w:rPr>
    </w:lvl>
    <w:lvl w:ilvl="3" w:tplc="041F000F" w:tentative="1">
      <w:start w:val="1"/>
      <w:numFmt w:val="decimal"/>
      <w:lvlText w:val="%4."/>
      <w:lvlJc w:val="left"/>
      <w:pPr>
        <w:ind w:left="6206" w:hanging="360"/>
      </w:pPr>
      <w:rPr>
        <w:rFonts w:cs="Times New Roman"/>
      </w:rPr>
    </w:lvl>
    <w:lvl w:ilvl="4" w:tplc="041F0019" w:tentative="1">
      <w:start w:val="1"/>
      <w:numFmt w:val="lowerLetter"/>
      <w:lvlText w:val="%5."/>
      <w:lvlJc w:val="left"/>
      <w:pPr>
        <w:ind w:left="6926" w:hanging="360"/>
      </w:pPr>
      <w:rPr>
        <w:rFonts w:cs="Times New Roman"/>
      </w:rPr>
    </w:lvl>
    <w:lvl w:ilvl="5" w:tplc="041F001B" w:tentative="1">
      <w:start w:val="1"/>
      <w:numFmt w:val="lowerRoman"/>
      <w:lvlText w:val="%6."/>
      <w:lvlJc w:val="right"/>
      <w:pPr>
        <w:ind w:left="7646" w:hanging="180"/>
      </w:pPr>
      <w:rPr>
        <w:rFonts w:cs="Times New Roman"/>
      </w:rPr>
    </w:lvl>
    <w:lvl w:ilvl="6" w:tplc="041F000F" w:tentative="1">
      <w:start w:val="1"/>
      <w:numFmt w:val="decimal"/>
      <w:lvlText w:val="%7."/>
      <w:lvlJc w:val="left"/>
      <w:pPr>
        <w:ind w:left="8366" w:hanging="360"/>
      </w:pPr>
      <w:rPr>
        <w:rFonts w:cs="Times New Roman"/>
      </w:rPr>
    </w:lvl>
    <w:lvl w:ilvl="7" w:tplc="041F0019" w:tentative="1">
      <w:start w:val="1"/>
      <w:numFmt w:val="lowerLetter"/>
      <w:lvlText w:val="%8."/>
      <w:lvlJc w:val="left"/>
      <w:pPr>
        <w:ind w:left="9086" w:hanging="360"/>
      </w:pPr>
      <w:rPr>
        <w:rFonts w:cs="Times New Roman"/>
      </w:rPr>
    </w:lvl>
    <w:lvl w:ilvl="8" w:tplc="041F001B" w:tentative="1">
      <w:start w:val="1"/>
      <w:numFmt w:val="lowerRoman"/>
      <w:lvlText w:val="%9."/>
      <w:lvlJc w:val="right"/>
      <w:pPr>
        <w:ind w:left="9806" w:hanging="180"/>
      </w:pPr>
      <w:rPr>
        <w:rFonts w:cs="Times New Roman"/>
      </w:rPr>
    </w:lvl>
  </w:abstractNum>
  <w:abstractNum w:abstractNumId="4" w15:restartNumberingAfterBreak="0">
    <w:nsid w:val="691D4260"/>
    <w:multiLevelType w:val="hybridMultilevel"/>
    <w:tmpl w:val="C4DCC53C"/>
    <w:lvl w:ilvl="0" w:tplc="83002D0E">
      <w:start w:val="1"/>
      <w:numFmt w:val="decimal"/>
      <w:lvlText w:val="%1."/>
      <w:lvlJc w:val="left"/>
      <w:pPr>
        <w:tabs>
          <w:tab w:val="num" w:pos="4050"/>
        </w:tabs>
        <w:ind w:left="4050" w:hanging="360"/>
      </w:pPr>
      <w:rPr>
        <w:rFonts w:hint="default"/>
        <w:b/>
      </w:rPr>
    </w:lvl>
    <w:lvl w:ilvl="1" w:tplc="041F0019" w:tentative="1">
      <w:start w:val="1"/>
      <w:numFmt w:val="lowerLetter"/>
      <w:lvlText w:val="%2."/>
      <w:lvlJc w:val="left"/>
      <w:pPr>
        <w:tabs>
          <w:tab w:val="num" w:pos="4770"/>
        </w:tabs>
        <w:ind w:left="4770" w:hanging="360"/>
      </w:pPr>
    </w:lvl>
    <w:lvl w:ilvl="2" w:tplc="041F001B" w:tentative="1">
      <w:start w:val="1"/>
      <w:numFmt w:val="lowerRoman"/>
      <w:lvlText w:val="%3."/>
      <w:lvlJc w:val="right"/>
      <w:pPr>
        <w:tabs>
          <w:tab w:val="num" w:pos="5490"/>
        </w:tabs>
        <w:ind w:left="5490" w:hanging="180"/>
      </w:pPr>
    </w:lvl>
    <w:lvl w:ilvl="3" w:tplc="041F000F" w:tentative="1">
      <w:start w:val="1"/>
      <w:numFmt w:val="decimal"/>
      <w:lvlText w:val="%4."/>
      <w:lvlJc w:val="left"/>
      <w:pPr>
        <w:tabs>
          <w:tab w:val="num" w:pos="6210"/>
        </w:tabs>
        <w:ind w:left="6210" w:hanging="360"/>
      </w:pPr>
    </w:lvl>
    <w:lvl w:ilvl="4" w:tplc="041F0019" w:tentative="1">
      <w:start w:val="1"/>
      <w:numFmt w:val="lowerLetter"/>
      <w:lvlText w:val="%5."/>
      <w:lvlJc w:val="left"/>
      <w:pPr>
        <w:tabs>
          <w:tab w:val="num" w:pos="6930"/>
        </w:tabs>
        <w:ind w:left="6930" w:hanging="360"/>
      </w:pPr>
    </w:lvl>
    <w:lvl w:ilvl="5" w:tplc="041F001B" w:tentative="1">
      <w:start w:val="1"/>
      <w:numFmt w:val="lowerRoman"/>
      <w:lvlText w:val="%6."/>
      <w:lvlJc w:val="right"/>
      <w:pPr>
        <w:tabs>
          <w:tab w:val="num" w:pos="7650"/>
        </w:tabs>
        <w:ind w:left="7650" w:hanging="180"/>
      </w:pPr>
    </w:lvl>
    <w:lvl w:ilvl="6" w:tplc="041F000F" w:tentative="1">
      <w:start w:val="1"/>
      <w:numFmt w:val="decimal"/>
      <w:lvlText w:val="%7."/>
      <w:lvlJc w:val="left"/>
      <w:pPr>
        <w:tabs>
          <w:tab w:val="num" w:pos="8370"/>
        </w:tabs>
        <w:ind w:left="8370" w:hanging="360"/>
      </w:pPr>
    </w:lvl>
    <w:lvl w:ilvl="7" w:tplc="041F0019" w:tentative="1">
      <w:start w:val="1"/>
      <w:numFmt w:val="lowerLetter"/>
      <w:lvlText w:val="%8."/>
      <w:lvlJc w:val="left"/>
      <w:pPr>
        <w:tabs>
          <w:tab w:val="num" w:pos="9090"/>
        </w:tabs>
        <w:ind w:left="9090" w:hanging="360"/>
      </w:pPr>
    </w:lvl>
    <w:lvl w:ilvl="8" w:tplc="041F001B" w:tentative="1">
      <w:start w:val="1"/>
      <w:numFmt w:val="lowerRoman"/>
      <w:lvlText w:val="%9."/>
      <w:lvlJc w:val="right"/>
      <w:pPr>
        <w:tabs>
          <w:tab w:val="num" w:pos="9810"/>
        </w:tabs>
        <w:ind w:left="981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05"/>
    <w:rsid w:val="00023962"/>
    <w:rsid w:val="0004211C"/>
    <w:rsid w:val="001B2B00"/>
    <w:rsid w:val="001D2BC5"/>
    <w:rsid w:val="00285D4B"/>
    <w:rsid w:val="003427ED"/>
    <w:rsid w:val="003F40B8"/>
    <w:rsid w:val="004149C7"/>
    <w:rsid w:val="00497228"/>
    <w:rsid w:val="004E6D84"/>
    <w:rsid w:val="00596C30"/>
    <w:rsid w:val="005A7C11"/>
    <w:rsid w:val="007114F5"/>
    <w:rsid w:val="00732159"/>
    <w:rsid w:val="0078234D"/>
    <w:rsid w:val="008169C4"/>
    <w:rsid w:val="00861F6A"/>
    <w:rsid w:val="00877F05"/>
    <w:rsid w:val="009135B1"/>
    <w:rsid w:val="009949AF"/>
    <w:rsid w:val="009F7C9A"/>
    <w:rsid w:val="00A85C11"/>
    <w:rsid w:val="00AB3E2A"/>
    <w:rsid w:val="00AF0075"/>
    <w:rsid w:val="00C64460"/>
    <w:rsid w:val="00D17635"/>
    <w:rsid w:val="00DA0581"/>
    <w:rsid w:val="00FA114B"/>
    <w:rsid w:val="00FA1AE1"/>
    <w:rsid w:val="00FE2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D3F44-A1AD-4DD8-BD4B-953F31AD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3962"/>
    <w:rPr>
      <w:rFonts w:ascii="Calibri" w:hAnsi="Calibri"/>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ListParagraph">
    <w:name w:val="List Paragraph"/>
    <w:basedOn w:val="Normal"/>
    <w:rsid w:val="00877F05"/>
    <w:pPr>
      <w:ind w:left="720"/>
      <w:contextualSpacing/>
    </w:pPr>
  </w:style>
  <w:style w:type="character" w:customStyle="1" w:styleId="apple-converted-space">
    <w:name w:val="apple-converted-space"/>
    <w:rsid w:val="00877F05"/>
    <w:rPr>
      <w:rFonts w:cs="Times New Roman"/>
    </w:rPr>
  </w:style>
  <w:style w:type="character" w:customStyle="1" w:styleId="grame">
    <w:name w:val="grame"/>
    <w:basedOn w:val="VarsaylanParagrafYazTipi"/>
    <w:rsid w:val="00877F05"/>
  </w:style>
  <w:style w:type="character" w:customStyle="1" w:styleId="spelle">
    <w:name w:val="spelle"/>
    <w:basedOn w:val="VarsaylanParagrafYazTipi"/>
    <w:rsid w:val="00877F05"/>
  </w:style>
  <w:style w:type="paragraph" w:styleId="stBilgi">
    <w:name w:val="header"/>
    <w:basedOn w:val="Normal"/>
    <w:link w:val="stBilgiChar"/>
    <w:uiPriority w:val="99"/>
    <w:rsid w:val="00285D4B"/>
    <w:pPr>
      <w:tabs>
        <w:tab w:val="center" w:pos="4536"/>
        <w:tab w:val="right" w:pos="9072"/>
      </w:tabs>
    </w:pPr>
  </w:style>
  <w:style w:type="character" w:customStyle="1" w:styleId="stBilgiChar">
    <w:name w:val="Üst Bilgi Char"/>
    <w:link w:val="stBilgi"/>
    <w:rsid w:val="00285D4B"/>
    <w:rPr>
      <w:rFonts w:ascii="Calibri" w:hAnsi="Calibri"/>
      <w:sz w:val="24"/>
      <w:szCs w:val="24"/>
      <w:lang w:eastAsia="en-US"/>
    </w:rPr>
  </w:style>
  <w:style w:type="paragraph" w:styleId="AltBilgi">
    <w:name w:val="footer"/>
    <w:basedOn w:val="Normal"/>
    <w:link w:val="AltBilgiChar"/>
    <w:uiPriority w:val="99"/>
    <w:rsid w:val="00285D4B"/>
    <w:pPr>
      <w:tabs>
        <w:tab w:val="center" w:pos="4536"/>
        <w:tab w:val="right" w:pos="9072"/>
      </w:tabs>
    </w:pPr>
  </w:style>
  <w:style w:type="character" w:customStyle="1" w:styleId="AltBilgiChar">
    <w:name w:val="Alt Bilgi Char"/>
    <w:link w:val="AltBilgi"/>
    <w:uiPriority w:val="99"/>
    <w:rsid w:val="00285D4B"/>
    <w:rPr>
      <w:rFonts w:ascii="Calibri" w:hAnsi="Calibri"/>
      <w:sz w:val="24"/>
      <w:szCs w:val="24"/>
      <w:lang w:eastAsia="en-US"/>
    </w:rPr>
  </w:style>
  <w:style w:type="paragraph" w:styleId="ListeParagraf">
    <w:name w:val="List Paragraph"/>
    <w:basedOn w:val="Normal"/>
    <w:uiPriority w:val="34"/>
    <w:qFormat/>
    <w:rsid w:val="00A85C11"/>
    <w:pPr>
      <w:ind w:left="708"/>
    </w:pPr>
  </w:style>
  <w:style w:type="character" w:customStyle="1" w:styleId="stbilgiChar0">
    <w:name w:val="Üstbilgi Char"/>
    <w:uiPriority w:val="99"/>
    <w:rsid w:val="00A8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3945</Words>
  <Characters>22490</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Administrator</dc:creator>
  <cp:keywords/>
  <dc:description/>
  <cp:lastModifiedBy>Mahide DEMIRAG</cp:lastModifiedBy>
  <cp:revision>2</cp:revision>
  <dcterms:created xsi:type="dcterms:W3CDTF">2020-02-13T11:56:00Z</dcterms:created>
  <dcterms:modified xsi:type="dcterms:W3CDTF">2020-02-13T11:56:00Z</dcterms:modified>
</cp:coreProperties>
</file>