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B3" w:rsidRDefault="004A3EB3" w:rsidP="002F065F">
      <w:pPr>
        <w:pStyle w:val="edf1429708218264"/>
        <w:jc w:val="both"/>
        <w:rPr>
          <w:rFonts w:cs="Times New Roman"/>
        </w:rPr>
      </w:pPr>
      <w:bookmarkStart w:id="0" w:name="_GoBack"/>
      <w:bookmarkEnd w:id="0"/>
      <w:r>
        <w:rPr>
          <w:rFonts w:cs="Times New Roman"/>
        </w:rPr>
        <w:t xml:space="preserve">Esas Sayısı </w:t>
      </w:r>
      <w:proofErr w:type="gramStart"/>
      <w:r w:rsidR="002F065F">
        <w:rPr>
          <w:rFonts w:cs="Times New Roman"/>
        </w:rPr>
        <w:t xml:space="preserve"> </w:t>
      </w:r>
      <w:r>
        <w:rPr>
          <w:rFonts w:cs="Times New Roman"/>
        </w:rPr>
        <w:t xml:space="preserve"> :</w:t>
      </w:r>
      <w:proofErr w:type="gramEnd"/>
      <w:r>
        <w:rPr>
          <w:rFonts w:cs="Times New Roman"/>
        </w:rPr>
        <w:t xml:space="preserve"> 2019/70</w:t>
      </w:r>
    </w:p>
    <w:p w:rsidR="004A3EB3" w:rsidRDefault="004A3EB3" w:rsidP="002F065F">
      <w:pPr>
        <w:pStyle w:val="edf1429708218264"/>
        <w:jc w:val="both"/>
        <w:rPr>
          <w:rFonts w:cs="Times New Roman"/>
        </w:rPr>
      </w:pPr>
      <w:r>
        <w:rPr>
          <w:rFonts w:cs="Times New Roman"/>
        </w:rPr>
        <w:t xml:space="preserve">Karar </w:t>
      </w:r>
      <w:proofErr w:type="gramStart"/>
      <w:r>
        <w:rPr>
          <w:rFonts w:cs="Times New Roman"/>
        </w:rPr>
        <w:t>Sayısı :</w:t>
      </w:r>
      <w:proofErr w:type="gramEnd"/>
      <w:r>
        <w:rPr>
          <w:rFonts w:cs="Times New Roman"/>
        </w:rPr>
        <w:t xml:space="preserve"> 2019/</w:t>
      </w:r>
      <w:r w:rsidR="004A0398">
        <w:rPr>
          <w:rFonts w:cs="Times New Roman"/>
        </w:rPr>
        <w:t>81</w:t>
      </w:r>
    </w:p>
    <w:p w:rsidR="004A3EB3" w:rsidRDefault="004A3EB3" w:rsidP="002F065F">
      <w:pPr>
        <w:pStyle w:val="edf1429708218264"/>
        <w:ind w:firstLine="851"/>
        <w:jc w:val="both"/>
        <w:rPr>
          <w:rFonts w:cs="Times New Roman"/>
        </w:rPr>
      </w:pPr>
    </w:p>
    <w:p w:rsidR="00FD50CE" w:rsidRDefault="004A3EB3" w:rsidP="002F065F">
      <w:pPr>
        <w:pStyle w:val="edf1429708218264"/>
        <w:ind w:firstLine="851"/>
        <w:jc w:val="both"/>
        <w:rPr>
          <w:rFonts w:cs="Times New Roman"/>
        </w:rPr>
      </w:pPr>
      <w:r>
        <w:rPr>
          <w:rFonts w:cs="Times New Roman"/>
        </w:rPr>
        <w:t>“...</w:t>
      </w:r>
    </w:p>
    <w:p w:rsidR="004A3EB3" w:rsidRPr="004A3EB3" w:rsidRDefault="004A3EB3" w:rsidP="002F065F">
      <w:pPr>
        <w:pStyle w:val="edf1429708218264"/>
        <w:ind w:firstLine="851"/>
        <w:jc w:val="both"/>
        <w:rPr>
          <w:rFonts w:cs="Times New Roman"/>
        </w:rPr>
      </w:pPr>
    </w:p>
    <w:p w:rsidR="00FD50CE" w:rsidRPr="004A3EB3" w:rsidRDefault="00FD50CE" w:rsidP="002F065F">
      <w:pPr>
        <w:pStyle w:val="edf1429708218264"/>
        <w:tabs>
          <w:tab w:val="left" w:pos="851"/>
        </w:tabs>
        <w:ind w:firstLine="851"/>
        <w:jc w:val="both"/>
        <w:rPr>
          <w:rFonts w:cs="Times New Roman"/>
        </w:rPr>
      </w:pPr>
      <w:r w:rsidRPr="004A3EB3">
        <w:rPr>
          <w:rFonts w:cs="Times New Roman"/>
        </w:rPr>
        <w:t>İptali İstenilen Kanun Hükmünün Anayasa</w:t>
      </w:r>
      <w:r w:rsidR="004A3EB3">
        <w:rPr>
          <w:rFonts w:cs="Times New Roman"/>
        </w:rPr>
        <w:t>’</w:t>
      </w:r>
      <w:r w:rsidRPr="004A3EB3">
        <w:rPr>
          <w:rFonts w:cs="Times New Roman"/>
        </w:rPr>
        <w:t>ya Aykırılığının Değerlendirilmesi:</w:t>
      </w:r>
    </w:p>
    <w:p w:rsidR="00FD50CE" w:rsidRPr="004A3EB3" w:rsidRDefault="00FD50CE" w:rsidP="002F065F">
      <w:pPr>
        <w:pStyle w:val="hvl-default"/>
        <w:ind w:firstLine="851"/>
        <w:jc w:val="both"/>
        <w:rPr>
          <w:rFonts w:cs="Times New Roman"/>
        </w:rPr>
      </w:pPr>
    </w:p>
    <w:p w:rsidR="00FD50CE" w:rsidRPr="004A3EB3" w:rsidRDefault="00FD50CE" w:rsidP="002F065F">
      <w:pPr>
        <w:pStyle w:val="edf1429708218264"/>
        <w:tabs>
          <w:tab w:val="left" w:pos="851"/>
        </w:tabs>
        <w:ind w:firstLine="851"/>
        <w:jc w:val="both"/>
        <w:rPr>
          <w:rFonts w:cs="Times New Roman"/>
        </w:rPr>
      </w:pPr>
      <w:r w:rsidRPr="004A3EB3">
        <w:rPr>
          <w:rFonts w:cs="Times New Roman"/>
        </w:rPr>
        <w:t xml:space="preserve">Anayasanın </w:t>
      </w:r>
      <w:r w:rsidR="004A3EB3">
        <w:rPr>
          <w:rFonts w:cs="Times New Roman"/>
        </w:rPr>
        <w:t>‘</w:t>
      </w:r>
      <w:r w:rsidRPr="004A3EB3">
        <w:rPr>
          <w:rFonts w:cs="Times New Roman"/>
        </w:rPr>
        <w:t>Cumhuriyetin nitelikleri</w:t>
      </w:r>
      <w:r w:rsidR="004A3EB3">
        <w:rPr>
          <w:rFonts w:cs="Times New Roman"/>
        </w:rPr>
        <w:t>’</w:t>
      </w:r>
      <w:r w:rsidRPr="004A3EB3">
        <w:rPr>
          <w:rFonts w:cs="Times New Roman"/>
        </w:rPr>
        <w:t xml:space="preserve"> başlıklı 2. maddesinde, </w:t>
      </w:r>
      <w:proofErr w:type="gramStart"/>
      <w:r w:rsidRPr="004A3EB3">
        <w:rPr>
          <w:rFonts w:cs="Times New Roman"/>
        </w:rPr>
        <w:t>Türkiye Cumhuriyetinin</w:t>
      </w:r>
      <w:proofErr w:type="gramEnd"/>
      <w:r w:rsidRPr="004A3EB3">
        <w:rPr>
          <w:rFonts w:cs="Times New Roman"/>
        </w:rPr>
        <w:t>, toplumun huzuru, milli dayanışma ve adalet anlayışı içinde, insan haklarına saygılı, Atatürk milliyetçiliğine bağlı, başlangıçta belirtilen temel ilkelere dayanan demokratik, laik ve sosyal bir hukuk devleti olduğu temel bir kural olarak ortaya konulmuş; 4</w:t>
      </w:r>
      <w:r w:rsidR="004A3EB3">
        <w:rPr>
          <w:rFonts w:cs="Times New Roman"/>
        </w:rPr>
        <w:t>’</w:t>
      </w:r>
      <w:r w:rsidRPr="004A3EB3">
        <w:rPr>
          <w:rFonts w:cs="Times New Roman"/>
        </w:rPr>
        <w:t>üncü maddesinde ise, Cumhuriyetin niteliklerinin değiştirilemeyeceği ve değiştirilmesinin teklif dahi edilemeyeceği belirtilmiştir. Anayasanın 2. maddesindeki hukuk devleti ilkesi, Anayasanın bütününe egemen olan ve Cumhuriyeti bütün yönleriyle kuşatan temel bir ilkedir.</w:t>
      </w:r>
    </w:p>
    <w:p w:rsidR="002F065F" w:rsidRDefault="002F065F" w:rsidP="002F065F">
      <w:pPr>
        <w:pStyle w:val="hvl-default"/>
        <w:ind w:firstLine="851"/>
        <w:jc w:val="both"/>
        <w:rPr>
          <w:rFonts w:cs="Times New Roman"/>
        </w:rPr>
      </w:pPr>
      <w:r>
        <w:rPr>
          <w:rFonts w:cs="Times New Roman"/>
        </w:rPr>
        <w:t xml:space="preserve">  </w:t>
      </w:r>
    </w:p>
    <w:p w:rsidR="00FD50CE" w:rsidRDefault="00FD50CE" w:rsidP="002F065F">
      <w:pPr>
        <w:pStyle w:val="hvl-default"/>
        <w:ind w:firstLine="851"/>
        <w:jc w:val="both"/>
        <w:rPr>
          <w:rFonts w:cs="Times New Roman"/>
        </w:rPr>
      </w:pPr>
      <w:r w:rsidRPr="004A3EB3">
        <w:rPr>
          <w:rFonts w:cs="Times New Roman"/>
        </w:rPr>
        <w:t>Anayasa Mahkemesi</w:t>
      </w:r>
      <w:r w:rsidR="004A3EB3">
        <w:rPr>
          <w:rFonts w:cs="Times New Roman"/>
        </w:rPr>
        <w:t>’</w:t>
      </w:r>
      <w:r w:rsidRPr="004A3EB3">
        <w:rPr>
          <w:rFonts w:cs="Times New Roman"/>
        </w:rPr>
        <w:t xml:space="preserve">nin 23/07/2011 tarih ve 28003 sayılı Resmî </w:t>
      </w:r>
      <w:proofErr w:type="spellStart"/>
      <w:r w:rsidRPr="004A3EB3">
        <w:rPr>
          <w:rFonts w:cs="Times New Roman"/>
        </w:rPr>
        <w:t>Gazete</w:t>
      </w:r>
      <w:r w:rsidR="004A3EB3">
        <w:rPr>
          <w:rFonts w:cs="Times New Roman"/>
        </w:rPr>
        <w:t>’</w:t>
      </w:r>
      <w:r w:rsidRPr="004A3EB3">
        <w:rPr>
          <w:rFonts w:cs="Times New Roman"/>
        </w:rPr>
        <w:t>de</w:t>
      </w:r>
      <w:proofErr w:type="spellEnd"/>
      <w:r w:rsidRPr="004A3EB3">
        <w:rPr>
          <w:rFonts w:cs="Times New Roman"/>
        </w:rPr>
        <w:t xml:space="preserve"> yayımlanan 14/04/2011 gün ve E:2008/35, K:2011/65 sayılı kararında da belirtildiği üzere; Anayasa</w:t>
      </w:r>
      <w:r w:rsidR="004A3EB3">
        <w:rPr>
          <w:rFonts w:cs="Times New Roman"/>
        </w:rPr>
        <w:t>’</w:t>
      </w:r>
      <w:r w:rsidRPr="004A3EB3">
        <w:rPr>
          <w:rFonts w:cs="Times New Roman"/>
        </w:rPr>
        <w:t>nın 2. maddesinde belirtilen hukuk devleti, insan haklarına dayanan, bu hak ve özgürlükleri koruyup güçlendiren, eylem ve işlemleri hukuka uygun olan, her alanda adaletli bir hukuk düzeni kurup bunu geliştirerek sürdüren, Anayasa</w:t>
      </w:r>
      <w:r w:rsidR="004A3EB3">
        <w:rPr>
          <w:rFonts w:cs="Times New Roman"/>
        </w:rPr>
        <w:t>’</w:t>
      </w:r>
      <w:r w:rsidRPr="004A3EB3">
        <w:rPr>
          <w:rFonts w:cs="Times New Roman"/>
        </w:rPr>
        <w:t>ya aykırı durum ve tutumlardan kaçınan, hukuku tüm devlet organlarına egemen kılan, Anayasa ve yasalarla kendini bağlı sayan, yargı denetimine açık olan devlettir. Yasaların kamu yararının sağlanması amacına yönelik olması, genel, objektif, adil kurallar içermesi ve hakkaniyet ölçütlerini gözetmesi de hukuk devleti olmanın gereğidir. Bu nedenle, yasa koyucunun hukuki düzenlemelerde kendisine tanınan takdir yetkisini, anayasal sınırlar içinde adalet, hakkaniyet ve kamu yararı ölçütlerini göz önünde tutarak kullanması gerekir.</w:t>
      </w:r>
    </w:p>
    <w:p w:rsidR="004A3EB3" w:rsidRPr="004A3EB3" w:rsidRDefault="004A3EB3" w:rsidP="002F065F">
      <w:pPr>
        <w:pStyle w:val="hvl-default"/>
        <w:ind w:firstLine="851"/>
        <w:jc w:val="both"/>
        <w:rPr>
          <w:rFonts w:cs="Times New Roman"/>
        </w:rPr>
      </w:pPr>
    </w:p>
    <w:p w:rsidR="00FD50CE" w:rsidRPr="004A3EB3" w:rsidRDefault="00FD50CE" w:rsidP="002F065F">
      <w:pPr>
        <w:pStyle w:val="hvl-default"/>
        <w:ind w:firstLine="851"/>
        <w:jc w:val="both"/>
        <w:rPr>
          <w:rFonts w:cs="Times New Roman"/>
        </w:rPr>
      </w:pPr>
      <w:r w:rsidRPr="004A3EB3">
        <w:rPr>
          <w:rFonts w:cs="Times New Roman"/>
        </w:rPr>
        <w:t>6112 sayılı Kanun</w:t>
      </w:r>
      <w:r w:rsidR="004A3EB3">
        <w:rPr>
          <w:rFonts w:cs="Times New Roman"/>
        </w:rPr>
        <w:t>’</w:t>
      </w:r>
      <w:r w:rsidRPr="004A3EB3">
        <w:rPr>
          <w:rFonts w:cs="Times New Roman"/>
        </w:rPr>
        <w:t xml:space="preserve">un 41. maddesinin 1. fıkrasının (b) bendinde, karasal ortamdan yayın yapan kamu ve özel medya hizmet sağlayıcı kuruluşlardan alınacak televizyon kanal, </w:t>
      </w:r>
      <w:proofErr w:type="spellStart"/>
      <w:r w:rsidRPr="004A3EB3">
        <w:rPr>
          <w:rFonts w:cs="Times New Roman"/>
        </w:rPr>
        <w:t>multipleks</w:t>
      </w:r>
      <w:proofErr w:type="spellEnd"/>
      <w:r w:rsidRPr="004A3EB3">
        <w:rPr>
          <w:rFonts w:cs="Times New Roman"/>
        </w:rPr>
        <w:t xml:space="preserve"> kapasite ve radyo frekans yıllık kullanım ücretleri Radyo ve Televizyon Üst Kurulu</w:t>
      </w:r>
      <w:r w:rsidR="004A3EB3">
        <w:rPr>
          <w:rFonts w:cs="Times New Roman"/>
        </w:rPr>
        <w:t>’</w:t>
      </w:r>
      <w:r w:rsidRPr="004A3EB3">
        <w:rPr>
          <w:rFonts w:cs="Times New Roman"/>
        </w:rPr>
        <w:t>nun gelirleri arasında sayılmış; anılan Kanun</w:t>
      </w:r>
      <w:r w:rsidR="004A3EB3">
        <w:rPr>
          <w:rFonts w:cs="Times New Roman"/>
        </w:rPr>
        <w:t>’</w:t>
      </w:r>
      <w:r w:rsidRPr="004A3EB3">
        <w:rPr>
          <w:rFonts w:cs="Times New Roman"/>
        </w:rPr>
        <w:t>un 42. maddesinin 2. fıkrasında, söz konusu ücretlerin dört eşit taksitle ödeneceği belirtilmiş ve anılan maddede,</w:t>
      </w:r>
      <w:r w:rsidR="004A3EB3">
        <w:rPr>
          <w:rFonts w:cs="Times New Roman"/>
        </w:rPr>
        <w:t xml:space="preserve"> </w:t>
      </w:r>
      <w:r w:rsidRPr="004A3EB3">
        <w:rPr>
          <w:rFonts w:cs="Times New Roman"/>
        </w:rPr>
        <w:t>ödemede gecikilmesi hâlinde, faizi ile birlikte ödeneceği ve</w:t>
      </w:r>
      <w:r w:rsidR="004A3EB3">
        <w:rPr>
          <w:rFonts w:cs="Times New Roman"/>
        </w:rPr>
        <w:t xml:space="preserve"> </w:t>
      </w:r>
      <w:r w:rsidRPr="004A3EB3">
        <w:rPr>
          <w:rFonts w:cs="Times New Roman"/>
        </w:rPr>
        <w:t>genel hükümlere göre tahsil edileceği kurala bağlanmıştır.</w:t>
      </w:r>
    </w:p>
    <w:p w:rsidR="004A3EB3" w:rsidRDefault="004A3EB3" w:rsidP="002F065F">
      <w:pPr>
        <w:pStyle w:val="hvl-default"/>
        <w:ind w:firstLine="851"/>
        <w:jc w:val="both"/>
        <w:rPr>
          <w:rFonts w:cs="Times New Roman"/>
        </w:rPr>
      </w:pPr>
    </w:p>
    <w:p w:rsidR="00FD50CE" w:rsidRPr="004A3EB3" w:rsidRDefault="00FD50CE" w:rsidP="002F065F">
      <w:pPr>
        <w:pStyle w:val="hvl-default"/>
        <w:ind w:firstLine="851"/>
        <w:jc w:val="both"/>
        <w:rPr>
          <w:rFonts w:cs="Times New Roman"/>
        </w:rPr>
      </w:pPr>
      <w:r w:rsidRPr="004A3EB3">
        <w:rPr>
          <w:rFonts w:cs="Times New Roman"/>
        </w:rPr>
        <w:t>6112 sayılı Kanun</w:t>
      </w:r>
      <w:r w:rsidR="004A3EB3">
        <w:rPr>
          <w:rFonts w:cs="Times New Roman"/>
        </w:rPr>
        <w:t>’</w:t>
      </w:r>
      <w:r w:rsidRPr="004A3EB3">
        <w:rPr>
          <w:rFonts w:cs="Times New Roman"/>
        </w:rPr>
        <w:t>un Geçici 4. maddesinin 1. fıkrasının üçüncü cümlesinde, kanal ve frekans kullanım bedelinin, 6112 sayılı Kanun</w:t>
      </w:r>
      <w:r w:rsidR="004A3EB3">
        <w:rPr>
          <w:rFonts w:cs="Times New Roman"/>
        </w:rPr>
        <w:t>’</w:t>
      </w:r>
      <w:r w:rsidRPr="004A3EB3">
        <w:rPr>
          <w:rFonts w:cs="Times New Roman"/>
        </w:rPr>
        <w:t>un 42. maddesine göre ödenmemesi durumunda, idari yaptırım olarak ilgili medya hizmet sağlayıcı kuruluşun yayın faaliyetinin bütünüyle durdurulması kurala bağlanmıştır.</w:t>
      </w:r>
    </w:p>
    <w:p w:rsidR="004A3EB3" w:rsidRDefault="004A3EB3" w:rsidP="002F065F">
      <w:pPr>
        <w:pStyle w:val="hvl-default"/>
        <w:ind w:firstLine="851"/>
        <w:jc w:val="both"/>
        <w:rPr>
          <w:rFonts w:cs="Times New Roman"/>
        </w:rPr>
      </w:pPr>
    </w:p>
    <w:p w:rsidR="00FD50CE" w:rsidRDefault="00FD50CE" w:rsidP="002F065F">
      <w:pPr>
        <w:pStyle w:val="hvl-default"/>
        <w:ind w:firstLine="851"/>
        <w:jc w:val="both"/>
        <w:rPr>
          <w:rFonts w:cs="Times New Roman"/>
        </w:rPr>
      </w:pPr>
      <w:r w:rsidRPr="004A3EB3">
        <w:rPr>
          <w:rFonts w:cs="Times New Roman"/>
        </w:rPr>
        <w:t>Hukuk devletinde, ceza hukukuna ilişkin düzenlemelerde olduğu gibi idari yaptırımlar açısından da Anayasa</w:t>
      </w:r>
      <w:r w:rsidR="004A3EB3">
        <w:rPr>
          <w:rFonts w:cs="Times New Roman"/>
        </w:rPr>
        <w:t>’</w:t>
      </w:r>
      <w:r w:rsidRPr="004A3EB3">
        <w:rPr>
          <w:rFonts w:cs="Times New Roman"/>
        </w:rPr>
        <w:t xml:space="preserve">ya ve ceza hukukunun temel ilkelerine bağlı kalmak koşuluyla hangi eylemlerin kabahat sayılacağı, bunlara uygulanacak yaptırımın türü ve ölçüsü gibi konularda kanun koyucu takdir yetkisine sahip olmakla birlikte, bu yetkisini kullanırken kabahat ve yaptırım arasındaki adil dengenin korunmasını da dikkate almak zorundadır. Ancak sadece kabahatin konusunu esas alarak ve benzer eylemler için öngörülen yaptırım miktarlarını kıyaslayarak haksızlık ve yaptırım arasında adil bir denge bulunup bulunmadığı konusunda bir karar vermek sorunu tek yönlü ya da eksik olarak ele almak anlamına gelir. </w:t>
      </w:r>
      <w:r w:rsidRPr="004A3EB3">
        <w:rPr>
          <w:rFonts w:cs="Times New Roman"/>
        </w:rPr>
        <w:lastRenderedPageBreak/>
        <w:t>Haksızlığa konu eylem ile yaptırım arasında adalete uygun bir oranın bulunup bulunmadığının saptanmasında benzer bir fiil için konulmuş yaptırım ile yapılacak bir kıyaslamanın değil, o fiilin yarattığı etkinin ve sonuçlarının dikkate alınması gerekir.</w:t>
      </w:r>
    </w:p>
    <w:p w:rsidR="004A3EB3" w:rsidRPr="004A3EB3" w:rsidRDefault="004A3EB3" w:rsidP="002F065F">
      <w:pPr>
        <w:pStyle w:val="hvl-default"/>
        <w:ind w:firstLine="851"/>
        <w:jc w:val="both"/>
        <w:rPr>
          <w:rFonts w:cs="Times New Roman"/>
        </w:rPr>
      </w:pPr>
    </w:p>
    <w:p w:rsidR="00FD50CE" w:rsidRDefault="00FD50CE" w:rsidP="002F065F">
      <w:pPr>
        <w:pStyle w:val="hvl-default"/>
        <w:ind w:firstLine="851"/>
        <w:jc w:val="both"/>
        <w:rPr>
          <w:rFonts w:cs="Times New Roman"/>
        </w:rPr>
      </w:pPr>
      <w:r w:rsidRPr="004A3EB3">
        <w:rPr>
          <w:rFonts w:cs="Times New Roman"/>
        </w:rPr>
        <w:t xml:space="preserve">Eylem ile yaptırım arasında bulunması gereken adil denge, </w:t>
      </w:r>
      <w:r w:rsidR="004A3EB3">
        <w:rPr>
          <w:rFonts w:cs="Times New Roman"/>
        </w:rPr>
        <w:t>‘</w:t>
      </w:r>
      <w:r w:rsidRPr="004A3EB3">
        <w:rPr>
          <w:rFonts w:cs="Times New Roman"/>
        </w:rPr>
        <w:t>ölçülülük ilkesi</w:t>
      </w:r>
      <w:r w:rsidR="004A3EB3">
        <w:rPr>
          <w:rFonts w:cs="Times New Roman"/>
        </w:rPr>
        <w:t>’</w:t>
      </w:r>
      <w:r w:rsidRPr="004A3EB3">
        <w:rPr>
          <w:rFonts w:cs="Times New Roman"/>
        </w:rPr>
        <w:t xml:space="preserve"> olarak da adlandırılmakta ve bu ilkenin alt ilkelerini </w:t>
      </w:r>
      <w:proofErr w:type="gramStart"/>
      <w:r w:rsidRPr="004A3EB3">
        <w:rPr>
          <w:rFonts w:cs="Times New Roman"/>
        </w:rPr>
        <w:t>de,</w:t>
      </w:r>
      <w:proofErr w:type="gramEnd"/>
      <w:r w:rsidRPr="004A3EB3">
        <w:rPr>
          <w:rFonts w:cs="Times New Roman"/>
        </w:rPr>
        <w:t xml:space="preserve"> elverişlilik, zorunluluk ve orantılılık ilkeleri oluşturmaktadır. </w:t>
      </w:r>
      <w:r w:rsidR="004A3EB3">
        <w:rPr>
          <w:rFonts w:cs="Times New Roman"/>
        </w:rPr>
        <w:t>‘</w:t>
      </w:r>
      <w:r w:rsidRPr="004A3EB3">
        <w:rPr>
          <w:rFonts w:cs="Times New Roman"/>
        </w:rPr>
        <w:t>Elverişlilik ilkesi</w:t>
      </w:r>
      <w:r w:rsidR="004A3EB3">
        <w:rPr>
          <w:rFonts w:cs="Times New Roman"/>
        </w:rPr>
        <w:t>’</w:t>
      </w:r>
      <w:r w:rsidRPr="004A3EB3">
        <w:rPr>
          <w:rFonts w:cs="Times New Roman"/>
        </w:rPr>
        <w:t xml:space="preserve">, öngörülen yaptırımın ulaşılmak istenen amaç için elverişli olmasını, </w:t>
      </w:r>
      <w:r w:rsidR="004A3EB3">
        <w:rPr>
          <w:rFonts w:cs="Times New Roman"/>
        </w:rPr>
        <w:t>‘</w:t>
      </w:r>
      <w:r w:rsidRPr="004A3EB3">
        <w:rPr>
          <w:rFonts w:cs="Times New Roman"/>
        </w:rPr>
        <w:t>zorunluluk ilkesi</w:t>
      </w:r>
      <w:r w:rsidR="004A3EB3">
        <w:rPr>
          <w:rFonts w:cs="Times New Roman"/>
        </w:rPr>
        <w:t>’</w:t>
      </w:r>
      <w:r w:rsidRPr="004A3EB3">
        <w:rPr>
          <w:rFonts w:cs="Times New Roman"/>
        </w:rPr>
        <w:t xml:space="preserve"> öngörülen yaptırımın ulaşılmak istenen amaç bakımından zorunlu olmasını ve </w:t>
      </w:r>
      <w:r w:rsidR="004A3EB3">
        <w:rPr>
          <w:rFonts w:cs="Times New Roman"/>
        </w:rPr>
        <w:t>‘</w:t>
      </w:r>
      <w:r w:rsidRPr="004A3EB3">
        <w:rPr>
          <w:rFonts w:cs="Times New Roman"/>
        </w:rPr>
        <w:t>orantılılık ilkesi</w:t>
      </w:r>
      <w:r w:rsidR="004A3EB3">
        <w:rPr>
          <w:rFonts w:cs="Times New Roman"/>
        </w:rPr>
        <w:t>’</w:t>
      </w:r>
      <w:r w:rsidRPr="004A3EB3">
        <w:rPr>
          <w:rFonts w:cs="Times New Roman"/>
        </w:rPr>
        <w:t xml:space="preserve"> ise öngörülen yaptırım ile ulaşılmak istenen amaç arasında olması gereken orantıyı ifade etmektedir.</w:t>
      </w:r>
    </w:p>
    <w:p w:rsidR="004A3EB3" w:rsidRPr="004A3EB3" w:rsidRDefault="004A3EB3" w:rsidP="002F065F">
      <w:pPr>
        <w:pStyle w:val="hvl-default"/>
        <w:ind w:firstLine="851"/>
        <w:jc w:val="both"/>
        <w:rPr>
          <w:rFonts w:cs="Times New Roman"/>
        </w:rPr>
      </w:pPr>
    </w:p>
    <w:p w:rsidR="00FD50CE" w:rsidRPr="004A3EB3" w:rsidRDefault="00FD50CE" w:rsidP="002F065F">
      <w:pPr>
        <w:pStyle w:val="hvl-default"/>
        <w:ind w:firstLine="851"/>
        <w:jc w:val="both"/>
        <w:rPr>
          <w:rFonts w:cs="Times New Roman"/>
        </w:rPr>
      </w:pPr>
      <w:r w:rsidRPr="004A3EB3">
        <w:rPr>
          <w:rFonts w:cs="Times New Roman"/>
        </w:rPr>
        <w:t>İtiraz konusu kuralla öngörülen yayının tamamen durdurulması yaptırımı ile kanal ve frekans kullanım bedelinin zamanında ödenmesinin amaçlandığı kuşkusuzdur. Bu çerçevede, söz konusu yaptırımın hedeflenen amaca ulaşma bakımından elverişli olduğu söylenebilir ise de, itiraza konu kuralın geçici maddeyle düzenlendiği, geçici bir durumun süreklilik kazanacak bir şekilde uygulanamayacağı, yine 6112 sayılı Kanun</w:t>
      </w:r>
      <w:r w:rsidR="004A3EB3">
        <w:rPr>
          <w:rFonts w:cs="Times New Roman"/>
        </w:rPr>
        <w:t>’</w:t>
      </w:r>
      <w:r w:rsidRPr="004A3EB3">
        <w:rPr>
          <w:rFonts w:cs="Times New Roman"/>
        </w:rPr>
        <w:t xml:space="preserve">un 42. maddesinde, ödenmeyen kurum gelirinin genel hükümlere göre tahsil edileceği hususunun özel olarak düzenlendiği de gözetildiğinde, bu yolla tahsili mümkün olan bir alacak nedeniyle özel radyo veya televizyonların yayın faaliyetlerinin bütünüyle durdurulmasının Üst Kurul alacağının tahsili bakımından zorunlu olduğundan söz edilemeyeceği gibi, bu yaptırım ile ulaşılmak istenen amaç arasında </w:t>
      </w:r>
      <w:proofErr w:type="spellStart"/>
      <w:r w:rsidRPr="004A3EB3">
        <w:rPr>
          <w:rFonts w:cs="Times New Roman"/>
        </w:rPr>
        <w:t>makûl</w:t>
      </w:r>
      <w:proofErr w:type="spellEnd"/>
      <w:r w:rsidRPr="004A3EB3">
        <w:rPr>
          <w:rFonts w:cs="Times New Roman"/>
        </w:rPr>
        <w:t xml:space="preserve"> bir orantı da bulunmamaktadır. Bu durumun ise, yaptırıma konu eylem ile yaptırım ilişkisinde ölçülülük ilkesinin ihlâli sonucunu doğurduğu ve hukuk devleti ilkesine aykırılık oluşturduğu sonucuna varılmıştır.</w:t>
      </w:r>
    </w:p>
    <w:p w:rsidR="00FD50CE" w:rsidRPr="004A3EB3" w:rsidRDefault="00FD50CE" w:rsidP="002F065F">
      <w:pPr>
        <w:pStyle w:val="hvl-default"/>
        <w:ind w:firstLine="851"/>
        <w:jc w:val="both"/>
        <w:rPr>
          <w:rFonts w:cs="Times New Roman"/>
        </w:rPr>
      </w:pPr>
    </w:p>
    <w:p w:rsidR="00FD50CE" w:rsidRPr="004A3EB3" w:rsidRDefault="00FD50CE" w:rsidP="002F065F">
      <w:pPr>
        <w:pStyle w:val="hvl-default"/>
        <w:tabs>
          <w:tab w:val="left" w:pos="640"/>
        </w:tabs>
        <w:ind w:firstLine="851"/>
        <w:jc w:val="both"/>
        <w:rPr>
          <w:rFonts w:cs="Times New Roman"/>
        </w:rPr>
      </w:pPr>
      <w:r w:rsidRPr="004A3EB3">
        <w:rPr>
          <w:rFonts w:cs="Times New Roman"/>
        </w:rPr>
        <w:t>SONUÇ VE İSTEM:</w:t>
      </w:r>
    </w:p>
    <w:p w:rsidR="00FD50CE" w:rsidRPr="004A3EB3" w:rsidRDefault="00FD50CE" w:rsidP="002F065F">
      <w:pPr>
        <w:pStyle w:val="hvl-default"/>
        <w:tabs>
          <w:tab w:val="left" w:pos="640"/>
        </w:tabs>
        <w:ind w:firstLine="851"/>
        <w:jc w:val="both"/>
        <w:rPr>
          <w:rFonts w:cs="Times New Roman"/>
        </w:rPr>
      </w:pPr>
    </w:p>
    <w:p w:rsidR="00FD50CE" w:rsidRPr="004A3EB3" w:rsidRDefault="00FD50CE" w:rsidP="002F065F">
      <w:pPr>
        <w:pStyle w:val="edf1431600092391"/>
        <w:ind w:firstLine="851"/>
        <w:jc w:val="both"/>
        <w:rPr>
          <w:rFonts w:cs="Times New Roman"/>
        </w:rPr>
      </w:pPr>
      <w:r w:rsidRPr="004A3EB3">
        <w:rPr>
          <w:rFonts w:cs="Times New Roman"/>
        </w:rPr>
        <w:t>Açıklanan nedenlerle, bir davaya bakmakta olan mahkemenin, o davada uygulanacak bir kanun hükmünü Anayasa</w:t>
      </w:r>
      <w:r w:rsidR="004A3EB3">
        <w:rPr>
          <w:rFonts w:cs="Times New Roman"/>
        </w:rPr>
        <w:t>’</w:t>
      </w:r>
      <w:r w:rsidRPr="004A3EB3">
        <w:rPr>
          <w:rFonts w:cs="Times New Roman"/>
        </w:rPr>
        <w:t>ya aykırı görürse ilgili kanun hükmünün iptali için Anayasa Mahkemesi</w:t>
      </w:r>
      <w:r w:rsidR="004A3EB3">
        <w:rPr>
          <w:rFonts w:cs="Times New Roman"/>
        </w:rPr>
        <w:t>’</w:t>
      </w:r>
      <w:r w:rsidRPr="004A3EB3">
        <w:rPr>
          <w:rFonts w:cs="Times New Roman"/>
        </w:rPr>
        <w:t>ne başvurabileceğini düzenleyen 6216 sayılı Anayasa Mahkemesinin Kuruluşu ve Yargılama Usulleri Hakkında Kanun</w:t>
      </w:r>
      <w:r w:rsidR="004A3EB3">
        <w:rPr>
          <w:rFonts w:cs="Times New Roman"/>
        </w:rPr>
        <w:t>’</w:t>
      </w:r>
      <w:r w:rsidRPr="004A3EB3">
        <w:rPr>
          <w:rFonts w:cs="Times New Roman"/>
        </w:rPr>
        <w:t>un 40. maddesinin birinci fıkrası gereğince, 6112 sayılı Kanun</w:t>
      </w:r>
      <w:r w:rsidR="004A3EB3">
        <w:rPr>
          <w:rFonts w:cs="Times New Roman"/>
        </w:rPr>
        <w:t>’</w:t>
      </w:r>
      <w:r w:rsidRPr="004A3EB3">
        <w:rPr>
          <w:rFonts w:cs="Times New Roman"/>
        </w:rPr>
        <w:t xml:space="preserve">un Geçici 4. maddesinin 1. fıkrasının üçüncü cümlesinde yer alan </w:t>
      </w:r>
      <w:r w:rsidR="004A3EB3">
        <w:rPr>
          <w:rFonts w:cs="Times New Roman"/>
        </w:rPr>
        <w:t>“</w:t>
      </w:r>
      <w:r w:rsidRPr="004A3EB3">
        <w:rPr>
          <w:rFonts w:cs="Times New Roman"/>
          <w:i/>
          <w:iCs/>
        </w:rPr>
        <w:t xml:space="preserve">Kanal ve frekans kullanım bedelini 42 </w:t>
      </w:r>
      <w:proofErr w:type="spellStart"/>
      <w:r w:rsidRPr="004A3EB3">
        <w:rPr>
          <w:rFonts w:cs="Times New Roman"/>
          <w:i/>
          <w:iCs/>
        </w:rPr>
        <w:t>nci</w:t>
      </w:r>
      <w:proofErr w:type="spellEnd"/>
      <w:r w:rsidRPr="004A3EB3">
        <w:rPr>
          <w:rFonts w:cs="Times New Roman"/>
          <w:i/>
          <w:iCs/>
        </w:rPr>
        <w:t xml:space="preserve"> maddeye göre ödemeyen veya karasal yayın lisansları için sıralama ihalesinin yapılmasının ardından tahsise hak kazanmayan kuruluşların karasal yayınları bir ay içinde Üst Kurulca durdurulur</w:t>
      </w:r>
      <w:r w:rsidRPr="004A3EB3">
        <w:rPr>
          <w:rFonts w:cs="Times New Roman"/>
        </w:rPr>
        <w:t>.</w:t>
      </w:r>
      <w:r w:rsidR="004A3EB3">
        <w:rPr>
          <w:rFonts w:cs="Times New Roman"/>
        </w:rPr>
        <w:t>”</w:t>
      </w:r>
      <w:r w:rsidRPr="004A3EB3">
        <w:rPr>
          <w:rFonts w:cs="Times New Roman"/>
        </w:rPr>
        <w:t xml:space="preserve"> kuralının Anayasa</w:t>
      </w:r>
      <w:r w:rsidR="004A3EB3">
        <w:rPr>
          <w:rFonts w:cs="Times New Roman"/>
        </w:rPr>
        <w:t>’</w:t>
      </w:r>
      <w:r w:rsidRPr="004A3EB3">
        <w:rPr>
          <w:rFonts w:cs="Times New Roman"/>
        </w:rPr>
        <w:t>nın 2. maddesine aykırı olduğu sonucuna ulaşılması nedeniyle aykırı olan kısmın iptali için Anayasa Mahkemesi</w:t>
      </w:r>
      <w:r w:rsidR="004A3EB3">
        <w:rPr>
          <w:rFonts w:cs="Times New Roman"/>
        </w:rPr>
        <w:t>’</w:t>
      </w:r>
      <w:r w:rsidRPr="004A3EB3">
        <w:rPr>
          <w:rFonts w:cs="Times New Roman"/>
        </w:rPr>
        <w:t>ne başvurulmasına, bu hükmün Anayasa</w:t>
      </w:r>
      <w:r w:rsidR="004A3EB3">
        <w:rPr>
          <w:rFonts w:cs="Times New Roman"/>
        </w:rPr>
        <w:t>’</w:t>
      </w:r>
      <w:r w:rsidRPr="004A3EB3">
        <w:rPr>
          <w:rFonts w:cs="Times New Roman"/>
        </w:rPr>
        <w:t xml:space="preserve">ya aykırılığı ve uygulanması durumunda telafisi güç zararlar doğabileceği gözetilerek esas hakkında bir karar verilinceye kadar yürürlüğünün </w:t>
      </w:r>
      <w:proofErr w:type="gramStart"/>
      <w:r w:rsidRPr="004A3EB3">
        <w:rPr>
          <w:rFonts w:cs="Times New Roman"/>
        </w:rPr>
        <w:t>durdurulmasının</w:t>
      </w:r>
      <w:proofErr w:type="gramEnd"/>
      <w:r w:rsidRPr="004A3EB3">
        <w:rPr>
          <w:rFonts w:cs="Times New Roman"/>
        </w:rPr>
        <w:t xml:space="preserve"> istenilmesine, iptali istenen hükmün Anayasa</w:t>
      </w:r>
      <w:r w:rsidR="004A3EB3">
        <w:rPr>
          <w:rFonts w:cs="Times New Roman"/>
        </w:rPr>
        <w:t>’</w:t>
      </w:r>
      <w:r w:rsidRPr="004A3EB3">
        <w:rPr>
          <w:rFonts w:cs="Times New Roman"/>
        </w:rPr>
        <w:t>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w:t>
      </w:r>
      <w:r w:rsidR="004A3EB3">
        <w:rPr>
          <w:rFonts w:cs="Times New Roman"/>
        </w:rPr>
        <w:t>’</w:t>
      </w:r>
      <w:r w:rsidRPr="004A3EB3">
        <w:rPr>
          <w:rFonts w:cs="Times New Roman"/>
        </w:rPr>
        <w:t>na gönderilmesine, 06/03/2019 tarihinde oybirliğiyle karar verildi.</w:t>
      </w:r>
      <w:r w:rsidR="004A3EB3">
        <w:rPr>
          <w:rFonts w:cs="Times New Roman"/>
        </w:rPr>
        <w:t>”</w:t>
      </w:r>
    </w:p>
    <w:p w:rsidR="00FD50CE" w:rsidRPr="004A3EB3" w:rsidRDefault="00FD50CE" w:rsidP="002F065F">
      <w:pPr>
        <w:pStyle w:val="edf1354277930125"/>
        <w:ind w:firstLine="851"/>
        <w:rPr>
          <w:rFonts w:cs="Times New Roman"/>
        </w:rPr>
      </w:pPr>
    </w:p>
    <w:sectPr w:rsidR="00FD50CE" w:rsidRPr="004A3EB3" w:rsidSect="002F065F">
      <w:headerReference w:type="default" r:id="rId6"/>
      <w:footerReference w:type="default" r:id="rId7"/>
      <w:pgSz w:w="11906" w:h="16838"/>
      <w:pgMar w:top="1985" w:right="1418" w:bottom="1418" w:left="1418" w:header="403" w:footer="40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F31" w:rsidRDefault="00104F31">
      <w:r>
        <w:separator/>
      </w:r>
    </w:p>
  </w:endnote>
  <w:endnote w:type="continuationSeparator" w:id="0">
    <w:p w:rsidR="00104F31" w:rsidRDefault="0010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Arial Unicode MS"/>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5F" w:rsidRDefault="002F065F">
    <w:pPr>
      <w:pStyle w:val="Altbilgi"/>
      <w:jc w:val="right"/>
    </w:pPr>
    <w:r>
      <w:fldChar w:fldCharType="begin"/>
    </w:r>
    <w:r>
      <w:instrText>PAGE   \* MERGEFORMAT</w:instrText>
    </w:r>
    <w:r>
      <w:fldChar w:fldCharType="separate"/>
    </w:r>
    <w:r>
      <w:rPr>
        <w:noProof/>
      </w:rPr>
      <w:t>2</w:t>
    </w:r>
    <w:r>
      <w:fldChar w:fldCharType="end"/>
    </w:r>
  </w:p>
  <w:p w:rsidR="00FD50CE" w:rsidRDefault="00FD50CE">
    <w:pPr>
      <w:pStyle w:val="Altbilgi"/>
      <w:spacing w:line="403" w:lineRule="exact"/>
      <w:ind w:firstLine="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F31" w:rsidRDefault="00104F31">
      <w:r>
        <w:separator/>
      </w:r>
    </w:p>
  </w:footnote>
  <w:footnote w:type="continuationSeparator" w:id="0">
    <w:p w:rsidR="00104F31" w:rsidRDefault="00104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5F" w:rsidRPr="002F065F" w:rsidRDefault="002F065F" w:rsidP="002F065F">
    <w:pPr>
      <w:pStyle w:val="edf1429708218264"/>
      <w:jc w:val="both"/>
      <w:rPr>
        <w:rFonts w:cs="Times New Roman"/>
        <w:sz w:val="20"/>
        <w:szCs w:val="20"/>
      </w:rPr>
    </w:pPr>
    <w:r w:rsidRPr="002F065F">
      <w:rPr>
        <w:rFonts w:cs="Times New Roman"/>
        <w:sz w:val="20"/>
        <w:szCs w:val="20"/>
      </w:rPr>
      <w:t xml:space="preserve">Esas Sayısı </w:t>
    </w:r>
    <w:proofErr w:type="gramStart"/>
    <w:r w:rsidRPr="002F065F">
      <w:rPr>
        <w:rFonts w:cs="Times New Roman"/>
        <w:sz w:val="20"/>
        <w:szCs w:val="20"/>
      </w:rPr>
      <w:t xml:space="preserve">  :</w:t>
    </w:r>
    <w:proofErr w:type="gramEnd"/>
    <w:r w:rsidRPr="002F065F">
      <w:rPr>
        <w:rFonts w:cs="Times New Roman"/>
        <w:sz w:val="20"/>
        <w:szCs w:val="20"/>
      </w:rPr>
      <w:t xml:space="preserve"> 2019/70</w:t>
    </w:r>
  </w:p>
  <w:p w:rsidR="002F065F" w:rsidRPr="002F065F" w:rsidRDefault="002F065F" w:rsidP="002F065F">
    <w:pPr>
      <w:pStyle w:val="edf1429708218264"/>
      <w:jc w:val="both"/>
      <w:rPr>
        <w:rFonts w:cs="Times New Roman"/>
        <w:sz w:val="20"/>
        <w:szCs w:val="20"/>
      </w:rPr>
    </w:pPr>
    <w:r w:rsidRPr="002F065F">
      <w:rPr>
        <w:rFonts w:cs="Times New Roman"/>
        <w:sz w:val="20"/>
        <w:szCs w:val="20"/>
      </w:rPr>
      <w:t xml:space="preserve">Karar </w:t>
    </w:r>
    <w:proofErr w:type="gramStart"/>
    <w:r w:rsidRPr="002F065F">
      <w:rPr>
        <w:rFonts w:cs="Times New Roman"/>
        <w:sz w:val="20"/>
        <w:szCs w:val="20"/>
      </w:rPr>
      <w:t>Sayısı :</w:t>
    </w:r>
    <w:proofErr w:type="gramEnd"/>
    <w:r w:rsidRPr="002F065F">
      <w:rPr>
        <w:rFonts w:cs="Times New Roman"/>
        <w:sz w:val="20"/>
        <w:szCs w:val="20"/>
      </w:rPr>
      <w:t xml:space="preserve"> 2019/81</w:t>
    </w:r>
  </w:p>
  <w:p w:rsidR="002F065F" w:rsidRDefault="002F065F">
    <w:pPr>
      <w:pStyle w:val="stbilgi"/>
    </w:pPr>
  </w:p>
  <w:p w:rsidR="00FD50CE" w:rsidRDefault="00FD50CE">
    <w:pPr>
      <w:pStyle w:val="stbilgi"/>
      <w:tabs>
        <w:tab w:val="left" w:pos="700"/>
      </w:tabs>
      <w:spacing w:line="403" w:lineRule="exac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B3"/>
    <w:rsid w:val="00104F31"/>
    <w:rsid w:val="002F065F"/>
    <w:rsid w:val="004A0398"/>
    <w:rsid w:val="004A3EB3"/>
    <w:rsid w:val="00B63E2F"/>
    <w:rsid w:val="00E424F6"/>
    <w:rsid w:val="00EA0C2B"/>
    <w:rsid w:val="00FD50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E638462-9EA0-4F05-9683-785B282C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431600005212">
    <w:name w:val="edf_1431600005212"/>
    <w:pPr>
      <w:widowControl w:val="0"/>
      <w:suppressAutoHyphens/>
    </w:pPr>
    <w:rPr>
      <w:rFonts w:eastAsia="Andale Sans UI" w:cs="Tahoma"/>
      <w:kern w:val="1"/>
      <w:sz w:val="24"/>
      <w:szCs w:val="24"/>
      <w:lang w:eastAsia="ja-JP" w:bidi="fa-IR"/>
    </w:rPr>
  </w:style>
  <w:style w:type="paragraph" w:customStyle="1" w:styleId="edf1429708218284">
    <w:name w:val="edf_1429708218284"/>
    <w:pPr>
      <w:widowControl w:val="0"/>
      <w:suppressAutoHyphens/>
    </w:pPr>
    <w:rPr>
      <w:rFonts w:eastAsia="Andale Sans UI" w:cs="Tahoma"/>
      <w:kern w:val="1"/>
      <w:sz w:val="24"/>
      <w:szCs w:val="24"/>
      <w:lang w:eastAsia="ja-JP" w:bidi="fa-IR"/>
    </w:rPr>
  </w:style>
  <w:style w:type="paragraph" w:customStyle="1" w:styleId="edf1354277930125">
    <w:name w:val="edf_1354277930125"/>
    <w:pPr>
      <w:widowControl w:val="0"/>
      <w:suppressAutoHyphens/>
    </w:pPr>
    <w:rPr>
      <w:rFonts w:eastAsia="Andale Sans UI" w:cs="Tahoma"/>
      <w:kern w:val="1"/>
      <w:sz w:val="24"/>
      <w:szCs w:val="24"/>
      <w:lang w:eastAsia="ja-JP" w:bidi="fa-IR"/>
    </w:rPr>
  </w:style>
  <w:style w:type="paragraph" w:customStyle="1" w:styleId="edf1429708218274">
    <w:name w:val="edf_1429708218274"/>
    <w:pPr>
      <w:widowControl w:val="0"/>
      <w:suppressAutoHyphens/>
    </w:pPr>
    <w:rPr>
      <w:rFonts w:eastAsia="Andale Sans UI" w:cs="Tahoma"/>
      <w:kern w:val="1"/>
      <w:sz w:val="24"/>
      <w:szCs w:val="24"/>
      <w:lang w:eastAsia="ja-JP" w:bidi="fa-IR"/>
    </w:rPr>
  </w:style>
  <w:style w:type="paragraph" w:customStyle="1" w:styleId="edf1429708330144">
    <w:name w:val="edf_1429708330144"/>
    <w:pPr>
      <w:widowControl w:val="0"/>
      <w:suppressAutoHyphens/>
    </w:pPr>
    <w:rPr>
      <w:rFonts w:eastAsia="Andale Sans UI" w:cs="Tahoma"/>
      <w:kern w:val="1"/>
      <w:sz w:val="24"/>
      <w:szCs w:val="24"/>
      <w:lang w:eastAsia="ja-JP" w:bidi="fa-IR"/>
    </w:rPr>
  </w:style>
  <w:style w:type="paragraph" w:customStyle="1" w:styleId="edf1429708218264">
    <w:name w:val="edf_1429708218264"/>
    <w:pPr>
      <w:widowControl w:val="0"/>
      <w:suppressAutoHyphens/>
    </w:pPr>
    <w:rPr>
      <w:rFonts w:eastAsia="Andale Sans UI" w:cs="Tahoma"/>
      <w:kern w:val="1"/>
      <w:sz w:val="24"/>
      <w:szCs w:val="24"/>
      <w:lang w:eastAsia="ja-JP" w:bidi="fa-IR"/>
    </w:rPr>
  </w:style>
  <w:style w:type="paragraph" w:customStyle="1" w:styleId="edf1511166732800">
    <w:name w:val="edf_1511166732800"/>
    <w:pPr>
      <w:widowControl w:val="0"/>
      <w:suppressAutoHyphens/>
    </w:pPr>
    <w:rPr>
      <w:rFonts w:eastAsia="Andale Sans UI" w:cs="Tahoma"/>
      <w:kern w:val="1"/>
      <w:sz w:val="24"/>
      <w:szCs w:val="24"/>
      <w:lang w:eastAsia="ja-JP" w:bidi="fa-IR"/>
    </w:rPr>
  </w:style>
  <w:style w:type="paragraph" w:customStyle="1" w:styleId="edf1429708218364">
    <w:name w:val="edf_1429708218364"/>
    <w:pPr>
      <w:widowControl w:val="0"/>
      <w:suppressAutoHyphens/>
    </w:pPr>
    <w:rPr>
      <w:rFonts w:eastAsia="Andale Sans UI" w:cs="Tahoma"/>
      <w:kern w:val="1"/>
      <w:sz w:val="24"/>
      <w:szCs w:val="24"/>
      <w:lang w:eastAsia="ja-JP" w:bidi="fa-IR"/>
    </w:rPr>
  </w:style>
  <w:style w:type="paragraph" w:customStyle="1" w:styleId="edf1429708218344">
    <w:name w:val="edf_1429708218344"/>
    <w:pPr>
      <w:widowControl w:val="0"/>
      <w:suppressAutoHyphens/>
    </w:pPr>
    <w:rPr>
      <w:rFonts w:eastAsia="Andale Sans UI" w:cs="Tahoma"/>
      <w:kern w:val="1"/>
      <w:sz w:val="24"/>
      <w:szCs w:val="24"/>
      <w:lang w:eastAsia="ja-JP" w:bidi="fa-IR"/>
    </w:rPr>
  </w:style>
  <w:style w:type="paragraph" w:customStyle="1" w:styleId="edf1352465287672">
    <w:name w:val="edf_1352465287672"/>
    <w:pPr>
      <w:widowControl w:val="0"/>
      <w:suppressAutoHyphens/>
    </w:pPr>
    <w:rPr>
      <w:rFonts w:eastAsia="Andale Sans UI" w:cs="Tahoma"/>
      <w:kern w:val="1"/>
      <w:sz w:val="24"/>
      <w:szCs w:val="24"/>
      <w:lang w:eastAsia="ja-JP" w:bidi="fa-IR"/>
    </w:rPr>
  </w:style>
  <w:style w:type="paragraph" w:customStyle="1" w:styleId="edf1429708218334">
    <w:name w:val="edf_1429708218334"/>
    <w:pPr>
      <w:widowControl w:val="0"/>
      <w:suppressAutoHyphens/>
    </w:pPr>
    <w:rPr>
      <w:rFonts w:eastAsia="Andale Sans UI" w:cs="Tahoma"/>
      <w:kern w:val="1"/>
      <w:sz w:val="24"/>
      <w:szCs w:val="24"/>
      <w:lang w:eastAsia="ja-JP" w:bidi="fa-IR"/>
    </w:rPr>
  </w:style>
  <w:style w:type="paragraph" w:customStyle="1" w:styleId="edf1431600092391">
    <w:name w:val="edf_1431600092391"/>
    <w:pPr>
      <w:widowControl w:val="0"/>
      <w:suppressAutoHyphens/>
    </w:pPr>
    <w:rPr>
      <w:rFonts w:eastAsia="Andale Sans UI" w:cs="Tahoma"/>
      <w:kern w:val="1"/>
      <w:sz w:val="24"/>
      <w:szCs w:val="24"/>
      <w:lang w:eastAsia="ja-JP" w:bidi="fa-IR"/>
    </w:rPr>
  </w:style>
  <w:style w:type="paragraph" w:customStyle="1" w:styleId="edf1429708218324">
    <w:name w:val="edf_1429708218324"/>
    <w:pPr>
      <w:widowControl w:val="0"/>
      <w:suppressAutoHyphens/>
    </w:pPr>
    <w:rPr>
      <w:rFonts w:eastAsia="Andale Sans UI" w:cs="Tahoma"/>
      <w:kern w:val="1"/>
      <w:sz w:val="24"/>
      <w:szCs w:val="24"/>
      <w:lang w:eastAsia="ja-JP" w:bidi="fa-IR"/>
    </w:rPr>
  </w:style>
  <w:style w:type="paragraph" w:customStyle="1" w:styleId="edf1431508019110">
    <w:name w:val="edf_1431508019110"/>
    <w:pPr>
      <w:widowControl w:val="0"/>
      <w:suppressAutoHyphens/>
    </w:pPr>
    <w:rPr>
      <w:rFonts w:eastAsia="Andale Sans UI" w:cs="Tahoma"/>
      <w:kern w:val="1"/>
      <w:sz w:val="24"/>
      <w:szCs w:val="24"/>
      <w:lang w:eastAsia="ja-JP" w:bidi="fa-IR"/>
    </w:rPr>
  </w:style>
  <w:style w:type="paragraph" w:customStyle="1" w:styleId="edf1429708218404">
    <w:name w:val="edf_1429708218404"/>
    <w:pPr>
      <w:widowControl w:val="0"/>
      <w:suppressAutoHyphens/>
    </w:pPr>
    <w:rPr>
      <w:rFonts w:eastAsia="Andale Sans UI" w:cs="Tahoma"/>
      <w:kern w:val="1"/>
      <w:sz w:val="24"/>
      <w:szCs w:val="24"/>
      <w:lang w:eastAsia="ja-JP" w:bidi="fa-IR"/>
    </w:rPr>
  </w:style>
  <w:style w:type="paragraph" w:customStyle="1" w:styleId="edf1364297744183">
    <w:name w:val="edf_1364297744183"/>
    <w:pPr>
      <w:widowControl w:val="0"/>
      <w:suppressAutoHyphens/>
    </w:pPr>
    <w:rPr>
      <w:rFonts w:eastAsia="Andale Sans UI" w:cs="Tahoma"/>
      <w:kern w:val="1"/>
      <w:sz w:val="24"/>
      <w:szCs w:val="24"/>
      <w:lang w:eastAsia="ja-JP" w:bidi="fa-IR"/>
    </w:rPr>
  </w:style>
  <w:style w:type="paragraph" w:customStyle="1" w:styleId="edf1431508686985">
    <w:name w:val="edf_1431508686985"/>
    <w:pPr>
      <w:widowControl w:val="0"/>
      <w:suppressAutoHyphens/>
    </w:pPr>
    <w:rPr>
      <w:rFonts w:eastAsia="Andale Sans UI" w:cs="Tahoma"/>
      <w:kern w:val="1"/>
      <w:sz w:val="24"/>
      <w:szCs w:val="24"/>
      <w:lang w:eastAsia="ja-JP"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ja-JP" w:bidi="fa-IR"/>
    </w:rPr>
  </w:style>
  <w:style w:type="paragraph" w:customStyle="1" w:styleId="edf1459162018788">
    <w:name w:val="edf_1459162018788"/>
    <w:pPr>
      <w:widowControl w:val="0"/>
      <w:suppressAutoHyphens/>
    </w:pPr>
    <w:rPr>
      <w:rFonts w:eastAsia="Andale Sans UI" w:cs="Tahoma"/>
      <w:kern w:val="1"/>
      <w:sz w:val="24"/>
      <w:szCs w:val="24"/>
      <w:lang w:eastAsia="ja-JP" w:bidi="fa-IR"/>
    </w:rPr>
  </w:style>
  <w:style w:type="paragraph" w:customStyle="1" w:styleId="edf1431613732221">
    <w:name w:val="edf_1431613732221"/>
    <w:pPr>
      <w:widowControl w:val="0"/>
      <w:suppressAutoHyphens/>
    </w:pPr>
    <w:rPr>
      <w:rFonts w:eastAsia="Andale Sans UI" w:cs="Tahoma"/>
      <w:kern w:val="1"/>
      <w:sz w:val="24"/>
      <w:szCs w:val="24"/>
      <w:lang w:eastAsia="ja-JP" w:bidi="fa-IR"/>
    </w:rPr>
  </w:style>
  <w:style w:type="paragraph" w:customStyle="1" w:styleId="hvl-default">
    <w:name w:val="hvl-default"/>
    <w:pPr>
      <w:widowControl w:val="0"/>
      <w:suppressAutoHyphens/>
    </w:pPr>
    <w:rPr>
      <w:rFonts w:eastAsia="Andale Sans UI" w:cs="Tahoma"/>
      <w:kern w:val="1"/>
      <w:sz w:val="24"/>
      <w:szCs w:val="24"/>
      <w:lang w:eastAsia="ja-JP" w:bidi="fa-IR"/>
    </w:rPr>
  </w:style>
  <w:style w:type="paragraph" w:customStyle="1" w:styleId="edf1496838645874">
    <w:name w:val="edf_1496838645874"/>
    <w:pPr>
      <w:widowControl w:val="0"/>
      <w:suppressAutoHyphens/>
    </w:pPr>
    <w:rPr>
      <w:rFonts w:eastAsia="Andale Sans UI" w:cs="Tahoma"/>
      <w:kern w:val="1"/>
      <w:sz w:val="24"/>
      <w:szCs w:val="24"/>
      <w:lang w:eastAsia="ja-JP" w:bidi="fa-IR"/>
    </w:rPr>
  </w:style>
  <w:style w:type="paragraph" w:styleId="stbilgi">
    <w:name w:val="Üstbilgi"/>
    <w:link w:val="stbilgiChar"/>
    <w:uiPriority w:val="99"/>
    <w:pPr>
      <w:widowControl w:val="0"/>
      <w:suppressAutoHyphens/>
    </w:pPr>
    <w:rPr>
      <w:rFonts w:eastAsia="Andale Sans UI" w:cs="Tahoma"/>
      <w:kern w:val="1"/>
      <w:sz w:val="24"/>
      <w:szCs w:val="24"/>
      <w:lang w:eastAsia="ja-JP" w:bidi="fa-IR"/>
    </w:rPr>
  </w:style>
  <w:style w:type="paragraph" w:styleId="Altbilgi">
    <w:name w:val="Altbilgi"/>
    <w:link w:val="AltbilgiChar"/>
    <w:uiPriority w:val="99"/>
    <w:pPr>
      <w:widowControl w:val="0"/>
      <w:suppressAutoHyphens/>
    </w:pPr>
    <w:rPr>
      <w:rFonts w:eastAsia="Andale Sans UI" w:cs="Tahoma"/>
      <w:kern w:val="1"/>
      <w:sz w:val="24"/>
      <w:szCs w:val="24"/>
      <w:lang w:eastAsia="ja-JP" w:bidi="fa-IR"/>
    </w:rPr>
  </w:style>
  <w:style w:type="paragraph" w:customStyle="1" w:styleId="Tabloerii">
    <w:name w:val="Tablo İçeriği"/>
    <w:basedOn w:val="Normal"/>
    <w:pPr>
      <w:suppressLineNumbers/>
    </w:pPr>
  </w:style>
  <w:style w:type="character" w:customStyle="1" w:styleId="AltbilgiChar">
    <w:name w:val="Altbilgi Char"/>
    <w:link w:val="Altbilgi"/>
    <w:uiPriority w:val="99"/>
    <w:rsid w:val="002F065F"/>
    <w:rPr>
      <w:rFonts w:eastAsia="Andale Sans UI" w:cs="Tahoma"/>
      <w:kern w:val="1"/>
      <w:sz w:val="24"/>
      <w:szCs w:val="24"/>
      <w:lang w:eastAsia="ja-JP" w:bidi="fa-IR"/>
    </w:rPr>
  </w:style>
  <w:style w:type="character" w:customStyle="1" w:styleId="stbilgiChar">
    <w:name w:val="Üstbilgi Char"/>
    <w:link w:val="stbilgi"/>
    <w:uiPriority w:val="99"/>
    <w:rsid w:val="002F065F"/>
    <w:rPr>
      <w:rFonts w:eastAsia="Andale Sans UI" w:cs="Tahoma"/>
      <w:kern w:val="1"/>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5427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cp:lastPrinted>1601-01-01T00:00:00Z</cp:lastPrinted>
  <dcterms:created xsi:type="dcterms:W3CDTF">2020-06-19T06:56:00Z</dcterms:created>
  <dcterms:modified xsi:type="dcterms:W3CDTF">2020-06-19T06:56:00Z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