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F2B" w:rsidRPr="005E0F2B" w:rsidRDefault="005E0F2B" w:rsidP="005E0F2B">
      <w:pPr>
        <w:pStyle w:val="Balk10"/>
        <w:widowControl/>
        <w:shd w:val="clear" w:color="auto" w:fill="auto"/>
        <w:spacing w:before="240" w:after="100" w:afterAutospacing="1" w:line="240" w:lineRule="auto"/>
        <w:ind w:firstLine="709"/>
        <w:outlineLvl w:val="9"/>
        <w:rPr>
          <w:b w:val="0"/>
          <w:sz w:val="24"/>
        </w:rPr>
      </w:pPr>
      <w:bookmarkStart w:id="0" w:name="bookmark0"/>
      <w:bookmarkStart w:id="1" w:name="_GoBack"/>
      <w:bookmarkEnd w:id="1"/>
      <w:r w:rsidRPr="005E0F2B">
        <w:rPr>
          <w:b w:val="0"/>
          <w:sz w:val="24"/>
        </w:rPr>
        <w:t>“...</w:t>
      </w:r>
    </w:p>
    <w:p w:rsidR="005E0F2B" w:rsidRDefault="005E0F2B" w:rsidP="005E0F2B">
      <w:pPr>
        <w:pStyle w:val="Balk10"/>
        <w:widowControl/>
        <w:numPr>
          <w:ilvl w:val="0"/>
          <w:numId w:val="4"/>
        </w:numPr>
        <w:shd w:val="clear" w:color="auto" w:fill="auto"/>
        <w:tabs>
          <w:tab w:val="left" w:pos="851"/>
        </w:tabs>
        <w:spacing w:before="240" w:after="100" w:afterAutospacing="1" w:line="240" w:lineRule="auto"/>
        <w:ind w:left="0" w:firstLine="709"/>
        <w:outlineLvl w:val="9"/>
        <w:rPr>
          <w:b w:val="0"/>
          <w:sz w:val="24"/>
        </w:rPr>
      </w:pPr>
      <w:r w:rsidRPr="005E0F2B">
        <w:rPr>
          <w:b w:val="0"/>
          <w:sz w:val="24"/>
        </w:rPr>
        <w:t>İTİRAZ KONUSU KANUN HÜKÜMLERİ</w:t>
      </w:r>
      <w:bookmarkEnd w:id="0"/>
    </w:p>
    <w:p w:rsidR="005E0F2B" w:rsidRDefault="005E0F2B" w:rsidP="005E0F2B">
      <w:pPr>
        <w:pStyle w:val="Gvdemetni20"/>
        <w:widowControl/>
        <w:shd w:val="clear" w:color="auto" w:fill="auto"/>
        <w:spacing w:before="240" w:after="100" w:afterAutospacing="1" w:line="240" w:lineRule="auto"/>
        <w:ind w:firstLine="709"/>
        <w:rPr>
          <w:sz w:val="24"/>
        </w:rPr>
      </w:pPr>
      <w:r w:rsidRPr="005E0F2B">
        <w:rPr>
          <w:sz w:val="24"/>
        </w:rPr>
        <w:t>5015 sayılı "Petrol Piyasası Kanunu"nun 6455 sayılı Kanun’un 44. maddesiyle değiştirilen 19. maddesi şöyledir.</w:t>
      </w:r>
    </w:p>
    <w:p w:rsidR="005E0F2B" w:rsidRDefault="005E0F2B" w:rsidP="005E0F2B">
      <w:pPr>
        <w:pStyle w:val="Gvdemetni20"/>
        <w:widowControl/>
        <w:shd w:val="clear" w:color="auto" w:fill="auto"/>
        <w:spacing w:before="240" w:after="100" w:afterAutospacing="1" w:line="240" w:lineRule="auto"/>
        <w:ind w:firstLine="709"/>
        <w:rPr>
          <w:sz w:val="24"/>
        </w:rPr>
      </w:pPr>
      <w:r w:rsidRPr="005E0F2B">
        <w:rPr>
          <w:sz w:val="24"/>
        </w:rPr>
        <w:t>Bu Kanuna göre idari para cezalarının veya idari yaptırımların uygulanması, bu Kanunun diğer hükümlerinin uygulanmasına engel oluşturmaz. Bu Kanuna göre verilen ceza ve tedbirler diğer kanunlar gereği yapılacak işlemleri engellemez.</w:t>
      </w:r>
    </w:p>
    <w:p w:rsidR="005E0F2B" w:rsidRDefault="005E0F2B" w:rsidP="005E0F2B">
      <w:pPr>
        <w:pStyle w:val="Gvdemetni20"/>
        <w:widowControl/>
        <w:shd w:val="clear" w:color="auto" w:fill="auto"/>
        <w:spacing w:before="240" w:after="100" w:afterAutospacing="1" w:line="240" w:lineRule="auto"/>
        <w:ind w:firstLine="709"/>
        <w:rPr>
          <w:sz w:val="24"/>
        </w:rPr>
      </w:pPr>
      <w:r w:rsidRPr="005E0F2B">
        <w:rPr>
          <w:sz w:val="24"/>
        </w:rPr>
        <w:t>Bu Kanuna göre;</w:t>
      </w:r>
    </w:p>
    <w:p w:rsidR="005E0F2B" w:rsidRDefault="005E0F2B" w:rsidP="005E0F2B">
      <w:pPr>
        <w:pStyle w:val="Balk10"/>
        <w:widowControl/>
        <w:numPr>
          <w:ilvl w:val="0"/>
          <w:numId w:val="5"/>
        </w:numPr>
        <w:shd w:val="clear" w:color="auto" w:fill="auto"/>
        <w:spacing w:before="240" w:after="100" w:afterAutospacing="1" w:line="240" w:lineRule="auto"/>
        <w:ind w:left="0" w:firstLine="709"/>
        <w:outlineLvl w:val="9"/>
        <w:rPr>
          <w:b w:val="0"/>
          <w:sz w:val="24"/>
        </w:rPr>
      </w:pPr>
      <w:bookmarkStart w:id="2" w:name="bookmark1"/>
      <w:r w:rsidRPr="005E0F2B">
        <w:rPr>
          <w:b w:val="0"/>
          <w:sz w:val="24"/>
        </w:rPr>
        <w:t>Aşağıdaki hallerde, sorumlulara bir milyon Türk Lirası idari para cezası verilir:</w:t>
      </w:r>
      <w:bookmarkEnd w:id="2"/>
    </w:p>
    <w:p w:rsidR="005E0F2B" w:rsidRDefault="005E0F2B" w:rsidP="005E0F2B">
      <w:pPr>
        <w:pStyle w:val="Gvdemetni20"/>
        <w:widowControl/>
        <w:numPr>
          <w:ilvl w:val="0"/>
          <w:numId w:val="1"/>
        </w:numPr>
        <w:shd w:val="clear" w:color="auto" w:fill="auto"/>
        <w:tabs>
          <w:tab w:val="left" w:pos="1273"/>
        </w:tabs>
        <w:spacing w:before="240" w:after="100" w:afterAutospacing="1" w:line="240" w:lineRule="auto"/>
        <w:ind w:firstLine="709"/>
        <w:rPr>
          <w:sz w:val="24"/>
        </w:rPr>
      </w:pPr>
      <w:r w:rsidRPr="005E0F2B">
        <w:rPr>
          <w:sz w:val="24"/>
        </w:rPr>
        <w:t>Lisans almaksızın lisansa tabi faaliyetlerin yapılması.</w:t>
      </w:r>
    </w:p>
    <w:p w:rsidR="005E0F2B" w:rsidRDefault="005E0F2B" w:rsidP="005E0F2B">
      <w:pPr>
        <w:pStyle w:val="Balk10"/>
        <w:widowControl/>
        <w:numPr>
          <w:ilvl w:val="0"/>
          <w:numId w:val="1"/>
        </w:numPr>
        <w:shd w:val="clear" w:color="auto" w:fill="auto"/>
        <w:tabs>
          <w:tab w:val="left" w:pos="1301"/>
        </w:tabs>
        <w:spacing w:before="240" w:after="100" w:afterAutospacing="1" w:line="240" w:lineRule="auto"/>
        <w:ind w:firstLine="709"/>
        <w:outlineLvl w:val="9"/>
        <w:rPr>
          <w:b w:val="0"/>
          <w:sz w:val="24"/>
        </w:rPr>
      </w:pPr>
      <w:bookmarkStart w:id="3" w:name="bookmark2"/>
      <w:r w:rsidRPr="005E0F2B">
        <w:rPr>
          <w:b w:val="0"/>
          <w:sz w:val="24"/>
        </w:rPr>
        <w:t>4 üncü maddenin dördüncü fıkrasının (1) bendinin ihlali.</w:t>
      </w:r>
      <w:bookmarkEnd w:id="3"/>
    </w:p>
    <w:p w:rsidR="005E0F2B" w:rsidRDefault="005E0F2B" w:rsidP="005E0F2B">
      <w:pPr>
        <w:pStyle w:val="Balk10"/>
        <w:widowControl/>
        <w:numPr>
          <w:ilvl w:val="0"/>
          <w:numId w:val="2"/>
        </w:numPr>
        <w:shd w:val="clear" w:color="auto" w:fill="auto"/>
        <w:tabs>
          <w:tab w:val="left" w:pos="1364"/>
        </w:tabs>
        <w:spacing w:before="240" w:after="100" w:afterAutospacing="1" w:line="240" w:lineRule="auto"/>
        <w:ind w:firstLine="709"/>
        <w:outlineLvl w:val="9"/>
        <w:rPr>
          <w:b w:val="0"/>
          <w:sz w:val="24"/>
        </w:rPr>
      </w:pPr>
      <w:bookmarkStart w:id="4" w:name="bookmark3"/>
      <w:r w:rsidRPr="005E0F2B">
        <w:rPr>
          <w:b w:val="0"/>
          <w:sz w:val="24"/>
        </w:rPr>
        <w:t>İLGİLİ KANUN HÜKÜMLERİ</w:t>
      </w:r>
      <w:bookmarkEnd w:id="4"/>
    </w:p>
    <w:p w:rsidR="005E0F2B" w:rsidRDefault="005E0F2B" w:rsidP="005E0F2B">
      <w:pPr>
        <w:pStyle w:val="Gvdemetni30"/>
        <w:widowControl/>
        <w:shd w:val="clear" w:color="auto" w:fill="auto"/>
        <w:spacing w:before="240" w:after="100" w:afterAutospacing="1" w:line="240" w:lineRule="auto"/>
        <w:ind w:firstLine="709"/>
        <w:rPr>
          <w:b w:val="0"/>
          <w:sz w:val="24"/>
        </w:rPr>
      </w:pPr>
      <w:r w:rsidRPr="005E0F2B">
        <w:rPr>
          <w:b w:val="0"/>
          <w:sz w:val="24"/>
        </w:rPr>
        <w:t>Bayiler</w:t>
      </w:r>
    </w:p>
    <w:p w:rsidR="005E0F2B" w:rsidRDefault="005E0F2B" w:rsidP="005E0F2B">
      <w:pPr>
        <w:pStyle w:val="Gvdemetni20"/>
        <w:widowControl/>
        <w:shd w:val="clear" w:color="auto" w:fill="auto"/>
        <w:spacing w:before="240" w:after="100" w:afterAutospacing="1" w:line="240" w:lineRule="auto"/>
        <w:ind w:firstLine="709"/>
        <w:rPr>
          <w:sz w:val="24"/>
        </w:rPr>
      </w:pPr>
      <w:r w:rsidRPr="005E0F2B">
        <w:rPr>
          <w:rStyle w:val="Gvdemetni2Kaln"/>
          <w:b w:val="0"/>
          <w:sz w:val="24"/>
        </w:rPr>
        <w:t>Madde 4-</w:t>
      </w:r>
      <w:r w:rsidRPr="005E0F2B">
        <w:rPr>
          <w:rStyle w:val="Gvdemetni2Kaln"/>
          <w:sz w:val="24"/>
        </w:rPr>
        <w:t xml:space="preserve"> </w:t>
      </w:r>
      <w:r w:rsidRPr="005E0F2B">
        <w:rPr>
          <w:sz w:val="24"/>
        </w:rPr>
        <w:t>Lisans, sahibine lisansta yer alan faaliyetin yapılması ile bu konularda taahhütlere girişilmesi haklarını verir.</w:t>
      </w:r>
    </w:p>
    <w:p w:rsidR="005E0F2B" w:rsidRDefault="005E0F2B" w:rsidP="005E0F2B">
      <w:pPr>
        <w:pStyle w:val="Gvdemetni20"/>
        <w:widowControl/>
        <w:shd w:val="clear" w:color="auto" w:fill="auto"/>
        <w:spacing w:before="240" w:after="100" w:afterAutospacing="1" w:line="240" w:lineRule="auto"/>
        <w:ind w:firstLine="709"/>
        <w:rPr>
          <w:sz w:val="24"/>
        </w:rPr>
      </w:pPr>
      <w:r w:rsidRPr="005E0F2B">
        <w:rPr>
          <w:sz w:val="24"/>
        </w:rPr>
        <w:t>Lisans ile tanınan haklar; bu Kanunun, ilgili diğer mevzuatın ve lisansta yer alan kayıtlı hususların yerine getirilmesi koşuluyla kullanılır.</w:t>
      </w:r>
    </w:p>
    <w:p w:rsidR="005E0F2B" w:rsidRDefault="005E0F2B" w:rsidP="005E0F2B">
      <w:pPr>
        <w:pStyle w:val="Gvdemetni20"/>
        <w:widowControl/>
        <w:shd w:val="clear" w:color="auto" w:fill="auto"/>
        <w:spacing w:before="240" w:after="100" w:afterAutospacing="1" w:line="240" w:lineRule="auto"/>
        <w:ind w:firstLine="709"/>
        <w:rPr>
          <w:sz w:val="24"/>
        </w:rPr>
      </w:pPr>
      <w:r w:rsidRPr="005E0F2B">
        <w:rPr>
          <w:sz w:val="24"/>
        </w:rPr>
        <w:t>Piyasa faaliyetinde bulunanlar, kötü niyet veya tehlikeli eylem sonucunu doğuracak her türlü işlemden özenle kaçınmak, bunların oluşumunun engellenmesi için her türlü tedbiri almak ile istenmeyen durumları en kısa sürede gidermek zorundadır.</w:t>
      </w:r>
    </w:p>
    <w:p w:rsidR="005E0F2B" w:rsidRDefault="005E0F2B" w:rsidP="005E0F2B">
      <w:pPr>
        <w:pStyle w:val="Gvdemetni20"/>
        <w:widowControl/>
        <w:shd w:val="clear" w:color="auto" w:fill="auto"/>
        <w:spacing w:before="240" w:after="100" w:afterAutospacing="1" w:line="240" w:lineRule="auto"/>
        <w:ind w:firstLine="709"/>
        <w:rPr>
          <w:sz w:val="24"/>
        </w:rPr>
      </w:pPr>
      <w:r w:rsidRPr="005E0F2B">
        <w:rPr>
          <w:sz w:val="24"/>
        </w:rPr>
        <w:t>Bu Kanuna göre faaliyette bulunanlar;</w:t>
      </w:r>
    </w:p>
    <w:p w:rsidR="005E0F2B" w:rsidRDefault="005E0F2B" w:rsidP="005E0F2B">
      <w:pPr>
        <w:pStyle w:val="Gvdemetni20"/>
        <w:widowControl/>
        <w:shd w:val="clear" w:color="auto" w:fill="auto"/>
        <w:spacing w:before="240" w:after="100" w:afterAutospacing="1" w:line="240" w:lineRule="auto"/>
        <w:ind w:firstLine="709"/>
        <w:rPr>
          <w:sz w:val="24"/>
        </w:rPr>
      </w:pPr>
      <w:r w:rsidRPr="005E0F2B">
        <w:rPr>
          <w:sz w:val="24"/>
        </w:rPr>
        <w:t>I) Kaçak akaryakıt veya sahte ulusal marker elde etmeye, satmaya ya da herhangi bir piyasa faaliyetine konu etmeye yarayacak şekilde lisansa esas teşkil eden belgelerde belirlenenlere aykırı sabit ya da seyyar tank, düzenek veya ekipmanı bulundurmamak ile yükümlüdür.</w:t>
      </w:r>
    </w:p>
    <w:p w:rsidR="005E0F2B" w:rsidRDefault="005E0F2B" w:rsidP="005E0F2B">
      <w:pPr>
        <w:pStyle w:val="Balk10"/>
        <w:widowControl/>
        <w:numPr>
          <w:ilvl w:val="0"/>
          <w:numId w:val="2"/>
        </w:numPr>
        <w:shd w:val="clear" w:color="auto" w:fill="auto"/>
        <w:tabs>
          <w:tab w:val="left" w:pos="1455"/>
        </w:tabs>
        <w:spacing w:before="240" w:after="100" w:afterAutospacing="1" w:line="240" w:lineRule="auto"/>
        <w:ind w:firstLine="709"/>
        <w:outlineLvl w:val="9"/>
        <w:rPr>
          <w:b w:val="0"/>
          <w:sz w:val="24"/>
        </w:rPr>
      </w:pPr>
      <w:bookmarkStart w:id="5" w:name="bookmark4"/>
      <w:r w:rsidRPr="005E0F2B">
        <w:rPr>
          <w:b w:val="0"/>
          <w:sz w:val="24"/>
        </w:rPr>
        <w:t>ANAYASAL DÜZENLEMELER</w:t>
      </w:r>
      <w:bookmarkEnd w:id="5"/>
    </w:p>
    <w:p w:rsidR="005E0F2B" w:rsidRDefault="005E0F2B" w:rsidP="005E0F2B">
      <w:pPr>
        <w:pStyle w:val="Gvdemetni20"/>
        <w:widowControl/>
        <w:shd w:val="clear" w:color="auto" w:fill="auto"/>
        <w:spacing w:before="240" w:after="100" w:afterAutospacing="1" w:line="240" w:lineRule="auto"/>
        <w:ind w:firstLine="709"/>
        <w:rPr>
          <w:sz w:val="24"/>
        </w:rPr>
      </w:pPr>
      <w:r w:rsidRPr="005E0F2B">
        <w:rPr>
          <w:sz w:val="24"/>
        </w:rPr>
        <w:t>Anayasanın;</w:t>
      </w:r>
    </w:p>
    <w:p w:rsidR="005E0F2B" w:rsidRDefault="005E0F2B" w:rsidP="005E0F2B">
      <w:pPr>
        <w:pStyle w:val="Gvdemetni20"/>
        <w:widowControl/>
        <w:shd w:val="clear" w:color="auto" w:fill="auto"/>
        <w:spacing w:before="240" w:after="100" w:afterAutospacing="1" w:line="240" w:lineRule="auto"/>
        <w:ind w:firstLine="709"/>
        <w:rPr>
          <w:sz w:val="24"/>
        </w:rPr>
      </w:pPr>
      <w:r w:rsidRPr="005E0F2B">
        <w:rPr>
          <w:sz w:val="24"/>
        </w:rPr>
        <w:t xml:space="preserve">"Cumhuriyetin nitelikleri" başlıklı 2. maddesinde; "Türkiye Cumhuriyeti, toplumun huzuru, milli dayanışma ve adalet anlayışı içinde, insan haklarına saygılı, Atatürk milliyetçiliğine bağlı, başlangıçta belirtilen temel ilkelere dayanan, demokratik, laik ve sosyal bir </w:t>
      </w:r>
      <w:r w:rsidRPr="005E0F2B">
        <w:rPr>
          <w:rStyle w:val="Gvdemetni2Kaln"/>
          <w:sz w:val="24"/>
        </w:rPr>
        <w:t xml:space="preserve">hukuk Devletidir." </w:t>
      </w:r>
      <w:r w:rsidRPr="005E0F2B">
        <w:rPr>
          <w:sz w:val="24"/>
        </w:rPr>
        <w:t>hükmüne yer verilmiştir.</w:t>
      </w:r>
    </w:p>
    <w:p w:rsidR="005E0F2B" w:rsidRDefault="005E0F2B" w:rsidP="005E0F2B">
      <w:pPr>
        <w:pStyle w:val="Balk10"/>
        <w:widowControl/>
        <w:numPr>
          <w:ilvl w:val="0"/>
          <w:numId w:val="2"/>
        </w:numPr>
        <w:shd w:val="clear" w:color="auto" w:fill="auto"/>
        <w:tabs>
          <w:tab w:val="left" w:pos="1455"/>
        </w:tabs>
        <w:spacing w:before="240" w:after="100" w:afterAutospacing="1" w:line="240" w:lineRule="auto"/>
        <w:ind w:firstLine="709"/>
        <w:outlineLvl w:val="9"/>
        <w:rPr>
          <w:b w:val="0"/>
          <w:sz w:val="24"/>
        </w:rPr>
      </w:pPr>
      <w:bookmarkStart w:id="6" w:name="bookmark5"/>
      <w:r w:rsidRPr="005E0F2B">
        <w:rPr>
          <w:b w:val="0"/>
          <w:sz w:val="24"/>
        </w:rPr>
        <w:lastRenderedPageBreak/>
        <w:t>ANAYASAYA AYKIRILIĞIN DEĞERLENDİRİLMESİ:</w:t>
      </w:r>
      <w:bookmarkEnd w:id="6"/>
    </w:p>
    <w:p w:rsidR="005E0F2B" w:rsidRPr="005E0F2B" w:rsidRDefault="005E0F2B" w:rsidP="005E0F2B">
      <w:pPr>
        <w:pStyle w:val="Gvdemetni20"/>
        <w:widowControl/>
        <w:shd w:val="clear" w:color="auto" w:fill="auto"/>
        <w:spacing w:before="240" w:after="100" w:afterAutospacing="1" w:line="240" w:lineRule="auto"/>
        <w:ind w:firstLine="709"/>
        <w:rPr>
          <w:sz w:val="24"/>
        </w:rPr>
      </w:pPr>
      <w:r w:rsidRPr="005E0F2B">
        <w:rPr>
          <w:sz w:val="24"/>
        </w:rPr>
        <w:t>1.5015 sayılı Petrol Piyasası Kanunu’nun 4. maddesinin 4. fıkrasının (I) bendinde, bayilik lisansı sahiplerinin, kaçak akaryakıt veya sahte ulusal marker elde etmeye, satmaya ya da herhangi bir piyasa faaliyetine konu etmeye yarayacak şekilde lisansa esas teşkil eden belgelerde belirlenenlere aykırı sabit ya da seyyar tank, düzenek veya ekipmanı bulundurmamakla yükümlü kılınmış, itiraz konusu kuralla da yasaklanan bu eylemi gerçekleştiren sorumluların bir milyon Türk Lirası idari para cezası ile cezalandırılacağı hüküm altına alınmıştır.</w:t>
      </w:r>
    </w:p>
    <w:p w:rsidR="005E0F2B" w:rsidRDefault="005E0F2B" w:rsidP="005E0F2B">
      <w:pPr>
        <w:pStyle w:val="Gvdemetni20"/>
        <w:widowControl/>
        <w:numPr>
          <w:ilvl w:val="0"/>
          <w:numId w:val="3"/>
        </w:numPr>
        <w:shd w:val="clear" w:color="auto" w:fill="auto"/>
        <w:tabs>
          <w:tab w:val="left" w:pos="1279"/>
        </w:tabs>
        <w:spacing w:before="240" w:after="100" w:afterAutospacing="1" w:line="240" w:lineRule="auto"/>
        <w:ind w:firstLine="709"/>
        <w:rPr>
          <w:sz w:val="24"/>
        </w:rPr>
      </w:pPr>
      <w:r w:rsidRPr="005E0F2B">
        <w:rPr>
          <w:sz w:val="24"/>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kaçman, hukuku tüm devlet organlarına egemen kılan, Anayasa ve yasalarla kendini bağlı sayan, yargı denetimine açık olan devlettir.</w:t>
      </w:r>
    </w:p>
    <w:p w:rsidR="005E0F2B" w:rsidRDefault="005E0F2B" w:rsidP="005E0F2B">
      <w:pPr>
        <w:pStyle w:val="Gvdemetni20"/>
        <w:widowControl/>
        <w:numPr>
          <w:ilvl w:val="0"/>
          <w:numId w:val="3"/>
        </w:numPr>
        <w:shd w:val="clear" w:color="auto" w:fill="auto"/>
        <w:tabs>
          <w:tab w:val="left" w:pos="1284"/>
        </w:tabs>
        <w:spacing w:before="240" w:after="100" w:afterAutospacing="1" w:line="240" w:lineRule="auto"/>
        <w:ind w:firstLine="709"/>
        <w:rPr>
          <w:sz w:val="24"/>
        </w:rPr>
      </w:pPr>
      <w:r w:rsidRPr="005E0F2B">
        <w:rPr>
          <w:sz w:val="24"/>
        </w:rPr>
        <w:t>Hukuk devletinde ceza hukukuna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 Ancak kanun koyucu, kendisine tanınan takdir yetkisini anayasal sınırlar içinde adalet, hakkaniyet ve kamu yararı ölçütlerini göz önünde tutarak kullanması gerekir.</w:t>
      </w:r>
    </w:p>
    <w:p w:rsidR="005E0F2B" w:rsidRDefault="005E0F2B" w:rsidP="005E0F2B">
      <w:pPr>
        <w:pStyle w:val="Gvdemetni20"/>
        <w:widowControl/>
        <w:numPr>
          <w:ilvl w:val="0"/>
          <w:numId w:val="3"/>
        </w:numPr>
        <w:shd w:val="clear" w:color="auto" w:fill="auto"/>
        <w:tabs>
          <w:tab w:val="left" w:pos="1299"/>
        </w:tabs>
        <w:spacing w:before="240" w:after="100" w:afterAutospacing="1" w:line="240" w:lineRule="auto"/>
        <w:ind w:firstLine="709"/>
        <w:rPr>
          <w:sz w:val="24"/>
        </w:rPr>
      </w:pPr>
      <w:r w:rsidRPr="005E0F2B">
        <w:rPr>
          <w:sz w:val="24"/>
        </w:rPr>
        <w:t>Hakkaniyet, 4721 sayılı Türk Medeni Kanunu’nda düzenlenmiş olup hâkime takdir yetkisi tanınan durumlarda, hâkimin bu takdir yetkisini somut olayın özelliklerine uygun olarak ve adalet ilkelerini gözeterek kullanmasını ifade etmektedir. Hakkaniyet kavramı, hukukun genel bir ilkesi olduğundan, anayasa yargısında da dikkate alınmalıdır. Kanun koyucu da tıpkı mahkemeler gibi takdir yetkisi kullanırken hakkaniyeti gözetmekle yükümlüdür.</w:t>
      </w:r>
    </w:p>
    <w:p w:rsidR="005E0F2B" w:rsidRDefault="005E0F2B" w:rsidP="005E0F2B">
      <w:pPr>
        <w:pStyle w:val="Gvdemetni20"/>
        <w:widowControl/>
        <w:numPr>
          <w:ilvl w:val="0"/>
          <w:numId w:val="3"/>
        </w:numPr>
        <w:shd w:val="clear" w:color="auto" w:fill="auto"/>
        <w:tabs>
          <w:tab w:val="left" w:pos="1299"/>
        </w:tabs>
        <w:spacing w:before="240" w:after="100" w:afterAutospacing="1" w:line="240" w:lineRule="auto"/>
        <w:ind w:firstLine="709"/>
        <w:rPr>
          <w:sz w:val="24"/>
        </w:rPr>
      </w:pPr>
      <w:r w:rsidRPr="005E0F2B">
        <w:rPr>
          <w:sz w:val="24"/>
        </w:rPr>
        <w:t>Kanun koyucu, petrol piyasası faaliyetlerinin sağlıklı ve düzenli şekilde yürütülebilmesi amacıyla bayilik lisans sahiplerine, piyasa faaliyetlerinde, Kurulun belirleyeceği teknik düzenlemelere uygun akaryakıt sağlamak konusunda getirdiği yükümlülüğün ihlal edilmesi hâlinde itiraz konusu kuralla idari para cezası öngörmüş olup kural, kabahat sayılan eylemin işlenmesini önlemeye yönelik “caydırıcılık” fonksiyonunu yerine getirmektedir.</w:t>
      </w:r>
    </w:p>
    <w:p w:rsidR="005E0F2B" w:rsidRDefault="005E0F2B" w:rsidP="005E0F2B">
      <w:pPr>
        <w:pStyle w:val="Gvdemetni20"/>
        <w:widowControl/>
        <w:numPr>
          <w:ilvl w:val="0"/>
          <w:numId w:val="3"/>
        </w:numPr>
        <w:shd w:val="clear" w:color="auto" w:fill="auto"/>
        <w:tabs>
          <w:tab w:val="left" w:pos="1299"/>
        </w:tabs>
        <w:spacing w:before="240" w:after="100" w:afterAutospacing="1" w:line="240" w:lineRule="auto"/>
        <w:ind w:firstLine="709"/>
        <w:rPr>
          <w:sz w:val="24"/>
        </w:rPr>
      </w:pPr>
      <w:r w:rsidRPr="005E0F2B">
        <w:rPr>
          <w:sz w:val="24"/>
        </w:rPr>
        <w:t>Petrol piyasasında faaliyette bulunan aktörlerin eylemlerinden dolayı petrol piyasasının bozulmaması ve piyasadaki faaliyetlerin şeffaf, eşitlikçi ve istikrarlı şekilde yürütülebilmesi amacıyla bayilik lisans sahiplerine bu şekilde yükümlülük getirilmesi ve bu yükümlülüğü ihlal eden dağıtıcı lisans sahiplerinin idari para cezasıyla cezalandırılmaları kanun koyucunun takdir hakkı kapsamında kalmaktadır. Bununla birlikte kanun koyucunun, takdir hakkı kapsamında öngördüğü yaptırımın, adil ve hakkaniyete uygun olması gerekmektedir.</w:t>
      </w:r>
    </w:p>
    <w:p w:rsidR="005E0F2B" w:rsidRDefault="005E0F2B" w:rsidP="005E0F2B">
      <w:pPr>
        <w:pStyle w:val="Gvdemetni20"/>
        <w:widowControl/>
        <w:numPr>
          <w:ilvl w:val="0"/>
          <w:numId w:val="3"/>
        </w:numPr>
        <w:shd w:val="clear" w:color="auto" w:fill="auto"/>
        <w:tabs>
          <w:tab w:val="left" w:pos="1299"/>
        </w:tabs>
        <w:spacing w:before="240" w:after="100" w:afterAutospacing="1" w:line="240" w:lineRule="auto"/>
        <w:ind w:firstLine="709"/>
        <w:rPr>
          <w:sz w:val="24"/>
        </w:rPr>
      </w:pPr>
      <w:r w:rsidRPr="005E0F2B">
        <w:rPr>
          <w:sz w:val="24"/>
        </w:rPr>
        <w:t>Özel bir faaliyet alanında kamu düzenini korumak veya belli bir sektörü düzenlemek amacıyla ilgili kanunlarda özel olarak yetkilendirilmiş idari makamlar tarafından verilen idari cezalar “regülatif cezalar” olarak ifade edilmektedir. Bağımsız idari otoritelerden olan Enerji Piyasası Düzenleme Kurulu tarafından özel kolluk veya düzenleme yetkileri kapsamında verilen idari cezalar da bu kategoriye girmektedir.</w:t>
      </w:r>
    </w:p>
    <w:p w:rsidR="005E0F2B" w:rsidRDefault="005E0F2B" w:rsidP="005E0F2B">
      <w:pPr>
        <w:pStyle w:val="Gvdemetni20"/>
        <w:widowControl/>
        <w:numPr>
          <w:ilvl w:val="0"/>
          <w:numId w:val="3"/>
        </w:numPr>
        <w:shd w:val="clear" w:color="auto" w:fill="auto"/>
        <w:tabs>
          <w:tab w:val="left" w:pos="1299"/>
        </w:tabs>
        <w:spacing w:before="240" w:after="100" w:afterAutospacing="1" w:line="240" w:lineRule="auto"/>
        <w:ind w:firstLine="709"/>
        <w:rPr>
          <w:sz w:val="24"/>
        </w:rPr>
      </w:pPr>
      <w:r w:rsidRPr="005E0F2B">
        <w:rPr>
          <w:sz w:val="24"/>
        </w:rPr>
        <w:lastRenderedPageBreak/>
        <w:t>Regülatif idari para cezalarının meblağları yüksek olduğundan muhatapları üzerinde çok ağır sonuçlar doğurabilmekte olup bu idari para cezalarının çoğunlukla nispi veyahut alt ve üst sınır gösterilmek suretiyle düzenlendiği görülmektedir.</w:t>
      </w:r>
    </w:p>
    <w:p w:rsidR="005E0F2B" w:rsidRDefault="005E0F2B" w:rsidP="005E0F2B">
      <w:pPr>
        <w:pStyle w:val="Gvdemetni20"/>
        <w:widowControl/>
        <w:numPr>
          <w:ilvl w:val="0"/>
          <w:numId w:val="3"/>
        </w:numPr>
        <w:shd w:val="clear" w:color="auto" w:fill="auto"/>
        <w:tabs>
          <w:tab w:val="left" w:pos="1299"/>
        </w:tabs>
        <w:spacing w:before="240" w:after="100" w:afterAutospacing="1" w:line="240" w:lineRule="auto"/>
        <w:ind w:firstLine="709"/>
        <w:rPr>
          <w:sz w:val="24"/>
        </w:rPr>
      </w:pPr>
      <w:r w:rsidRPr="005E0F2B">
        <w:rPr>
          <w:sz w:val="24"/>
        </w:rPr>
        <w:t xml:space="preserve">İtiraz konusu kuralda bayilik lisans sahiplerinin Kurum tarafından belirlenen piyasa faaliyetlerinde, kaçak akaryakıt veya sahte ulusal marker elde etmeye, satmaya ya da herhangi bir piyasa faaliyetine konu etmeye yarayacak şekilde lisansa esas teşkil eden belgelerde belirlenenlere aykırı sabit ya da seyyar tank, düzenek veya ekipmanı bulundurmamak yükümlülüğüne aykırı davranmaları durumunda öngörülen idari para cezası “regülatif idari para cezası” niteliğinde maktu olarak düzenlenmiştir. </w:t>
      </w:r>
      <w:r w:rsidRPr="005E0F2B">
        <w:rPr>
          <w:rStyle w:val="Gvdemetni2Kaln"/>
          <w:b w:val="0"/>
          <w:sz w:val="24"/>
        </w:rPr>
        <w:t>Bu cezada, lisans sahibi bayilerin ekonomik büyüklüğüne ilişkin herhangi bir kademelendirme yapılmadığı görülmektedir.</w:t>
      </w:r>
      <w:r w:rsidRPr="005E0F2B">
        <w:rPr>
          <w:rStyle w:val="Gvdemetni2Kaln"/>
          <w:sz w:val="24"/>
        </w:rPr>
        <w:t xml:space="preserve"> </w:t>
      </w:r>
      <w:r w:rsidRPr="005E0F2B">
        <w:rPr>
          <w:sz w:val="24"/>
        </w:rPr>
        <w:t>Buna göre, yükümlülüğün ihlali halinde verilecek ceza miktarı aynı olmakla birlikte, para cezasının miktarının yüksek olması göz önüne alındığında cirosu yüksek olmayan bayilik lisansına sahip firma için verilen ceza daha ağır sonuçlar doğurabilmektedir.</w:t>
      </w:r>
    </w:p>
    <w:p w:rsidR="005E0F2B" w:rsidRDefault="005E0F2B" w:rsidP="005E0F2B">
      <w:pPr>
        <w:pStyle w:val="Gvdemetni20"/>
        <w:widowControl/>
        <w:numPr>
          <w:ilvl w:val="0"/>
          <w:numId w:val="3"/>
        </w:numPr>
        <w:shd w:val="clear" w:color="auto" w:fill="auto"/>
        <w:tabs>
          <w:tab w:val="left" w:pos="1390"/>
        </w:tabs>
        <w:spacing w:before="240" w:after="100" w:afterAutospacing="1" w:line="240" w:lineRule="auto"/>
        <w:ind w:firstLine="709"/>
        <w:rPr>
          <w:sz w:val="24"/>
        </w:rPr>
      </w:pPr>
      <w:r w:rsidRPr="005E0F2B">
        <w:rPr>
          <w:sz w:val="24"/>
        </w:rPr>
        <w:t>Diğer taraftan, idari para cezası uygulanırken fiilin işleniş şekli, failin kusur durumu başka bir ifadeyle lisans sahibinin fiili kasıtla veya taksirle işleyip işlemediği ve eylemin yarattığı sonuçlar gibi hususlar da dikkate alınamamaktadır.</w:t>
      </w:r>
    </w:p>
    <w:p w:rsidR="005E0F2B" w:rsidRDefault="005E0F2B" w:rsidP="005E0F2B">
      <w:pPr>
        <w:pStyle w:val="Gvdemetni20"/>
        <w:widowControl/>
        <w:numPr>
          <w:ilvl w:val="0"/>
          <w:numId w:val="3"/>
        </w:numPr>
        <w:shd w:val="clear" w:color="auto" w:fill="auto"/>
        <w:tabs>
          <w:tab w:val="left" w:pos="1385"/>
        </w:tabs>
        <w:spacing w:before="240" w:after="100" w:afterAutospacing="1" w:line="240" w:lineRule="auto"/>
        <w:ind w:firstLine="709"/>
        <w:rPr>
          <w:sz w:val="24"/>
        </w:rPr>
      </w:pPr>
      <w:r w:rsidRPr="005E0F2B">
        <w:rPr>
          <w:sz w:val="24"/>
        </w:rPr>
        <w:t>Bu itibarla bayilik lisans sahiplerinin anılan eylemlerde bulunmaları hâlinde fiilin haksızlık içeriği, bayilerin, ekonomik büyüklüklerine ve sınıflarına göre adil bir denge gözetilmeden, itiraz konusu kuralla ölçülü ve makul olmayan idari para cezası ile cezalandırılmaları, hukuk devletinin gereği olan “adalet” ve “hakkaniyet” ilkeleriyle bağdaşmamaktadır.</w:t>
      </w:r>
    </w:p>
    <w:p w:rsidR="005E0F2B" w:rsidRDefault="005E0F2B" w:rsidP="005E0F2B">
      <w:pPr>
        <w:pStyle w:val="Gvdemetni20"/>
        <w:widowControl/>
        <w:shd w:val="clear" w:color="auto" w:fill="auto"/>
        <w:spacing w:before="240" w:after="100" w:afterAutospacing="1" w:line="240" w:lineRule="auto"/>
        <w:ind w:firstLine="709"/>
        <w:rPr>
          <w:sz w:val="24"/>
        </w:rPr>
      </w:pPr>
      <w:r w:rsidRPr="005E0F2B">
        <w:rPr>
          <w:sz w:val="24"/>
        </w:rPr>
        <w:t>Nitekim Anayasa Mahkemesi’nin, 6455 sayılı Kanun’un 44. maddesiyle değiştirilen 19. maddesinin ikinci fıkrasının (c) bendinin (3) numaralı alt bendinin 8. maddenin ihlali yönünden bakılan itiraz sonucunda verilen 7.4.2016 günlü, E.2015/109, K.2016/28 sayılı kararı da aynı doğrultudadır.</w:t>
      </w:r>
      <w:bookmarkStart w:id="7" w:name="bookmark6"/>
    </w:p>
    <w:p w:rsidR="005E0F2B" w:rsidRDefault="005E0F2B" w:rsidP="005E0F2B">
      <w:pPr>
        <w:pStyle w:val="Gvdemetni20"/>
        <w:widowControl/>
        <w:shd w:val="clear" w:color="auto" w:fill="auto"/>
        <w:spacing w:before="240" w:after="100" w:afterAutospacing="1" w:line="240" w:lineRule="auto"/>
        <w:ind w:firstLine="709"/>
        <w:rPr>
          <w:sz w:val="24"/>
        </w:rPr>
      </w:pPr>
      <w:r w:rsidRPr="005E0F2B">
        <w:rPr>
          <w:sz w:val="24"/>
        </w:rPr>
        <w:t>SONUÇ VE İSTEM:</w:t>
      </w:r>
      <w:bookmarkEnd w:id="7"/>
    </w:p>
    <w:p w:rsidR="005E0F2B" w:rsidRDefault="005E0F2B" w:rsidP="005E0F2B">
      <w:pPr>
        <w:pStyle w:val="Gvdemetni20"/>
        <w:widowControl/>
        <w:shd w:val="clear" w:color="auto" w:fill="auto"/>
        <w:spacing w:before="240" w:after="100" w:afterAutospacing="1" w:line="240" w:lineRule="auto"/>
        <w:ind w:firstLine="709"/>
        <w:rPr>
          <w:sz w:val="24"/>
        </w:rPr>
      </w:pPr>
      <w:r w:rsidRPr="005E0F2B">
        <w:rPr>
          <w:sz w:val="24"/>
        </w:rPr>
        <w:t xml:space="preserve">Yukarıda açıklanan nedenlerle,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aykırılık iddiasının ciddi olduğu kanısına varırsa, durumunda tarafların bu konudaki iddia ve savunmalarını ve kendisini bu kanıya götüren görüşünü açıklayan kararı ile Anayasa Mahkemesine başvurması öngörüldüğünden ve bakılan davada uygulanacak kuralın; ( 5015 sayılı Petrol Piyasası Kanunu’nun 19. maddesinin 2. fıkrasının (a) bendinin (2) numaralı alt bendinin, 5015 sayılı Kanun’un 4. maddesinin 4. fıkrasının (I) bendi yönünden) Anayasanın 2. maddesine aykırı olduğu kanaatine varıldığından, anılan düzenlemelerin iptali istemiyle itiraz yoluyla Anayasa Mahkemesine başvurulmasına, dava dosyasının onaylı bir örneği ile iş bu kararın aslının </w:t>
      </w:r>
      <w:r w:rsidRPr="005E0F2B">
        <w:rPr>
          <w:rStyle w:val="Gvdemetni2Kaln"/>
          <w:b w:val="0"/>
          <w:sz w:val="24"/>
        </w:rPr>
        <w:t>Anayasa Mahkemesine gönderilmesine,</w:t>
      </w:r>
      <w:r w:rsidRPr="005E0F2B">
        <w:rPr>
          <w:rStyle w:val="Gvdemetni2Kaln"/>
          <w:sz w:val="24"/>
        </w:rPr>
        <w:t xml:space="preserve"> </w:t>
      </w:r>
      <w:r w:rsidRPr="005E0F2B">
        <w:rPr>
          <w:sz w:val="24"/>
        </w:rPr>
        <w:t xml:space="preserve">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w:t>
      </w:r>
      <w:r w:rsidRPr="005E0F2B">
        <w:rPr>
          <w:rStyle w:val="Gvdemetni2Kaln"/>
          <w:b w:val="0"/>
          <w:sz w:val="24"/>
        </w:rPr>
        <w:t>taraflara</w:t>
      </w:r>
      <w:r w:rsidRPr="005E0F2B">
        <w:rPr>
          <w:rStyle w:val="Gvdemetni2Kaln"/>
          <w:sz w:val="24"/>
        </w:rPr>
        <w:t xml:space="preserve"> </w:t>
      </w:r>
      <w:r w:rsidRPr="005E0F2B">
        <w:rPr>
          <w:sz w:val="24"/>
        </w:rPr>
        <w:t>tebliğine, 13/06/2017 tarihinde oybirliğiyle karar yerildi.”</w:t>
      </w:r>
    </w:p>
    <w:p w:rsidR="001D02E4" w:rsidRPr="005E0F2B" w:rsidRDefault="001D02E4" w:rsidP="005E0F2B">
      <w:pPr>
        <w:widowControl/>
        <w:spacing w:before="240" w:after="100" w:afterAutospacing="1"/>
        <w:jc w:val="both"/>
        <w:rPr>
          <w:rFonts w:ascii="Times New Roman" w:hAnsi="Times New Roman" w:cs="Times New Roman"/>
        </w:rPr>
      </w:pPr>
    </w:p>
    <w:sectPr w:rsidR="001D02E4" w:rsidRPr="005E0F2B" w:rsidSect="005E0F2B">
      <w:headerReference w:type="even" r:id="rId7"/>
      <w:headerReference w:type="default" r:id="rId8"/>
      <w:footerReference w:type="even" r:id="rId9"/>
      <w:footerReference w:type="default" r:id="rId10"/>
      <w:type w:val="continuous"/>
      <w:pgSz w:w="11900"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3D9" w:rsidRDefault="006973D9" w:rsidP="005E0F2B">
      <w:r>
        <w:separator/>
      </w:r>
    </w:p>
  </w:endnote>
  <w:endnote w:type="continuationSeparator" w:id="0">
    <w:p w:rsidR="006973D9" w:rsidRDefault="006973D9" w:rsidP="005E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2B" w:rsidRDefault="005E0F2B" w:rsidP="00D024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0F2B" w:rsidRDefault="005E0F2B" w:rsidP="005E0F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2B" w:rsidRPr="005E0F2B" w:rsidRDefault="005E0F2B" w:rsidP="00D024BF">
    <w:pPr>
      <w:pStyle w:val="Altbilgi"/>
      <w:framePr w:wrap="around" w:vAnchor="text" w:hAnchor="margin" w:xAlign="right" w:y="1"/>
      <w:rPr>
        <w:rStyle w:val="SayfaNumaras"/>
        <w:rFonts w:ascii="Times New Roman" w:hAnsi="Times New Roman" w:cs="Times New Roman"/>
      </w:rPr>
    </w:pPr>
    <w:r w:rsidRPr="005E0F2B">
      <w:rPr>
        <w:rStyle w:val="SayfaNumaras"/>
        <w:rFonts w:ascii="Times New Roman" w:hAnsi="Times New Roman" w:cs="Times New Roman"/>
      </w:rPr>
      <w:fldChar w:fldCharType="begin"/>
    </w:r>
    <w:r w:rsidRPr="005E0F2B">
      <w:rPr>
        <w:rStyle w:val="SayfaNumaras"/>
        <w:rFonts w:ascii="Times New Roman" w:hAnsi="Times New Roman" w:cs="Times New Roman"/>
      </w:rPr>
      <w:instrText xml:space="preserve">PAGE  </w:instrText>
    </w:r>
    <w:r w:rsidRPr="005E0F2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E0F2B">
      <w:rPr>
        <w:rStyle w:val="SayfaNumaras"/>
        <w:rFonts w:ascii="Times New Roman" w:hAnsi="Times New Roman" w:cs="Times New Roman"/>
      </w:rPr>
      <w:fldChar w:fldCharType="end"/>
    </w:r>
  </w:p>
  <w:p w:rsidR="005E0F2B" w:rsidRPr="005E0F2B" w:rsidRDefault="005E0F2B" w:rsidP="005E0F2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3D9" w:rsidRDefault="006973D9" w:rsidP="005E0F2B">
      <w:r>
        <w:separator/>
      </w:r>
    </w:p>
  </w:footnote>
  <w:footnote w:type="continuationSeparator" w:id="0">
    <w:p w:rsidR="006973D9" w:rsidRDefault="006973D9" w:rsidP="005E0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24" w:rsidRPr="00FA7B24" w:rsidRDefault="006973D9">
    <w:pPr>
      <w:pStyle w:val="stbilgi"/>
      <w:rPr>
        <w:rFonts w:ascii="Times New Roman" w:hAnsi="Times New Roman" w:cs="Times New Roman"/>
      </w:rPr>
    </w:pPr>
  </w:p>
  <w:p w:rsidR="00FA7B24" w:rsidRPr="00FA7B24" w:rsidRDefault="006973D9" w:rsidP="00FA7B24">
    <w:pPr>
      <w:shd w:val="clear" w:color="auto" w:fill="FFFFFF"/>
      <w:tabs>
        <w:tab w:val="left" w:pos="851"/>
      </w:tabs>
      <w:jc w:val="both"/>
      <w:rPr>
        <w:rFonts w:ascii="Times New Roman" w:hAnsi="Times New Roman" w:cs="Times New Roman"/>
        <w:color w:val="auto"/>
      </w:rPr>
    </w:pPr>
    <w:r w:rsidRPr="00FA7B24">
      <w:rPr>
        <w:rFonts w:ascii="Times New Roman" w:hAnsi="Times New Roman" w:cs="Times New Roman"/>
        <w:b/>
        <w:bCs/>
      </w:rPr>
      <w:t>Esas Sayısı    : 2018/65</w:t>
    </w:r>
  </w:p>
  <w:p w:rsidR="00FA7B24" w:rsidRPr="00FA7B24" w:rsidRDefault="006973D9" w:rsidP="00FA7B24">
    <w:pPr>
      <w:shd w:val="clear" w:color="auto" w:fill="FFFFFF"/>
      <w:tabs>
        <w:tab w:val="left" w:pos="851"/>
      </w:tabs>
      <w:jc w:val="both"/>
      <w:rPr>
        <w:rFonts w:ascii="Times New Roman" w:hAnsi="Times New Roman" w:cs="Times New Roman"/>
      </w:rPr>
    </w:pPr>
    <w:r w:rsidRPr="00FA7B24">
      <w:rPr>
        <w:rFonts w:ascii="Times New Roman" w:hAnsi="Times New Roman" w:cs="Times New Roman"/>
        <w:b/>
        <w:bCs/>
      </w:rPr>
      <w:t>Karar Sayısı : 2018/36</w:t>
    </w:r>
  </w:p>
  <w:p w:rsidR="00FA7B24" w:rsidRPr="00FA7B24" w:rsidRDefault="006973D9">
    <w:pPr>
      <w:pStyle w:val="stbilgi"/>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2B" w:rsidRPr="00C438F0" w:rsidRDefault="005E0F2B" w:rsidP="005E0F2B">
    <w:pPr>
      <w:widowControl/>
      <w:shd w:val="clear" w:color="auto" w:fill="FFFFFF"/>
      <w:jc w:val="both"/>
      <w:rPr>
        <w:rFonts w:ascii="Times New Roman" w:eastAsia="Times New Roman" w:hAnsi="Times New Roman" w:cs="Times New Roman"/>
        <w:b/>
        <w:bCs/>
        <w:szCs w:val="27"/>
      </w:rPr>
    </w:pPr>
    <w:r w:rsidRPr="00C438F0">
      <w:rPr>
        <w:rFonts w:ascii="Times New Roman" w:eastAsia="Times New Roman" w:hAnsi="Times New Roman" w:cs="Times New Roman"/>
        <w:b/>
        <w:bCs/>
        <w:szCs w:val="27"/>
      </w:rPr>
      <w:t>Esas Sayısı     :  2018/65</w:t>
    </w:r>
  </w:p>
  <w:p w:rsidR="005E0F2B" w:rsidRPr="00C438F0" w:rsidRDefault="005E0F2B" w:rsidP="005E0F2B">
    <w:pPr>
      <w:widowControl/>
      <w:shd w:val="clear" w:color="auto" w:fill="FFFFFF"/>
      <w:jc w:val="both"/>
      <w:rPr>
        <w:rFonts w:ascii="Times New Roman" w:eastAsia="Times New Roman" w:hAnsi="Times New Roman" w:cs="Times New Roman"/>
        <w:b/>
        <w:bCs/>
        <w:szCs w:val="27"/>
      </w:rPr>
    </w:pPr>
    <w:r w:rsidRPr="00C438F0">
      <w:rPr>
        <w:rFonts w:ascii="Times New Roman" w:eastAsia="Times New Roman" w:hAnsi="Times New Roman" w:cs="Times New Roman"/>
        <w:b/>
        <w:bCs/>
        <w:szCs w:val="27"/>
      </w:rPr>
      <w:t>Karar Sayısı  :  2018/36</w:t>
    </w:r>
  </w:p>
  <w:p w:rsidR="00FA7B24" w:rsidRPr="005E0F2B" w:rsidRDefault="006973D9" w:rsidP="005E0F2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FE4"/>
    <w:multiLevelType w:val="multilevel"/>
    <w:tmpl w:val="CA2EEE1E"/>
    <w:lvl w:ilvl="0">
      <w:start w:val="1"/>
      <w:numFmt w:val="decimal"/>
      <w:suff w:val="space"/>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2"/>
        <w:szCs w:val="22"/>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FCD4D07"/>
    <w:multiLevelType w:val="multilevel"/>
    <w:tmpl w:val="30663D46"/>
    <w:lvl w:ilvl="0">
      <w:start w:val="2"/>
      <w:numFmt w:val="upperRoman"/>
      <w:suff w:val="space"/>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2"/>
        <w:szCs w:val="22"/>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31CB0249"/>
    <w:multiLevelType w:val="multilevel"/>
    <w:tmpl w:val="8C006878"/>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55D87FBF"/>
    <w:multiLevelType w:val="hybridMultilevel"/>
    <w:tmpl w:val="228CAAC4"/>
    <w:lvl w:ilvl="0" w:tplc="E572DFE6">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738E69FE"/>
    <w:multiLevelType w:val="hybridMultilevel"/>
    <w:tmpl w:val="BC5EEAD6"/>
    <w:lvl w:ilvl="0" w:tplc="9E5CD7DC">
      <w:start w:val="1"/>
      <w:numFmt w:val="upperRoman"/>
      <w:suff w:val="space"/>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2B"/>
    <w:rsid w:val="001D02E4"/>
    <w:rsid w:val="005E0F2B"/>
    <w:rsid w:val="00697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CAEC8-1237-41B6-A19F-DA93D775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0F2B"/>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5E0F2B"/>
    <w:rPr>
      <w:rFonts w:ascii="Times New Roman" w:eastAsia="Times New Roman" w:hAnsi="Times New Roman" w:cs="Times New Roman"/>
      <w:shd w:val="clear" w:color="auto" w:fill="FFFFFF"/>
    </w:rPr>
  </w:style>
  <w:style w:type="character" w:customStyle="1" w:styleId="Balk1">
    <w:name w:val="Başlık #1_"/>
    <w:basedOn w:val="VarsaylanParagrafYazTipi"/>
    <w:link w:val="Balk10"/>
    <w:rsid w:val="005E0F2B"/>
    <w:rPr>
      <w:rFonts w:ascii="Times New Roman" w:eastAsia="Times New Roman" w:hAnsi="Times New Roman" w:cs="Times New Roman"/>
      <w:b/>
      <w:bCs/>
      <w:shd w:val="clear" w:color="auto" w:fill="FFFFFF"/>
    </w:rPr>
  </w:style>
  <w:style w:type="character" w:customStyle="1" w:styleId="Gvdemetni3">
    <w:name w:val="Gövde metni (3)_"/>
    <w:basedOn w:val="VarsaylanParagrafYazTipi"/>
    <w:link w:val="Gvdemetni30"/>
    <w:rsid w:val="005E0F2B"/>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5E0F2B"/>
    <w:rPr>
      <w:rFonts w:ascii="Times New Roman" w:eastAsia="Times New Roman" w:hAnsi="Times New Roman" w:cs="Times New Roman"/>
      <w:b/>
      <w:b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5E0F2B"/>
    <w:pPr>
      <w:shd w:val="clear" w:color="auto" w:fill="FFFFFF"/>
      <w:spacing w:line="278" w:lineRule="exact"/>
      <w:jc w:val="both"/>
    </w:pPr>
    <w:rPr>
      <w:rFonts w:ascii="Times New Roman" w:eastAsia="Times New Roman" w:hAnsi="Times New Roman" w:cs="Times New Roman"/>
      <w:color w:val="auto"/>
      <w:sz w:val="22"/>
      <w:szCs w:val="22"/>
      <w:lang w:eastAsia="en-US" w:bidi="ar-SA"/>
    </w:rPr>
  </w:style>
  <w:style w:type="paragraph" w:customStyle="1" w:styleId="Balk10">
    <w:name w:val="Başlık #1"/>
    <w:basedOn w:val="Normal"/>
    <w:link w:val="Balk1"/>
    <w:rsid w:val="005E0F2B"/>
    <w:pPr>
      <w:shd w:val="clear" w:color="auto" w:fill="FFFFFF"/>
      <w:spacing w:before="300" w:after="60" w:line="0" w:lineRule="atLeast"/>
      <w:ind w:firstLine="660"/>
      <w:jc w:val="both"/>
      <w:outlineLvl w:val="0"/>
    </w:pPr>
    <w:rPr>
      <w:rFonts w:ascii="Times New Roman" w:eastAsia="Times New Roman" w:hAnsi="Times New Roman" w:cs="Times New Roman"/>
      <w:b/>
      <w:bCs/>
      <w:color w:val="auto"/>
      <w:sz w:val="22"/>
      <w:szCs w:val="22"/>
      <w:lang w:eastAsia="en-US" w:bidi="ar-SA"/>
    </w:rPr>
  </w:style>
  <w:style w:type="paragraph" w:customStyle="1" w:styleId="Gvdemetni30">
    <w:name w:val="Gövde metni (3)"/>
    <w:basedOn w:val="Normal"/>
    <w:link w:val="Gvdemetni3"/>
    <w:rsid w:val="005E0F2B"/>
    <w:pPr>
      <w:shd w:val="clear" w:color="auto" w:fill="FFFFFF"/>
      <w:spacing w:before="120" w:line="288" w:lineRule="exact"/>
      <w:ind w:firstLine="680"/>
      <w:jc w:val="both"/>
    </w:pPr>
    <w:rPr>
      <w:rFonts w:ascii="Times New Roman" w:eastAsia="Times New Roman" w:hAnsi="Times New Roman" w:cs="Times New Roman"/>
      <w:b/>
      <w:bCs/>
      <w:color w:val="auto"/>
      <w:sz w:val="22"/>
      <w:szCs w:val="22"/>
      <w:lang w:eastAsia="en-US" w:bidi="ar-SA"/>
    </w:rPr>
  </w:style>
  <w:style w:type="paragraph" w:styleId="ListeParagraf">
    <w:name w:val="List Paragraph"/>
    <w:basedOn w:val="Normal"/>
    <w:uiPriority w:val="34"/>
    <w:qFormat/>
    <w:rsid w:val="005E0F2B"/>
    <w:pPr>
      <w:ind w:left="720"/>
      <w:contextualSpacing/>
    </w:pPr>
  </w:style>
  <w:style w:type="paragraph" w:styleId="stbilgi">
    <w:name w:val="header"/>
    <w:basedOn w:val="Normal"/>
    <w:link w:val="stbilgiChar"/>
    <w:uiPriority w:val="99"/>
    <w:unhideWhenUsed/>
    <w:rsid w:val="005E0F2B"/>
    <w:pPr>
      <w:tabs>
        <w:tab w:val="center" w:pos="4536"/>
        <w:tab w:val="right" w:pos="9072"/>
      </w:tabs>
    </w:pPr>
  </w:style>
  <w:style w:type="character" w:customStyle="1" w:styleId="stbilgiChar">
    <w:name w:val="Üstbilgi Char"/>
    <w:basedOn w:val="VarsaylanParagrafYazTipi"/>
    <w:link w:val="stbilgi"/>
    <w:uiPriority w:val="99"/>
    <w:rsid w:val="005E0F2B"/>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5E0F2B"/>
    <w:pPr>
      <w:tabs>
        <w:tab w:val="center" w:pos="4536"/>
        <w:tab w:val="right" w:pos="9072"/>
      </w:tabs>
    </w:pPr>
  </w:style>
  <w:style w:type="character" w:customStyle="1" w:styleId="AltbilgiChar">
    <w:name w:val="Altbilgi Char"/>
    <w:basedOn w:val="VarsaylanParagrafYazTipi"/>
    <w:link w:val="Altbilgi"/>
    <w:uiPriority w:val="99"/>
    <w:rsid w:val="005E0F2B"/>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5E0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2019-05-09T08:15:00Z</dcterms:created>
  <dcterms:modified xsi:type="dcterms:W3CDTF">2019-05-09T08:17:00Z</dcterms:modified>
</cp:coreProperties>
</file>