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780" w:rsidRDefault="00926780" w:rsidP="00926780">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926780">
        <w:rPr>
          <w:sz w:val="24"/>
          <w:szCs w:val="26"/>
        </w:rPr>
        <w:t>“Davacı … vekili AV. ….tarafından Ankara İli, Çankaya İlçesi, Karakusunlar Mahallesi, 27535 Ada, 1 Parselde bulunan taşınmazın imar planlarında ‘okul alanı’ olarak belirlenmesi, uzun süre kamulaştırtmaması ve kamulaştırılması amacıyla yapılan başvuruların reddi üzerine bahsi geçen taşınmazda bulunan hissesi karşılığında 10,000.00 TL’nin tarafına ödenmesi istemiyle MİLLİ EĞİTİM BAKANLIĞI, ANKARA VALİLİĞİ, ÇANKAYA BELEDİYE BAŞKANLIĞI’na karşı açılan davada gereği düşünüldü.</w:t>
      </w:r>
    </w:p>
    <w:p w:rsidR="00926780" w:rsidRDefault="00926780" w:rsidP="00926780">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926780">
        <w:rPr>
          <w:sz w:val="24"/>
          <w:szCs w:val="26"/>
        </w:rPr>
        <w:t>Anayasanın “Anayasaya aykırılığın diğer mahkemelerde ileri sürülmesi, başlıklı 152. maddesinin birinci fıkrasında,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03.04.2011 tarihli ve 6216 sayılı Anayasa Mahkemesinin Kuruluşu ve Yargılama Usulleri Hakkında Kanunun “Anayasaya aykırılığın mahkemelerce ileri sürülmesi” başlıklı 40. maddesinde, “Bir davaya bakmakta olan mahkeme, bu davada uygulanacak bir kanun veya kanun hükmünde kararnamenin hükümlerini Anayasaya aykırı görürse veya taraflardan birinin ileri sürdüğü aykırılık iddiasının ciddi olduğu kanısına varırsa;</w:t>
      </w:r>
    </w:p>
    <w:p w:rsidR="00926780" w:rsidRDefault="00926780" w:rsidP="00926780">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926780">
        <w:rPr>
          <w:sz w:val="24"/>
          <w:szCs w:val="26"/>
        </w:rPr>
        <w:t>a) İptali istenen kuralların Anayasanın hangi maddelerine aykırı olduklarını açıklayan gerekçeli başvuru kararının aslını,</w:t>
      </w:r>
    </w:p>
    <w:p w:rsidR="00926780" w:rsidRDefault="00926780" w:rsidP="00926780">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926780">
        <w:rPr>
          <w:sz w:val="24"/>
          <w:szCs w:val="26"/>
        </w:rPr>
        <w:t>b) Başvuru kararma ilişkin tutanağın onaylı örneğini,</w:t>
      </w:r>
    </w:p>
    <w:p w:rsidR="00926780" w:rsidRDefault="00926780" w:rsidP="00926780">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926780">
        <w:rPr>
          <w:sz w:val="24"/>
          <w:szCs w:val="26"/>
        </w:rPr>
        <w:t>c) Dava dilekçesi, iddianame veya davayı açan belgeler ile dosyanın ilgili bölümlerinin onaylı örneklerini, dizi listesine bağlayarak Anayasa Mahkemesine gönderir.</w:t>
      </w:r>
    </w:p>
    <w:p w:rsidR="00926780" w:rsidRDefault="00926780" w:rsidP="00926780">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926780">
        <w:rPr>
          <w:sz w:val="24"/>
          <w:szCs w:val="26"/>
        </w:rPr>
        <w:t>Taraflarca ileri sürülen Anayasaya aykırılık iddiası davaya bakan mahkemece ciddi görülmezse bu konudaki talep, gerekçeleri de gösterilmek suretiyle reddedilir. Bu husus esas hükümle birlikte temyiz konusu yapılabilir.</w:t>
      </w:r>
    </w:p>
    <w:p w:rsidR="00926780" w:rsidRDefault="00926780" w:rsidP="00926780">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926780">
        <w:rPr>
          <w:sz w:val="24"/>
          <w:szCs w:val="26"/>
        </w:rPr>
        <w:t>Anayasa Mahkemesi, işin kendisine noksansız olarak gelişinden başlamak üzere beş ay içinde kararım verir ve açıklar. Bu süre içinde karar verilmezse ilgili mahkeme davayı yürürlükteki hükümlere göre sonuçlandırır. Ancak, Anayasa Mahkemesinin kararı, esas hakkındaki karar kesinleşinceye kadar gelirse mahkeme buna uymak zorundadır.” hükmüne yer verilmiştir.</w:t>
      </w:r>
    </w:p>
    <w:p w:rsidR="00926780" w:rsidRDefault="00926780" w:rsidP="00926780">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926780">
        <w:rPr>
          <w:sz w:val="24"/>
          <w:szCs w:val="26"/>
        </w:rPr>
        <w:t>Bir mahkemenin Anayasa Mahkemesine başvurabilmesi için elinde yöntemince açılmış ve görevine giren bir dava bulunması ve iptali istenen kuralın da o davada uygulanacak olması gerektiği hususu, Anayasa Mahkemesinin istikrar kazanmış yerleşik kararlarında açıkça vurgulanmıştır.</w:t>
      </w:r>
    </w:p>
    <w:p w:rsidR="00926780" w:rsidRDefault="00926780" w:rsidP="00926780">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926780">
        <w:rPr>
          <w:sz w:val="24"/>
          <w:szCs w:val="26"/>
        </w:rPr>
        <w:t>I- BAKILAN DAVADA UYGULANACAK KANUN KURALI</w:t>
      </w:r>
    </w:p>
    <w:p w:rsidR="00926780" w:rsidRDefault="00926780" w:rsidP="00926780">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926780">
        <w:rPr>
          <w:sz w:val="24"/>
          <w:szCs w:val="26"/>
        </w:rPr>
        <w:t>6745 sayılı Kanun’un 34. maddesiyle 2942 sayılı Kamulaştırma Kanunu’na eklenen Geçici 11. maddesinde “Bu Kanunun ek 1 inci maddesinin birinci fıkrası kapsamında kalan ve bu maddenin yürürlüğe girdiği tarihten önce tasarrufu hukuken kısıtlanan taşınmazlar hakkında aynı fıkrada belirtilen süre, bu maddenin yürürlüğe girdiği tarihten itibaren başlar.</w:t>
      </w:r>
    </w:p>
    <w:p w:rsidR="00926780" w:rsidRDefault="00926780" w:rsidP="00926780">
      <w:pPr>
        <w:pStyle w:val="Gvdemetni20"/>
        <w:widowControl/>
        <w:shd w:val="clear" w:color="auto" w:fill="auto"/>
        <w:tabs>
          <w:tab w:val="left" w:pos="1134"/>
        </w:tabs>
        <w:spacing w:before="240" w:after="100" w:afterAutospacing="1" w:line="240" w:lineRule="auto"/>
        <w:ind w:firstLine="709"/>
        <w:jc w:val="both"/>
        <w:rPr>
          <w:b w:val="0"/>
          <w:sz w:val="24"/>
          <w:szCs w:val="26"/>
        </w:rPr>
      </w:pPr>
      <w:r>
        <w:rPr>
          <w:b w:val="0"/>
          <w:sz w:val="24"/>
          <w:szCs w:val="26"/>
        </w:rPr>
        <w:lastRenderedPageBreak/>
        <w:t xml:space="preserve"> </w:t>
      </w:r>
      <w:r w:rsidRPr="00926780">
        <w:rPr>
          <w:b w:val="0"/>
          <w:sz w:val="24"/>
          <w:szCs w:val="26"/>
        </w:rPr>
        <w:t xml:space="preserve">Bu Kanunun ek 1 inci maddesinin üçüncü fıkrası hükmü, bu madde kapsamında kalan taşınmazlara ilişkin dava ve takipler hakkında da uygulanır.” </w:t>
      </w:r>
      <w:r w:rsidRPr="00926780">
        <w:rPr>
          <w:rStyle w:val="Gvdemetni2KalnDeil"/>
          <w:sz w:val="24"/>
          <w:szCs w:val="26"/>
        </w:rPr>
        <w:t>hükmü bulunmaktadır.</w:t>
      </w:r>
    </w:p>
    <w:p w:rsidR="00926780" w:rsidRDefault="00926780" w:rsidP="00926780">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926780">
        <w:rPr>
          <w:sz w:val="24"/>
          <w:szCs w:val="26"/>
        </w:rPr>
        <w:t>II- ANAYASAL DÜZENLEMELER</w:t>
      </w:r>
    </w:p>
    <w:p w:rsidR="00926780" w:rsidRDefault="00926780" w:rsidP="00926780">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926780">
        <w:rPr>
          <w:sz w:val="24"/>
          <w:szCs w:val="26"/>
        </w:rPr>
        <w:t>Anayasanın;</w:t>
      </w:r>
    </w:p>
    <w:p w:rsidR="00926780" w:rsidRDefault="00926780" w:rsidP="00926780">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926780">
        <w:rPr>
          <w:sz w:val="24"/>
          <w:szCs w:val="26"/>
        </w:rPr>
        <w:t xml:space="preserve">a-) “Cumhuriyetin nitelikleri” başlıklı 2. maddesinde; “Türkiye Cumhuriyeti, toplumun huzuru, milli dayanışma ve adalet anlayışı içinde, insan haklarına saygılı, Atatürk milliyetçiliğine bağlı, başlangıçta belirtilen temel ilkelere dayanan, demokratik, laik ve sosyal </w:t>
      </w:r>
      <w:r w:rsidRPr="00926780">
        <w:rPr>
          <w:rStyle w:val="GvdemetniKaln"/>
          <w:rFonts w:eastAsia="Courier New"/>
          <w:b w:val="0"/>
          <w:sz w:val="24"/>
          <w:szCs w:val="26"/>
        </w:rPr>
        <w:t>bir hukuk</w:t>
      </w:r>
      <w:r w:rsidRPr="00926780">
        <w:rPr>
          <w:rStyle w:val="GvdemetniKaln"/>
          <w:rFonts w:eastAsia="Courier New"/>
          <w:sz w:val="24"/>
          <w:szCs w:val="26"/>
        </w:rPr>
        <w:t xml:space="preserve"> </w:t>
      </w:r>
      <w:r w:rsidRPr="00926780">
        <w:rPr>
          <w:sz w:val="24"/>
          <w:szCs w:val="26"/>
        </w:rPr>
        <w:t>Devletidir.” hükmüne;</w:t>
      </w:r>
    </w:p>
    <w:p w:rsidR="00926780" w:rsidRDefault="00926780" w:rsidP="00926780">
      <w:pPr>
        <w:pStyle w:val="Gvdemetni20"/>
        <w:widowControl/>
        <w:shd w:val="clear" w:color="auto" w:fill="auto"/>
        <w:tabs>
          <w:tab w:val="left" w:pos="1134"/>
        </w:tabs>
        <w:spacing w:before="240" w:after="100" w:afterAutospacing="1" w:line="240" w:lineRule="auto"/>
        <w:ind w:firstLine="709"/>
        <w:jc w:val="both"/>
        <w:rPr>
          <w:b w:val="0"/>
          <w:sz w:val="24"/>
          <w:szCs w:val="26"/>
        </w:rPr>
      </w:pPr>
      <w:r>
        <w:rPr>
          <w:rStyle w:val="Gvdemetni2KalnDeil"/>
          <w:sz w:val="24"/>
          <w:szCs w:val="26"/>
        </w:rPr>
        <w:t xml:space="preserve"> </w:t>
      </w:r>
      <w:r w:rsidRPr="00926780">
        <w:rPr>
          <w:rStyle w:val="Gvdemetni2KalnDeil"/>
          <w:sz w:val="24"/>
          <w:szCs w:val="26"/>
        </w:rPr>
        <w:t xml:space="preserve">b-) “Yargı yetkisi” başlıklı 9. maddesinde; </w:t>
      </w:r>
      <w:r w:rsidRPr="00926780">
        <w:rPr>
          <w:b w:val="0"/>
          <w:sz w:val="24"/>
          <w:szCs w:val="26"/>
        </w:rPr>
        <w:t xml:space="preserve">“Yargı yetkisi, Türk Milleti adına bağımsız mahkemelerce kullanılır.” </w:t>
      </w:r>
      <w:r w:rsidRPr="00926780">
        <w:rPr>
          <w:rStyle w:val="Gvdemetni2KalnDeil"/>
          <w:sz w:val="24"/>
          <w:szCs w:val="26"/>
        </w:rPr>
        <w:t>hükmüne;</w:t>
      </w:r>
    </w:p>
    <w:p w:rsidR="00926780" w:rsidRDefault="00926780" w:rsidP="00926780">
      <w:pPr>
        <w:pStyle w:val="Gvdemetni20"/>
        <w:widowControl/>
        <w:shd w:val="clear" w:color="auto" w:fill="auto"/>
        <w:tabs>
          <w:tab w:val="left" w:pos="1134"/>
        </w:tabs>
        <w:spacing w:before="240" w:after="100" w:afterAutospacing="1" w:line="240" w:lineRule="auto"/>
        <w:ind w:firstLine="709"/>
        <w:jc w:val="both"/>
        <w:rPr>
          <w:b w:val="0"/>
          <w:sz w:val="24"/>
          <w:szCs w:val="26"/>
        </w:rPr>
      </w:pPr>
      <w:r>
        <w:rPr>
          <w:rStyle w:val="Gvdemetni2KalnDeil"/>
          <w:sz w:val="24"/>
          <w:szCs w:val="26"/>
        </w:rPr>
        <w:t xml:space="preserve"> </w:t>
      </w:r>
      <w:r w:rsidRPr="00926780">
        <w:rPr>
          <w:rStyle w:val="Gvdemetni2KalnDeil"/>
          <w:sz w:val="24"/>
          <w:szCs w:val="26"/>
        </w:rPr>
        <w:t>c-) Anayasanın 11. maddesine göre “</w:t>
      </w:r>
      <w:r w:rsidRPr="00926780">
        <w:rPr>
          <w:b w:val="0"/>
          <w:sz w:val="24"/>
          <w:szCs w:val="26"/>
        </w:rPr>
        <w:t>Anayasa hükümleri, yasama, yürütme ve yargı organlarını, idare makamlarını ve diğer kuruluş ve kişileri bağlayan temel hukuk kurallarıdır.</w:t>
      </w:r>
    </w:p>
    <w:p w:rsidR="00926780" w:rsidRDefault="00926780" w:rsidP="00926780">
      <w:pPr>
        <w:pStyle w:val="Gvdemetni20"/>
        <w:widowControl/>
        <w:shd w:val="clear" w:color="auto" w:fill="auto"/>
        <w:tabs>
          <w:tab w:val="left" w:pos="1134"/>
        </w:tabs>
        <w:spacing w:before="240" w:after="100" w:afterAutospacing="1" w:line="240" w:lineRule="auto"/>
        <w:ind w:firstLine="709"/>
        <w:jc w:val="both"/>
        <w:rPr>
          <w:b w:val="0"/>
          <w:sz w:val="24"/>
          <w:szCs w:val="26"/>
        </w:rPr>
      </w:pPr>
      <w:r>
        <w:rPr>
          <w:b w:val="0"/>
          <w:sz w:val="24"/>
          <w:szCs w:val="26"/>
        </w:rPr>
        <w:t xml:space="preserve"> </w:t>
      </w:r>
      <w:r w:rsidRPr="00926780">
        <w:rPr>
          <w:b w:val="0"/>
          <w:sz w:val="24"/>
          <w:szCs w:val="26"/>
        </w:rPr>
        <w:t>Kanunlar Anayasaya aykırı olamaz.”</w:t>
      </w:r>
    </w:p>
    <w:p w:rsidR="00926780" w:rsidRDefault="00926780" w:rsidP="00926780">
      <w:pPr>
        <w:pStyle w:val="Gvdemetni20"/>
        <w:widowControl/>
        <w:shd w:val="clear" w:color="auto" w:fill="auto"/>
        <w:tabs>
          <w:tab w:val="left" w:pos="1134"/>
        </w:tabs>
        <w:spacing w:before="240" w:after="100" w:afterAutospacing="1" w:line="240" w:lineRule="auto"/>
        <w:ind w:firstLine="709"/>
        <w:jc w:val="both"/>
        <w:rPr>
          <w:b w:val="0"/>
          <w:sz w:val="24"/>
          <w:szCs w:val="26"/>
        </w:rPr>
      </w:pPr>
      <w:r>
        <w:rPr>
          <w:rStyle w:val="Gvdemetni2KalnDeil"/>
          <w:sz w:val="24"/>
          <w:szCs w:val="26"/>
        </w:rPr>
        <w:t xml:space="preserve"> </w:t>
      </w:r>
      <w:r w:rsidRPr="00926780">
        <w:rPr>
          <w:rStyle w:val="Gvdemetni2KalnDeil"/>
          <w:sz w:val="24"/>
          <w:szCs w:val="26"/>
        </w:rPr>
        <w:t>d-) Anayasanın 36. maddesine göre “</w:t>
      </w:r>
      <w:r w:rsidRPr="00926780">
        <w:rPr>
          <w:b w:val="0"/>
          <w:sz w:val="24"/>
          <w:szCs w:val="26"/>
        </w:rPr>
        <w:t>Herkes, meşru vasıta ve yollardan faydalanmak suretiyle yargı mercileri önünde davacı veya davalı olarak iddia ve savunma ile adil yargılanma hakkına sahiptir.</w:t>
      </w:r>
    </w:p>
    <w:p w:rsidR="00926780" w:rsidRDefault="00926780" w:rsidP="00926780">
      <w:pPr>
        <w:pStyle w:val="Gvdemetni20"/>
        <w:widowControl/>
        <w:shd w:val="clear" w:color="auto" w:fill="auto"/>
        <w:tabs>
          <w:tab w:val="left" w:pos="1134"/>
        </w:tabs>
        <w:spacing w:before="240" w:after="100" w:afterAutospacing="1" w:line="240" w:lineRule="auto"/>
        <w:ind w:firstLine="709"/>
        <w:jc w:val="both"/>
        <w:rPr>
          <w:b w:val="0"/>
          <w:sz w:val="24"/>
          <w:szCs w:val="26"/>
        </w:rPr>
      </w:pPr>
      <w:r>
        <w:rPr>
          <w:b w:val="0"/>
          <w:sz w:val="24"/>
          <w:szCs w:val="26"/>
        </w:rPr>
        <w:t xml:space="preserve"> </w:t>
      </w:r>
      <w:r w:rsidRPr="00926780">
        <w:rPr>
          <w:b w:val="0"/>
          <w:sz w:val="24"/>
          <w:szCs w:val="26"/>
        </w:rPr>
        <w:t xml:space="preserve">Hiçbir mahkeme, görev ve yetkisi içindeki davaya bakmaktan kaçınamaz.” </w:t>
      </w:r>
      <w:r w:rsidRPr="00926780">
        <w:rPr>
          <w:rStyle w:val="Gvdemetni2KalnDeil"/>
          <w:sz w:val="24"/>
          <w:szCs w:val="26"/>
        </w:rPr>
        <w:t>hükmüne yer verilmiştir.</w:t>
      </w:r>
    </w:p>
    <w:p w:rsidR="00926780" w:rsidRDefault="00926780" w:rsidP="00926780">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926780">
        <w:rPr>
          <w:sz w:val="24"/>
          <w:szCs w:val="26"/>
        </w:rPr>
        <w:t>III- ANAYASAYA AYKIRILIĞININ DEĞERLENDİRİLMESİ:</w:t>
      </w:r>
    </w:p>
    <w:p w:rsidR="00926780" w:rsidRDefault="00926780" w:rsidP="00926780">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926780">
        <w:rPr>
          <w:sz w:val="24"/>
          <w:szCs w:val="26"/>
        </w:rPr>
        <w:t>Anayasanın 2. maddesi hukuk devleti ilkesini, 9. maddesi ise, yargı yetkisinin Türk Milleti adına bağımsız mahkemelerce kullanılacağı düzenlemektedir.</w:t>
      </w:r>
    </w:p>
    <w:p w:rsidR="00926780" w:rsidRDefault="00926780" w:rsidP="00926780">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926780">
        <w:rPr>
          <w:sz w:val="24"/>
          <w:szCs w:val="26"/>
        </w:rPr>
        <w:t>Öte yandan, Anayasanın 2. maddesinde belirtilen hukuk devleti, eylem ve işlemleri hukuka uygun ve insan haklarına dayanan, bu hak ve özgürlükleri koruyup güçlendiren, her alanda adil bir hukuk düzeni kurup bunu geliştirerek sürdüren, Anayasaya aykırı durum ve tutumlardan kaçınan, hukukun üstün kurallarıyla kendini bağlı sayan, yargı denetimlerine açık olan devlet ifade eder.</w:t>
      </w:r>
    </w:p>
    <w:p w:rsidR="00926780" w:rsidRDefault="00926780" w:rsidP="00926780">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926780">
        <w:rPr>
          <w:sz w:val="24"/>
          <w:szCs w:val="26"/>
        </w:rPr>
        <w:t>Olayda uygulanacak hüküm niteliğinde bulunan 6745 sayılı Kanun’un 34. maddesiyle 2942 sayılı Kanun’a eklenen Geçici 11. maddesi ile kamulaştırılmaksızın hukuken el atmalar hakkında aynı Kanun’un Ek 1. maddesinin 3. fıkrasına yapılan atıf ile görülen davaların esası hakkında karar verilmesini engelleyici, Anayasa’nın 2. ve 36. maddelerinde vurgulanan hukuk devleti ilkesi ile hak arama hürriyetine aykırı düzenleme yapıldığı, görülmekte olan davaların Anayasa Mahkemesi’nin E. 2013/95 K. 2014/176 sayılı kararında da belirtildiği üzere malikin mülkiyet hakkından kaynaklanan ve açılan davaların esası incelenmeksizin usulden reddedilmesinin öngörülmesi nitelikte olduğu, bu sebeple yargı yetkisinin mahkemelerce kullanılmasını düzenleyen Anayasanın 9. maddesine de aykırı olduğu kanaatine varılmıştır.</w:t>
      </w:r>
    </w:p>
    <w:p w:rsidR="00926780" w:rsidRDefault="00926780" w:rsidP="00926780">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926780">
        <w:rPr>
          <w:sz w:val="24"/>
          <w:szCs w:val="26"/>
        </w:rPr>
        <w:t>IV- SONUÇ VE İSTEM:</w:t>
      </w:r>
    </w:p>
    <w:p w:rsidR="00926780" w:rsidRDefault="00926780" w:rsidP="00926780">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lastRenderedPageBreak/>
        <w:t xml:space="preserve"> </w:t>
      </w:r>
      <w:r w:rsidRPr="00926780">
        <w:rPr>
          <w:sz w:val="24"/>
          <w:szCs w:val="26"/>
        </w:rPr>
        <w:t>Yukarıda açıklanan nede</w:t>
      </w:r>
      <w:bookmarkStart w:id="0" w:name="_GoBack"/>
      <w:bookmarkEnd w:id="0"/>
      <w:r w:rsidRPr="00926780">
        <w:rPr>
          <w:sz w:val="24"/>
          <w:szCs w:val="26"/>
        </w:rPr>
        <w:t>nlerle, Anayasanın 152. maddesinin birinci fıkrası ile 6216 sayılı Anayasa Mahkemesinin Kuruluşu ve Yargılama Usulleri Hakkında Kanunun 40. Maddesi uyarınca, bir davaya bakmakta olan mahkeme, bu davada uygulanacak bir kanun veya kanun hükmünde kararnamenin hükümlerini Anayasaya aykırı görürse veya taraflardan birinin ileri sürdüğü aykırılık iddiasının ciddi olduğu kanısına varması durumunda tarafların bu konudaki iddia ve savunmalarını ve kendisini bu kanıya götüren görüşünü açıklayan karan ile Anayasa Mahkemesine başvurması öngörüldüğünden ve bakılan davada uygulanacak kuralın;</w:t>
      </w:r>
    </w:p>
    <w:p w:rsidR="00926780" w:rsidRDefault="00926780" w:rsidP="00926780">
      <w:pPr>
        <w:pStyle w:val="Gvdemetni0"/>
        <w:widowControl/>
        <w:shd w:val="clear" w:color="auto" w:fill="auto"/>
        <w:tabs>
          <w:tab w:val="left" w:pos="1134"/>
        </w:tabs>
        <w:spacing w:before="240" w:after="100" w:afterAutospacing="1" w:line="240" w:lineRule="auto"/>
        <w:ind w:firstLine="709"/>
        <w:rPr>
          <w:sz w:val="24"/>
          <w:szCs w:val="26"/>
        </w:rPr>
        <w:sectPr w:rsidR="00926780" w:rsidSect="00926780">
          <w:headerReference w:type="default" r:id="rId6"/>
          <w:footerReference w:type="even" r:id="rId7"/>
          <w:footerReference w:type="default" r:id="rId8"/>
          <w:type w:val="continuous"/>
          <w:pgSz w:w="11907" w:h="16840" w:code="9"/>
          <w:pgMar w:top="1417" w:right="1417" w:bottom="1417" w:left="1417" w:header="709" w:footer="709" w:gutter="0"/>
          <w:cols w:space="720"/>
          <w:noEndnote/>
          <w:docGrid w:linePitch="360"/>
        </w:sectPr>
      </w:pPr>
      <w:r>
        <w:rPr>
          <w:sz w:val="24"/>
          <w:szCs w:val="26"/>
        </w:rPr>
        <w:t xml:space="preserve"> </w:t>
      </w:r>
      <w:r w:rsidRPr="00926780">
        <w:rPr>
          <w:sz w:val="24"/>
          <w:szCs w:val="26"/>
        </w:rPr>
        <w:t>Anayasanın 2., 9. ve 36. maddelerine aykırı olduğu kanaatine varıldığından, anılan düzenlemelerin iptali istemiyle itiraz yoluyla Anayasa Mahkemesine başvurulmasına, dava dosyasının onaylı bir örneği ile iş bu kararın aslının Anayasa Mahkemesine gönderilmesine, Anayasa Mahkemesinin bu konuda vereceği karara kadar 5 ay süreyle davanın geri bırakılmasına, bu süre içerisinde Anayasa Mahkemesince bir karar verilmemesi halinde, mevcut mevzuat hükümleri ile dosyadaki bilgi ve belgelere göre davanın görülmesine, kararın bir örneğinin taraflara tebliğine, 19/10/2016 tarihinde karar verildi.”</w:t>
      </w:r>
    </w:p>
    <w:p w:rsidR="00926780" w:rsidRDefault="00926780" w:rsidP="00926780">
      <w:pPr>
        <w:pStyle w:val="Gvdemetni0"/>
        <w:widowControl/>
        <w:shd w:val="clear" w:color="auto" w:fill="auto"/>
        <w:tabs>
          <w:tab w:val="left" w:pos="1134"/>
        </w:tabs>
        <w:spacing w:before="240" w:after="100" w:afterAutospacing="1" w:line="240" w:lineRule="auto"/>
        <w:ind w:firstLine="709"/>
        <w:rPr>
          <w:sz w:val="24"/>
          <w:szCs w:val="26"/>
        </w:rPr>
      </w:pPr>
    </w:p>
    <w:p w:rsidR="00926780" w:rsidRDefault="00926780" w:rsidP="00926780">
      <w:pPr>
        <w:widowControl/>
        <w:tabs>
          <w:tab w:val="left" w:pos="1134"/>
        </w:tabs>
        <w:spacing w:before="240" w:after="100" w:afterAutospacing="1"/>
        <w:ind w:firstLine="709"/>
        <w:jc w:val="both"/>
        <w:rPr>
          <w:szCs w:val="26"/>
        </w:rPr>
      </w:pPr>
      <w:r w:rsidRPr="003573F8">
        <w:rPr>
          <w:rFonts w:ascii="Times New Roman" w:hAnsi="Times New Roman" w:cs="Times New Roman"/>
          <w:szCs w:val="26"/>
        </w:rPr>
        <w:t>“Anayasanın 152/1.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düzenlenmektedir.</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Bakılan davada, davacının Adana İli, Sarıçam İlçesi, Bayramhacılı Mahallesi 340 parsel numaralı taşınmazına davalı idare tarafından kamulaştırmasız el atıldığından bahisle, fazlaya ilişkin hakkı saklı kalmak kaydı ile 1.000 TL kamulaştırmasız el atma bedelinin ödenmesi ile ilgili dava konusu uyuşmazlığa 2942 sayılı Kamulaştırma Yasasına eklenen geçici 11. maddesinde belirtilen cümlesi uygulanacak yasal hüküm durumunda bulunmaktadır.</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Anayasa’nın 2. maddesinde, Türkiye Cumhuriyeti’nin bir hukuk devleti olduğu belirtilmiştir. Hukuk devleti, eylem ve işlemleri hukuka uygun olan, insan haklarına saygılı,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Hukuk devletinde kişilerin temel hak ve özgürlüklerinin sağlanması ve korunması esas olduğundan, kişilere etkili hak arama olanağı sağlayan güvencelerin de tanınması gerekmektedir. Bu çerçevede Anayasa’nın “Hak arama hürriyeti” başlıklı 36. maddesinin 1. fıkrasında, “Herkes, meşru vasıta ve yollardan faydalanmak suretiyle yargı mercileri önünde davacı veya davalı olarak iddia ve savunma ile adil yargılanma hakkına sahiptir.” denilerek, herkese, adaleti bulma, hakkı olanı elde etme ve haksızlığı giderme olanağı sağlanmıştır. Böylece kişilerin hukuki güvenlikleri etkin bir koruma mekanizmasına kavuşturulmuştur.</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Bir uyuşmazlığı Mahkeme önüne götürme Mahkemece verilen kararın uygulanmasını isteme, yargılamanın sonuç doğurmasını sağlayan hak arama hürriyetinin olmazsa olmaz koşuludur. Hak arama özgürlüğünün bir gereği olan Mahkemeye erişim hakkı, yargılama sonunda verilen kararın etkili bir şekilde aynen ve gecikmeksizin uygulanmasını da gerektirmektedir.</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Kişilerin, Devlete güven duymaları, maddi ve manevi varlıklarını geliştirebilmeleri, temel hak ve özgürlüklerden yararlanabilmeleri ancak hukuk güvenliği ve üstünlüğünün sağlandığı bir hukuk düzeninde gerçekleşebilir. Hukuk güvenliğinin ve hukukun üstünlüğünün sağlanması için Devletin işlem ve eylemlerine karşı yargı yolunun açık tutulması yeterli olmayıp yargı mercileri tarafından verilen kararların gecikmeksizin uygulanması da gerekir. Mahkeme kararlarının bağlayıcılığını ve gecikmeksizin uygulanmasını sağlayacak etkili tedbirlerin alınması hukuk devletinin asgari gereklerindendir.</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Bu nedenle, davaya taraf olan kişinin Anayasal güvencelerinin etkin olarak korunması ve hukuka uygunluğunun sağlanması için, idarenin kendisi hakkında karar verebileceği konuyu yargı mercileri önüne uyuşmazlık şeklinde getirebilmesiyle olanaklıdır.</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İLGİLİ ANAYASA MADDELERİ</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1- CUMHURİYETİN TEMEL NİTELİKLERİ Başlıklı</w:t>
      </w:r>
    </w:p>
    <w:p w:rsidR="00926780" w:rsidRDefault="00926780" w:rsidP="00926780">
      <w:pPr>
        <w:widowControl/>
        <w:tabs>
          <w:tab w:val="left" w:pos="1134"/>
        </w:tabs>
        <w:spacing w:before="240" w:after="100" w:afterAutospacing="1"/>
        <w:ind w:firstLine="709"/>
        <w:jc w:val="both"/>
        <w:rPr>
          <w:szCs w:val="26"/>
        </w:rPr>
      </w:pPr>
      <w:r>
        <w:rPr>
          <w:szCs w:val="26"/>
        </w:rPr>
        <w:lastRenderedPageBreak/>
        <w:t xml:space="preserve"> </w:t>
      </w:r>
      <w:r w:rsidRPr="003573F8">
        <w:rPr>
          <w:rFonts w:ascii="Times New Roman" w:hAnsi="Times New Roman" w:cs="Times New Roman"/>
          <w:szCs w:val="26"/>
        </w:rPr>
        <w:t>ANAYASANIN 2. MADDESİ; 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verilmiştir.</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Anayasa’nın 2. maddesinde tanımlandığı üzere Devletimiz bir hukuk devletidir.</w:t>
      </w:r>
      <w:r>
        <w:rPr>
          <w:szCs w:val="26"/>
        </w:rPr>
        <w:t xml:space="preserve"> </w:t>
      </w:r>
      <w:r w:rsidRPr="003573F8">
        <w:rPr>
          <w:rFonts w:ascii="Times New Roman" w:hAnsi="Times New Roman" w:cs="Times New Roman"/>
          <w:szCs w:val="26"/>
        </w:rPr>
        <w:t>Hukuk devleti ilkesinin öğeleri arasında yasaların kamu yararına dayanması ilkesi vardır. Bu ilkenin anlamı kamu yaran düşüncesi olmaksızın başka bir deyimle yalnızca özel çıkar veya yalnızca belli kişilerin yararına olarak herhangi bir yasa kuralının konulamıyacağıdır. Buna göre çıkarılması için kamu yararı bulunmayan bir yasa kuralı Anayasa’nın 2. maddesine aykırı olur ve dava açıldığında iptali gerekir. (Any.Mah. 22.6.1972, Es. 1972/14, K. 1972/34; R.G.ll.1.1973).</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Hukuk devletinin temel unsuru bütün Devlet faaliyetlerinin hukuk kurallarına uygun olmasıdır. Hukuk devleti, insan haklarına saygı gösteren ve bu haklan koruyucu, adil bir hukuk düzeni kuran ve bunu devam ettirmeye kendini zorunlu sayan ve bütün faaliyetlerinde hukuka ve Anayasa’ya uyan bir devlet olmak gerekir. Hukuk devletinde kanun koyucu da dahil olmak üzere devletin bütün organları üstünde hukukun mutlak bir hakimiyeti olması, kanun koyucunun yasama faaliyetlerinde kendisini her zaman Anayasa ve hukukun üstün kuralları ile bağlı tutması lazımdır. Zira kanunun da üstünde Kanun Koyucunun bozamıyacağı temel hukuk prensipleri ve Anayasa vardır. (Any.Mah. 11.10.1963, Es.1963/124, Ka.1963/243, AMKD.sy.l,sh.429; aynı yönde: Any.Mah.3.7.1986, Es.1963/3, Ka. 1986/15, R.G.10.12.1986 - Sayı:19307).</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 xml:space="preserve">Hukuk devleti, kişiye tüm hak ve özgürlükleri tanıyıp bunlara saygı gösteren ve bu hakları koruyucu adil bir hukuk düzeni kuran, bunları devam ettirmeye kendini zorunlu sayan ve bütün faaliyetlerinde hukuka ve Anayasa’ya uyan, başka bir deyimle devlet organlarının tüm işlemlerinin bağımsız yargı denetiminden geçirilmesini ve böylece hukuka ve Anayasa’ya uygun olmalarını sağlayan devlet demektir. (Any.Mah. 13.1.1977, Es. 1976/45. Ka. 1977/1; </w:t>
      </w:r>
      <w:r w:rsidRPr="003573F8">
        <w:rPr>
          <w:rFonts w:ascii="Times New Roman" w:hAnsi="Times New Roman" w:cs="Times New Roman"/>
          <w:szCs w:val="26"/>
          <w:lang w:val="en-US"/>
        </w:rPr>
        <w:t xml:space="preserve">AMKD.sy.15.sy.44; </w:t>
      </w:r>
      <w:r w:rsidRPr="003573F8">
        <w:rPr>
          <w:rFonts w:ascii="Times New Roman" w:hAnsi="Times New Roman" w:cs="Times New Roman"/>
          <w:szCs w:val="26"/>
        </w:rPr>
        <w:t>R.G.28.3.1978 Sayı:16242)</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Anayasa Mahkemesinin kimi kararlarında da açıklandığı üzere, hukuk devleti demek, insan haklarına saygılı ve bu hakları koruyan toplum yaşamında adalete ve eşitliğe uygun bir hukuk düzeni kuran ve bu düzeni sürdürmekle kendini yükümlü sayan, bütün davranışlarında hukuk kurallarına ve Anayasaya uyan işlem ve eylemleri yargı denetimine bağlı olan devlet demektir. Aslında yargı denetimi, hukuk devleti ilkesinin öteki öğelerinin de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27.1.1977, Es. 1976/43, Ka. 1977/14, AMKD.sy.l5,sh.l 17; R.G.21.4.1977-Sayı:15916).</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Yasaların üstünde yasa koyucunun uymak zorunda bulunduğu Anayasa ve temel hukuk ilkeleri vardır. Anayasa’da öngörülen devletin amacı ve varlığıyla bağdaşmayan, hukukun ana ilkelerine dayanmayan yasalar kamu vicdanında olumsuz tepkiler yaratır...</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Hukuk devletinin amaç edindiği kişinin korunması, toplumda sosyal güvenliğin ve sosyal adaletin sağlanması yoluyla gerçekleştirilebilir. (Any. Mah. 20.10.1988, Es. 1988/19, Ka.1988/33; R.G. 11.12.1988, Sayı-20016) tespit ve yorumlan bulunmaktadır.</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Anayasa 2. madde içeriğindeki Hukuk Devlet kavramı açısından bilimsel görüş;</w:t>
      </w:r>
    </w:p>
    <w:p w:rsidR="00926780" w:rsidRDefault="00926780" w:rsidP="00926780">
      <w:pPr>
        <w:widowControl/>
        <w:tabs>
          <w:tab w:val="left" w:pos="1134"/>
        </w:tabs>
        <w:spacing w:before="240" w:after="100" w:afterAutospacing="1"/>
        <w:ind w:firstLine="709"/>
        <w:jc w:val="both"/>
        <w:rPr>
          <w:szCs w:val="26"/>
        </w:rPr>
      </w:pPr>
      <w:r>
        <w:rPr>
          <w:szCs w:val="26"/>
        </w:rPr>
        <w:lastRenderedPageBreak/>
        <w:t xml:space="preserve"> </w:t>
      </w:r>
      <w:r w:rsidRPr="003573F8">
        <w:rPr>
          <w:rFonts w:ascii="Times New Roman" w:hAnsi="Times New Roman" w:cs="Times New Roman"/>
          <w:szCs w:val="26"/>
        </w:rPr>
        <w:t>Yürütme işlemlerinin yargısal denetimi, hukuk devletinin temel ilkelerinden biri olmakla birlikte, tek başına hukukun üstünlüğünü ve vatandaşların hukuki güvenliğini sağlamaya yeterli değildir. Çünkü bu denetim, nihayet yürütme işlemlerinin “kanunlara” uygunluğunu sağlayabilecektir. Oysa kanunların kendisi Anayasaya aykırı olduğu takdirde, vatandaşların Anayasal haklarının çiğnenmesi yine önlenemeyecektir. Şu halde hukuk devletinin tam anlamıyla gerçekleşebilmiş sayılabilmesi için, sadece yürütme organının işlemlerinin kanunlara uygunluğunun değil, yasama işlemlerinin de Anayasa uygunluğunun yargı organlarınca denetlenebilmesi gerekir...</w:t>
      </w:r>
    </w:p>
    <w:p w:rsidR="00926780" w:rsidRDefault="00926780" w:rsidP="00926780">
      <w:pPr>
        <w:widowControl/>
        <w:tabs>
          <w:tab w:val="left" w:pos="1134"/>
        </w:tabs>
        <w:spacing w:before="240" w:after="100" w:afterAutospacing="1"/>
        <w:ind w:firstLine="709"/>
        <w:jc w:val="both"/>
        <w:rPr>
          <w:color w:val="auto"/>
          <w:szCs w:val="26"/>
        </w:rPr>
      </w:pPr>
      <w:r>
        <w:rPr>
          <w:szCs w:val="26"/>
        </w:rPr>
        <w:t xml:space="preserve"> </w:t>
      </w:r>
      <w:r w:rsidRPr="003573F8">
        <w:rPr>
          <w:rFonts w:ascii="Times New Roman" w:hAnsi="Times New Roman" w:cs="Times New Roman"/>
          <w:color w:val="auto"/>
          <w:szCs w:val="26"/>
        </w:rPr>
        <w:t>Hukuk devleti denilince, ilk olarak yürütmenin hukuka bağlılığı ve yürütme işlemlerinin yargı denetimi altında bulunması akla gelmektedir. Hukuk devleti bakımından önemli olan nokta, yürütmenin eylem ve işlemlerinin bağımsız yargı organlarınca denetlenip denetlenememesidir. Bu denetim sağlandıktan sonra, denetimi yapan Mahkemenin genel Mahkeme veya İdare Mahkemesi oluşu, hukuk devleti açısından önem taşımaz. Nitekim hukuk devleti, adli idareyi benimseyen Anglo-Sakson ülkelerinde olduğu kadar, idari yargıyı benimseyen Kara Avrupası ülkelerinde de mevcuttur, (özbudun, sh.96 ve) şeklindedir.</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2- DEVLETİN TEMEL AMAÇ VE GÖREVLERİ Başlıklı</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5. MADDESİ; 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şartlan hazırlamaya çalışmaktır.” hükmünü içermektedir.</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Anayasanın 5. maddesinin gerekçesinde; ...Devletin... milletin huzurunu sağlamak ve fertlerini mutlu kılmak görevi ile de yükümlüdür. Devlet, ferdin hayat mücadelesini kolaylaştıracaktır. Ferdin insan haysiyetine uygun bir ortam içinde yaşamasını gerçekleştirecektir. Bu sosyal devletin görevidir... olarak belirtilmektedir.</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Anayasa 5. madde içeriğindeki kavramlar açısından bilimsel görüş; 1982 Anayasa’sı, 5. madde ile, devletin amaç ve görevlerini açık ve anlaşılabilir bir şekilde ortaya koymuştur. Bu maddede devletin görevleri üç grupta toplanmıştır.</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1- Türk milletinin bağımsızlığını ve bütünlüğünü, ülkenin bölünmezliğini, cumhuriyeti ve demokrasiyi korumak,</w:t>
      </w:r>
      <w:r>
        <w:rPr>
          <w:szCs w:val="26"/>
        </w:rPr>
        <w:t xml:space="preserve"> </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2- Kişilerin ve toplumun refah, huzur ve mutluluğunu sağlamak,</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3- Kişi hak ve hürriyetleri için sosyal hukuk devleti ve adalet ilkeleri ile bağdaşmayacak surette sınırlayan siyasi, sosyal ve ekonomik engelleri kaldırmak, insanın maddi ve manevi varlığının gelişmesi için gerekli şartlan hazırlamaya çalışmak. (Dal,sh. 141) şeklindedir.</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3- YARGI YETKİSİ Başlıklı</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9. MADDESİ; Yargı yetkisi, Türk Milleti adına bağımsız Mahkemelerce kullanılır.</w:t>
      </w:r>
    </w:p>
    <w:p w:rsidR="00926780" w:rsidRDefault="00926780" w:rsidP="00926780">
      <w:pPr>
        <w:widowControl/>
        <w:tabs>
          <w:tab w:val="left" w:pos="1134"/>
        </w:tabs>
        <w:spacing w:before="240" w:after="100" w:afterAutospacing="1"/>
        <w:ind w:firstLine="709"/>
        <w:jc w:val="both"/>
        <w:rPr>
          <w:szCs w:val="26"/>
        </w:rPr>
      </w:pPr>
      <w:r>
        <w:rPr>
          <w:szCs w:val="26"/>
        </w:rPr>
        <w:lastRenderedPageBreak/>
        <w:t xml:space="preserve"> </w:t>
      </w:r>
      <w:r w:rsidRPr="003573F8">
        <w:rPr>
          <w:rFonts w:ascii="Times New Roman" w:hAnsi="Times New Roman" w:cs="Times New Roman"/>
          <w:szCs w:val="26"/>
        </w:rPr>
        <w:t>Gerekçe: Yargı yetkisi, fert, hak ve hürriyetleri sorununun ortaya çıktığı günden beri kabul edildiği üzere bağımsız organlar tarafından bağımsız Mahkemelerce yerine getirilecektir.</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Anayasa’nın 2. maddesinde yer alan hukuk devleti ilkesi, insan haklarına saygılı ve bu haklan koruyucu adil bir hukuk düzeni kuran ve bunu devam ettirmekle kendini yükümlü sayan, bütün davranışlarında hukuk kurallarına ve Anayasa’ya uygun işlem ve eylemleri yargı denetimine bağlı olan devlet demektir. Aslında yargı denetimi unsuru, hukuk devleti ilkesinin diğer öğelerinin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2.5.1976, Es. 1976/1, Ka.1976/8; E.G.16.8.1976)</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4- MÜLKİYET HAKKI Başlıklı</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35. MADDESİNDE; Herkes, mülkiyet ve miras hakkına sahiptir. Bu haklar, ancak kamu yaran amacıyla, kanunla sınırlanabilir. Mülkiyet hakkının kullanılması toplum yararına aykırı olamaz.</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Gerekçe: Madde, birbirine yakın ve birbiriyle ilgili iki temel hakkı, mülkiyet ve miras haklarını birlikte düzenlemiştir. Bu birlikte düzenleme 18 inci yüzyıldan beri geleneğin sonucudur.</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Anayasa hem mülkiyet hakkını hem miras hakkını Anayasal bir müessese olarak teminat altına almaktadır.</w:t>
      </w:r>
    </w:p>
    <w:p w:rsidR="00926780" w:rsidRPr="003573F8" w:rsidRDefault="00926780" w:rsidP="00926780">
      <w:pPr>
        <w:widowControl/>
        <w:tabs>
          <w:tab w:val="left" w:pos="1134"/>
        </w:tabs>
        <w:spacing w:before="240" w:after="100" w:afterAutospacing="1"/>
        <w:ind w:firstLine="709"/>
        <w:jc w:val="both"/>
        <w:rPr>
          <w:rFonts w:ascii="Times New Roman" w:hAnsi="Times New Roman" w:cs="Times New Roman"/>
          <w:szCs w:val="26"/>
        </w:rPr>
      </w:pPr>
      <w:r>
        <w:rPr>
          <w:szCs w:val="26"/>
        </w:rPr>
        <w:t xml:space="preserve"> </w:t>
      </w:r>
      <w:r w:rsidRPr="003573F8">
        <w:rPr>
          <w:rFonts w:ascii="Times New Roman" w:hAnsi="Times New Roman" w:cs="Times New Roman"/>
          <w:szCs w:val="26"/>
        </w:rPr>
        <w:t>Maddede mülkiyet ve miras haklarının, diğer temel hakları gibi ve onlar derecesinde düzenlenmiş ve Anayasa güvencesine bağlamıştır.</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Madde bundan sonra mülkiyet ve miras haklarının kamu yararı amacı ile sınırlandırabileceğine işaret etmiş; daha sonra mülkiyet hakkının kullanılmasının toplum yararına aykırı olamayacağını hükme bağlamıştır.</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Mülkiyet hakkı Devletten önce de var olan bir gerçek olması itibariyle (Maunz-Durig-Herzog-Scholz, Gmudgesetz, Kommentar, Art. 14, N.5) ekonomik ve sosyal haklar arasında değil de, kişinin temel hakları arasında düzenlenmesi düşünebilirse de, Komisyon şimdiki düzenlemenin yerinde olduğu sonucuna varmıştır.</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Mülkiyetin Anayasa güvencesi altına alınması, yine Anayasanın komünizmi, faşizmi ve din temeline dayanan Devlet kurmayı yasaklayan hükümleriyle birlikte karşılaştırılınca, mülkiyetin bu şekilde himayesinin bir ölçüde ekonomik sistem tercihi bakımından da bir gösterge teşkil etmektedir. Kısaca, özel mülkiyetin özellikle üretim araçları üzerindeki özel mülkiyetin yok edilmesi, inkar edilmesi de önlenmiştir. Kamu yararına bulunduğu hallerde rayiç bedel ödenmek suretiyle kamulaştırma ve devletleştirme mümkündür ve Anayasa 47 ve 48 inci maddelerde düzenlenmiştir.</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Mülkiyeti Anayasa teminatı altında bulundurmanın ülke ekonomisinin ihtiyacı olan uluslararası ilişkileri  geliştireceği, yabancı sermayenin ülkemizde yatırım yapmasını mümkün kılacağı, bu ilişkilerde ülke menfaatlerine öncelik tanınması durumunda ise ekonomik büyümenin gerçekleşmesi suretiyle toplumunun refahını arttıracağı genellikle kabul edilmektedir. (Maunz-Durig-Herzog-Scholz,. Art. 14. No.7)</w:t>
      </w:r>
    </w:p>
    <w:p w:rsidR="00926780" w:rsidRDefault="00926780" w:rsidP="00926780">
      <w:pPr>
        <w:widowControl/>
        <w:tabs>
          <w:tab w:val="left" w:pos="1134"/>
        </w:tabs>
        <w:spacing w:before="240" w:after="100" w:afterAutospacing="1"/>
        <w:ind w:firstLine="709"/>
        <w:jc w:val="both"/>
        <w:rPr>
          <w:szCs w:val="26"/>
        </w:rPr>
      </w:pPr>
      <w:r>
        <w:rPr>
          <w:szCs w:val="26"/>
        </w:rPr>
        <w:lastRenderedPageBreak/>
        <w:t xml:space="preserve"> </w:t>
      </w:r>
      <w:r w:rsidRPr="003573F8">
        <w:rPr>
          <w:rFonts w:ascii="Times New Roman" w:hAnsi="Times New Roman" w:cs="Times New Roman"/>
          <w:szCs w:val="26"/>
        </w:rPr>
        <w:t>Mülkiyeti Anayasa teminatı altına alan bu madde doğrudan devlete hitabetmektedir. Mülkiyetin şahıslara karşı korunması Medeni Kanun ve 5917 sayılı Gayri Menkule Tecavüzün Meni Hakkinda Kanun gibi mevzuatla sağlanmaktadır. Mülkiyetin münferit himayesini fert Mahkemelerden ve idareden talep etmektedir. Mülkiyetin müessese olarak güvence altına alınması ise kanun koyucu, başka açıdan Devlet, Anayasaya uygunluk denetimini yapacak olan Anayasa yargısı, tarafından sağlanacaktır. (Mangoîdt-Klein I, S. 422)</w:t>
      </w:r>
    </w:p>
    <w:p w:rsidR="00926780" w:rsidRPr="003573F8" w:rsidRDefault="00926780" w:rsidP="00926780">
      <w:pPr>
        <w:widowControl/>
        <w:tabs>
          <w:tab w:val="left" w:pos="1134"/>
        </w:tabs>
        <w:spacing w:before="240" w:after="100" w:afterAutospacing="1"/>
        <w:ind w:firstLine="709"/>
        <w:jc w:val="both"/>
        <w:rPr>
          <w:rFonts w:ascii="Times New Roman" w:hAnsi="Times New Roman" w:cs="Times New Roman"/>
          <w:szCs w:val="26"/>
        </w:rPr>
      </w:pPr>
      <w:r>
        <w:rPr>
          <w:szCs w:val="26"/>
        </w:rPr>
        <w:t xml:space="preserve"> </w:t>
      </w:r>
      <w:r w:rsidRPr="003573F8">
        <w:rPr>
          <w:rFonts w:ascii="Times New Roman" w:hAnsi="Times New Roman" w:cs="Times New Roman"/>
          <w:szCs w:val="26"/>
        </w:rPr>
        <w:t>Mülkiyetin Anayasa teminatı altına alınması kimlerin yararlanacağı ise bir problem doğurmaz. Malik sıfatını taşıyan gerçek ve tüzelkişiler, bu Anayasal güvenceden yararlanırlar ve onu dermeyan edebilirler.</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Gerçek kişilerin fiil ehliyetlerinin farklı olması sebebiyle bu temel hakkın sahipliği bakımından bir ayırım yapılamaz. Başka deyişle mülkiyete sahip olmak bakımından hiçbir ehliyet ayrımı gözetilemez.</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Kişinin, şahsiyetini geliştirebilmesinde mülkiyetin, Anayasaca güvence altına alınmasının azımsanmayacak rolü vardır. Çünkü klasikleşmiş bir kabule göre, insan şahsiyetinin bir parçası “ekonomik şahsiyet” olarak adlandırılmaktadır. Anayasanın “ Herkes yaşama, maddi ve manevi varlığım koruma ve geliştirme hakkına sahiptir” diyen 16 ncı maddesinin 1 inci fıkrası ile mülkiyet güvencesi getiren 43 üncü madde arasında bu açıdan irtibat vardır. Başka deyişle, mülkiyet hakkını Anayasa teminatı altında tutan 43 üncü madde, 16 ncı maddenin 1 inci fıkrasına nazaran özel hüküm niteliğindedir.</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Mülkiyetin korunması, hürriyeti de güvence altına alır. (Maunz-Durig-Herzog- Scholz,. Art. 14. No. 15/16)</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Mülkiyetin, güvencesi ile ilgili 43 üncü madde, konut dokunulmazlığını güvence altına alan 21 inci madde birlikte uygulanır.</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48 inci maddede düzenlenen devletleştirmenin mülkiyetin Anayasa güvencesi altına alınması ile çelişir bir yanı yoktur. Bu noktaya yukarıda temas edilmemiştir.</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Mülkiyetin anayasal güvencesi ile 13 üncü maddedeki temel haklan kötüye kullananların o haklan kaybedecekleri hükmü arasında bir uyumsuzluk bulunmamaktadır. Türk Ceza Kanunundaki müsadere hükümleri ile Anayasanın 30 uncu maddesindeki müsadere hükümleri 13 üncü madde anlamında “o hakkın kaybedilmesi” değildir. Kanun koyucu 13 üncü maddedeki şartlarda mülkiyet hakkının kaybedilmesinin şartları ve karar verecek mercileri özel bir kanunla düzenleyebilir.</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Mülkiyet Anayasal güvence altına alınması tek tek menkul ve taşınmaz mallan, para ile değerlendirebilen haklan ve mal varlığını toplu olarak ve tabii olarak üretim araçlarını içeren bir teminattır.</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Bu teminat, hukuk devletinin gereğidir.</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Bu teminat, mülkiyetin kamu yaran amacıyla sınırlanmasına engel değildir. Ağır vergilendirme, peşin olmayan ödemelerle kamulaştırma ve devletleştirmelerin, mülkiyet güvencesine aykırı düşer.</w:t>
      </w:r>
    </w:p>
    <w:p w:rsidR="00926780" w:rsidRDefault="00926780" w:rsidP="00926780">
      <w:pPr>
        <w:widowControl/>
        <w:tabs>
          <w:tab w:val="left" w:pos="1134"/>
        </w:tabs>
        <w:spacing w:before="240" w:after="100" w:afterAutospacing="1"/>
        <w:ind w:firstLine="709"/>
        <w:jc w:val="both"/>
        <w:rPr>
          <w:szCs w:val="26"/>
        </w:rPr>
      </w:pPr>
      <w:r>
        <w:rPr>
          <w:szCs w:val="26"/>
        </w:rPr>
        <w:lastRenderedPageBreak/>
        <w:t xml:space="preserve"> </w:t>
      </w:r>
      <w:r w:rsidRPr="003573F8">
        <w:rPr>
          <w:rFonts w:ascii="Times New Roman" w:hAnsi="Times New Roman" w:cs="Times New Roman"/>
          <w:szCs w:val="26"/>
        </w:rPr>
        <w:t>Miras hakkı, mülkiyet hakkının bir devamıdır, özel bir şekildir. Bu nedenle mülkiyet ve miras aynı maddede ardarda düzenlenerek Anayasal güvence altına alınmıştır.</w:t>
      </w:r>
    </w:p>
    <w:p w:rsidR="00926780" w:rsidRPr="003573F8" w:rsidRDefault="00926780" w:rsidP="00926780">
      <w:pPr>
        <w:widowControl/>
        <w:tabs>
          <w:tab w:val="left" w:pos="1134"/>
        </w:tabs>
        <w:spacing w:before="240" w:after="100" w:afterAutospacing="1"/>
        <w:ind w:firstLine="709"/>
        <w:jc w:val="both"/>
        <w:rPr>
          <w:rFonts w:ascii="Times New Roman" w:hAnsi="Times New Roman" w:cs="Times New Roman"/>
          <w:szCs w:val="26"/>
        </w:rPr>
      </w:pPr>
      <w:r>
        <w:rPr>
          <w:szCs w:val="26"/>
        </w:rPr>
        <w:t xml:space="preserve"> </w:t>
      </w:r>
      <w:r w:rsidRPr="003573F8">
        <w:rPr>
          <w:rFonts w:ascii="Times New Roman" w:hAnsi="Times New Roman" w:cs="Times New Roman"/>
          <w:szCs w:val="26"/>
        </w:rPr>
        <w:t>Miras hakkının ağır vergilendirme yolu ile muhtevasız hale getirilmesi, miras hakkının ortadan kaldırılması önlenmek istenmiştir.</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M.G.K. ANY. KOM. DEĞİŞİKLİK GEREKÇESİ: Danışma Meclisince kabul edilen 43 üncü maddenin birinci fıkrasında yer alan “Bu haklar, diğer temel haklar gibi Anayasanın güvencesi altındadır.” cümlesi maddeden çıkarılmış ve madde redaksiyona tabi tutulmuştur. Anılan hükmün maddeden çıkarılmasının nedeni, Anayasada sayılan tüm temel hak ve hürriyetler gibi mülkiyet ve miras hakkının da herhangi bir açıklamaya gerek olmaksızın Anayasanın güvencesi altında olmasıdır. Kaldı ki, diğer temel hak ve hürriyetler için ilgili maddelerinde bu kurala yer verilmemiştir.</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Mülkiyet ve miras haklarının önemi ve Türk toplumunun köklü gelenekleri göz önünde tutularak “bu haklar ancak kamu yaran amacıyla, kanunla sınırlanabilir’’ hükmü aynen korunmuştur. Metindeki bu “ancak” ibaresi sınırlayıcı nitelikte görülmemiş, temel hak ve hürriyetlerin sınırlanmasına ilişkin 13 üncü maddede belirtilen genel sınırlama sebeplerinin tümü anılan 13üncü maddenin son fıkrasında yer alan açık hükümlere göre, bu haklar bakımından da geçerli olduğundan, maddede yer alan bu hüküm, sınırlama sebepleri arasında öncelikle uygulanabilecek bir sebebi belirtir nitelikte kabul edilmiştir.</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Anayasa Mahkemesinin değişik kararlarında çağımızda mülkiyet hakkı temel bir hak olmakla birlikte kullanılmasının toplum yararına aykırı olamayacağı belirtilmiştir. Toplum yaran ise, yerine göre mülkiyet hakkının tümüyle kişinin elinden alınmasını gerektirmektedir. Bu nedenle, Anayasa’da kamulaştırma ve devletleştirme kurumlan düzenlenmiştir. (Any.Mah. 19.2.1985, Es.1984/15, Ka.1985/5; R.G. 11.6.1985-Sayı: 18781)</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Anayasa, 1961 Anayasasından farklı olarak, mülkiyet hakkına, ekonomik haklar arasında değil, kişi haklan arasında yer vermiştir. Bu değişiklik, Anayasanın Milli Güvenlik Konseyinde yapılan görüşmesi sırasında oluşmuştur. Mülkiyet hakkı, devletten önce var olan, devlete karşı da korunması gereken, kişi hakları ağır basan haklardan sayılmıştır. (Gözübüyük, sy.156)</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1961 Anayasası mülkiyet hakkını sosyal ve ekonomik haklar arasında düzenlemişti. Bu bir yerde mülkiyete değişik yorumlarla, mahiyetinden değişik yaklaşmalara neden olabiliyordu. 1982 Anayasası mülkiyet hakkını kişinin haklan bakımından değeri olan bir hak değil, ferdi niteliği ve tabii haklar arasında oluşu yeniden vurgulanmıştır... Anayasa mülkiyet hakkını özel mülkiyet olarak düşünmüştür. Bu mülkiyet anlayışı, teşebbüs serbesti sini üretim vasıtaları üzerindeki özel mülkiyeti de ihtiva etmektedir. Bu nedenle faşist, komünist veya dini esaslara dayanan bir sistem tercihi Anayasa’nın diğer hükümleri ile olduğu kadar mülkiyet hakkındaki hükümleri ile de mümkün değildir.</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5- HAK ARAMA HÜRRİYETİ Başlıklı</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36. MADDESİNDE; “Herkes, meşru vasıta ve yollardan faydalanmak suretiyle yargı mercileri önünde davacı veya davalı olarak iddia ve savunma ile adil yargılanma hakkına sahiptir.’...’</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ANAYASA MADDELERİ ÇERÇEVESİNDE DAVA</w:t>
      </w:r>
    </w:p>
    <w:p w:rsidR="00926780" w:rsidRDefault="00926780" w:rsidP="00926780">
      <w:pPr>
        <w:widowControl/>
        <w:tabs>
          <w:tab w:val="left" w:pos="1134"/>
        </w:tabs>
        <w:spacing w:before="240" w:after="100" w:afterAutospacing="1"/>
        <w:ind w:firstLine="709"/>
        <w:jc w:val="both"/>
        <w:rPr>
          <w:szCs w:val="26"/>
        </w:rPr>
      </w:pPr>
      <w:r>
        <w:rPr>
          <w:szCs w:val="26"/>
        </w:rPr>
        <w:lastRenderedPageBreak/>
        <w:t xml:space="preserve"> </w:t>
      </w:r>
      <w:r w:rsidRPr="003573F8">
        <w:rPr>
          <w:rFonts w:ascii="Times New Roman" w:hAnsi="Times New Roman" w:cs="Times New Roman"/>
          <w:szCs w:val="26"/>
        </w:rPr>
        <w:t>KONUSUNUN VE UYGULAMASI BULUNAN YASA</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MADDESİNİN DEĞERLENDİRİLMESİ Anayasanın 2. maddesi yönünden; Yasanın uygulanması açısından 2942 sayılı Kamulaştırma Yasasının 6745 sayılı Yasanın 34. maddesiyle 20/08/2016 günü kabul edilen’ geçici madde 11 “Bu kanunun ek 1 inci maddesinin birinci fıkrası kapsamında kalan ve bu maddenin yürürlüğe girdiği tarihten önce tasarrufu hukuken kısıtlanan taşınmazlar hakkında aynı ‘fıkrada belirtilen süre, bu maddenin yürürlüğe girdiği tarihten itibaren başlar. Bu süre içerisinde belirtilen işlemlerin yapılmaması hâlinde taşınmazların malikleri tarafından, bu Kanunun geçici 6 ncı maddesindeki uzlaşma sürecini ve 3194 sayılı İmar Kanununda öngörülen idari başvuru ve işlemleri tamamlandıktan sonra taşınmazın kamulaştırmasından sorumlu idare aleyhine idari yargıda dava açılabilir.” yasal hükmünün bu kısmının süre belirtmek gerekirse uyuşmaz lığımızı da etkileyecek şekilde 2021 yılma kadar dava açılmasının önlenmesine yol açtığı, bu nedenle dava konusuna uygulanacak Yasanın değerlendirilmesi devletin yükümlülükleriyle bağdaşmamaktadır.</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Anayasa 5. madde yönünden; yasal düzenlemelerin hukuk devletinde adaletli ve adaletin yerine getirilmesi açısından başvuru yollarını sınırlayıcı düzenlemelerde Yasa koyucu tarafından kaçınılması gerekliliğini öngörmektedir.</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Anayasa 9. madde yönünden; yargı yetkisinin kullanılamaması genel hukuk ilkelerine göre uygun olmayan sınırlamalar dışındaki bir uygulamanın kabul edilmediği sonucu bulunmaktadır.</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Anayasa 35. madde yönünden; Açık bir biçimde mülkiyet hakkının özüne dokunulması ve bu hususta denge gözetilmeden kişi haklarına aykırılığın oluşturulmaması gerektiği vurgulanmaktadır.</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Anayasa 36. maddesi yönünden; idari itiraz veya dava yolu tanımadan önlenmesine yol açıcı yasal düzenleme getirilmesi nedeniyle Anayasa’nın bu hükmüne aykırılık mevcuttur.</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Anayasa’nın 90. maddesi uyarınca uygun bulunan ve iç hukukun bir parçası halini alan Avrupa İnsan Hakları Sözleşmesinin 1 nolu Ek Protokolünün “Mülkiyetin korunması” başlıklı 1. maddesinde, “Her gerçek ve tüzel kişinin mal ve mülk dokunulmazlığına saygı gösterilmesini isteme hakkı vardır. Bir kimse, ancak kamu yararı sebebiyle ve yasada öngörülen koşullara ve uluslararası hukukun genel ilkelerine uygun olarak mal ve mülkünden yoksun bırakılabilir.” düzenlemesi yer almıştır.</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Avrupa İnsan Hakları Mahkemesinin (AİHM), mülkiyet hakkı ihlali iddialarıyla açılmış olan, Hakan Arı-Türkiye, Hüseyin Kaplan-Türkiye davalarında Mahkeme, imar planında kamusal kullanıma ayrılan ve kullanımı kısıtlanan taşınmazların yukarıda sözü edilen hukuki düzenlemeler sonucunda, kamu yararının gerekleri ile temel haklarının korunması arasında hüküm sürmesi gereken adil dengenin gözetilip gözetilmediğini irdelemiştir. Kararlarda, ilgililerin imara açık taşınmazlarında inşaat ruhsatı elde etme haklarının meşru haklan olduğu, oysa bu nitelikteki taşınmazların imar yasağına tabi tutulması sonucunda mülkiyet hakkının akıbeti konusunda bir belirsizliğe itildiği ve mülkiyet hakkından yararlanmanın engellendiği sonucuna ulaşmıştır.</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ADANA3. İDARE MAHKEMESİ ESAS NO: 2015/919</w:t>
      </w:r>
    </w:p>
    <w:p w:rsidR="00926780" w:rsidRDefault="00926780" w:rsidP="00926780">
      <w:pPr>
        <w:widowControl/>
        <w:tabs>
          <w:tab w:val="left" w:pos="1134"/>
        </w:tabs>
        <w:spacing w:before="240" w:after="100" w:afterAutospacing="1"/>
        <w:ind w:firstLine="709"/>
        <w:jc w:val="both"/>
        <w:rPr>
          <w:szCs w:val="26"/>
        </w:rPr>
      </w:pPr>
      <w:r>
        <w:rPr>
          <w:szCs w:val="26"/>
        </w:rPr>
        <w:lastRenderedPageBreak/>
        <w:t xml:space="preserve"> </w:t>
      </w:r>
      <w:r w:rsidRPr="003573F8">
        <w:rPr>
          <w:rFonts w:ascii="Times New Roman" w:hAnsi="Times New Roman" w:cs="Times New Roman"/>
          <w:szCs w:val="26"/>
        </w:rPr>
        <w:t xml:space="preserve">SONUÇ : Dava konusu kamulaştırmama nedeniyle tazminat isteminin; uzun yıllar sonuç alamamasına neden olan yasal düzenlemeyle mülkiyet hakkının kullanımının kısıtlanmasıyla beraber tamamiyle kurumların insiyatifine bağlı olarak bir gelişme gösterdiği Anayasa’ya aykırılık yönündeki itiraz konusu kısımla beraber 2942 sayılı Kamulaştırma Kanunu’nda 20/08/2016 gün 6745 sayılı Yasayla satınalma usulü başlıklı 8. maddesi ek madde 1 (... yapılacak ödemelerin toplam tutarının idari olarak ayrılan ödeneğinin toplamını aşması halinde, ödemeler, en fazla 10 yıl da ve geçici 6. maddenin 8. fıkrasına göre yapılır, kamulaştırılmaksızın kamu hizmetine ayrılan taşınmazların bedel tespiti başlıklı geçici 6. maddesindeki hükümler özellikle son fıkra “Bu madde, uyarınca ödenecek bedelin tahsili sebebiyle idarelerin mal, hak ve alacakları haczedilemez” beraber değerlendirildiğinde taşınmazın kısıtlılığı hatta kullanılamaz hale getirdiği açıktır. </w:t>
      </w:r>
    </w:p>
    <w:p w:rsidR="00926780" w:rsidRDefault="00926780" w:rsidP="00926780">
      <w:pPr>
        <w:widowControl/>
        <w:tabs>
          <w:tab w:val="left" w:pos="1134"/>
        </w:tabs>
        <w:spacing w:before="240" w:after="100" w:afterAutospacing="1"/>
        <w:ind w:firstLine="709"/>
        <w:jc w:val="both"/>
        <w:rPr>
          <w:szCs w:val="26"/>
        </w:rPr>
      </w:pPr>
      <w:r>
        <w:rPr>
          <w:szCs w:val="26"/>
        </w:rPr>
        <w:t xml:space="preserve"> </w:t>
      </w:r>
      <w:r w:rsidRPr="003573F8">
        <w:rPr>
          <w:rFonts w:ascii="Times New Roman" w:hAnsi="Times New Roman" w:cs="Times New Roman"/>
          <w:szCs w:val="26"/>
        </w:rPr>
        <w:t>Kamu hizmetinin yürütülmesi (toplum yaran) ile kişilerin maddi ve manevi menfaatleri arasındaki dengenin gözetilmesinde kamu hizmetinin verimliliğinin ön planda tutulması mutlak olmakla beraber bu dengenin tamamiyle bir taraf yönünde gözetilmemesi sonucunu doğurmaması gerekliliği kamu vicdanı ve adalet açısından zorunluluktur. Bu bağlamda kurumların kamu hizmeti nedeniyle imar planlarında bir kısım taşınmazları kısıtlaması gerekliliği kişilerin toplum yararına bu menfaatlerinden vazgeçmesinde toplum düzeninin oluşmasındaki mülkiyet hakkının kullanılmasının engellenmesinin mülkiyet sahipleri açısından da en azından tazmini gerekeceği tabi olmakla bu dengeyi gözeten ve hak arama özgürlüğünü yıllara yayılı olarak ortadan kaldırmayan mevzuat hükümleri getirilmesi kurumların sonuç itibariyle de taşınmazın mülkiyetini uhdelerine de aldığı düşünüldüğünde Anayasaya aykırılık teşkil ettiği görüşüyle Anayasa Mahkemesine başvuruda bulunulması gerektiği sonucuna varılmıştır.</w:t>
      </w:r>
    </w:p>
    <w:p w:rsidR="00926780" w:rsidRPr="003573F8" w:rsidRDefault="00926780" w:rsidP="00926780">
      <w:pPr>
        <w:widowControl/>
        <w:tabs>
          <w:tab w:val="left" w:pos="1134"/>
        </w:tabs>
        <w:spacing w:before="240" w:after="100" w:afterAutospacing="1"/>
        <w:ind w:firstLine="709"/>
        <w:jc w:val="both"/>
        <w:rPr>
          <w:rFonts w:ascii="Times New Roman" w:hAnsi="Times New Roman" w:cs="Times New Roman"/>
          <w:szCs w:val="26"/>
        </w:rPr>
      </w:pPr>
      <w:r>
        <w:rPr>
          <w:szCs w:val="26"/>
        </w:rPr>
        <w:t xml:space="preserve"> </w:t>
      </w:r>
      <w:r w:rsidRPr="003573F8">
        <w:rPr>
          <w:rFonts w:ascii="Times New Roman" w:hAnsi="Times New Roman" w:cs="Times New Roman"/>
          <w:szCs w:val="26"/>
        </w:rPr>
        <w:t>HÜKÜM : Açıklanan nedenlerle, 2942 sayılı Kamulaştırma Yasanın geçici madde 11’in “Bu Kanunun Ek 1 inci maddesinin birinci fıkrası kapsamında kalan ve bu maddenin yürürlüğe girdiği tarihten önce tasarrufu hukuken kısıtlanan taşınmazlar hakkında aynı fıkrada belirtilen süre, bu maddenin yürürlüğe girdiği tarihten itibaren başlar. Bu Kanunun Ek 1 inci maddesinin üçüncü fıkrası hükmü, bu madde kapsamında kalan taşınmazlara ilişkin dava ve takipler hakkında da uygulanır.” ibaresinin Türkiye Cumhuriyeti Anayasa’sının 2-5-9-35 ve 36. maddelerine aykırı olduğu düşüncesi ile iptali istemi ilgili Anayasa Mahkemesine gidilmesine, dava dosyasının tüm belgeleri ile onaylı suretlerinin dosya oluşturularak karar aslı ile birlikte, Anayasa Mahkemesine sunulmasına bu karar ile dosya suretinin Yüksek Mahkemeye ulaşmasından itibaren 5 ay süre ile karar verilinceye kadar davanın bekletilmesine karardan bir suretinin taraflara tebliğine 25/11/2016 günü karar verildi.”</w:t>
      </w:r>
    </w:p>
    <w:p w:rsidR="001D02E4" w:rsidRPr="00926780" w:rsidRDefault="001D02E4" w:rsidP="00926780">
      <w:pPr>
        <w:widowControl/>
        <w:spacing w:before="240" w:after="100" w:afterAutospacing="1"/>
        <w:ind w:firstLine="709"/>
        <w:jc w:val="both"/>
        <w:rPr>
          <w:rFonts w:ascii="Times New Roman" w:hAnsi="Times New Roman" w:cs="Times New Roman"/>
        </w:rPr>
      </w:pPr>
    </w:p>
    <w:sectPr w:rsidR="001D02E4" w:rsidRPr="00926780" w:rsidSect="00926780">
      <w:headerReference w:type="default" r:id="rId9"/>
      <w:pgSz w:w="11907" w:h="16840" w:code="9"/>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25E" w:rsidRDefault="00CD425E" w:rsidP="00926780">
      <w:r>
        <w:separator/>
      </w:r>
    </w:p>
  </w:endnote>
  <w:endnote w:type="continuationSeparator" w:id="0">
    <w:p w:rsidR="00CD425E" w:rsidRDefault="00CD425E" w:rsidP="0092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780" w:rsidRDefault="00926780" w:rsidP="00200A9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26780" w:rsidRDefault="00926780" w:rsidP="0092678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780" w:rsidRPr="00926780" w:rsidRDefault="00926780" w:rsidP="00200A90">
    <w:pPr>
      <w:pStyle w:val="Altbilgi"/>
      <w:framePr w:wrap="around" w:vAnchor="text" w:hAnchor="margin" w:xAlign="right" w:y="1"/>
      <w:rPr>
        <w:rStyle w:val="SayfaNumaras"/>
        <w:rFonts w:ascii="Times New Roman" w:hAnsi="Times New Roman" w:cs="Times New Roman"/>
      </w:rPr>
    </w:pPr>
    <w:r w:rsidRPr="00926780">
      <w:rPr>
        <w:rStyle w:val="SayfaNumaras"/>
        <w:rFonts w:ascii="Times New Roman" w:hAnsi="Times New Roman" w:cs="Times New Roman"/>
      </w:rPr>
      <w:fldChar w:fldCharType="begin"/>
    </w:r>
    <w:r w:rsidRPr="00926780">
      <w:rPr>
        <w:rStyle w:val="SayfaNumaras"/>
        <w:rFonts w:ascii="Times New Roman" w:hAnsi="Times New Roman" w:cs="Times New Roman"/>
      </w:rPr>
      <w:instrText xml:space="preserve">PAGE  </w:instrText>
    </w:r>
    <w:r w:rsidRPr="00926780">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926780">
      <w:rPr>
        <w:rStyle w:val="SayfaNumaras"/>
        <w:rFonts w:ascii="Times New Roman" w:hAnsi="Times New Roman" w:cs="Times New Roman"/>
      </w:rPr>
      <w:fldChar w:fldCharType="end"/>
    </w:r>
  </w:p>
  <w:p w:rsidR="00926780" w:rsidRPr="00926780" w:rsidRDefault="00926780" w:rsidP="0092678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25E" w:rsidRDefault="00CD425E" w:rsidP="00926780">
      <w:r>
        <w:separator/>
      </w:r>
    </w:p>
  </w:footnote>
  <w:footnote w:type="continuationSeparator" w:id="0">
    <w:p w:rsidR="00CD425E" w:rsidRDefault="00CD425E" w:rsidP="00926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780" w:rsidRPr="00495116" w:rsidRDefault="00926780" w:rsidP="00926780">
    <w:pPr>
      <w:widowControl/>
      <w:shd w:val="clear" w:color="auto" w:fill="FFFFFF"/>
      <w:jc w:val="both"/>
      <w:rPr>
        <w:rFonts w:ascii="Times New Roman" w:eastAsia="Times New Roman" w:hAnsi="Times New Roman" w:cs="Times New Roman"/>
        <w:b/>
        <w:bCs/>
      </w:rPr>
    </w:pPr>
    <w:r w:rsidRPr="00495116">
      <w:rPr>
        <w:rFonts w:ascii="Times New Roman" w:eastAsia="Times New Roman" w:hAnsi="Times New Roman" w:cs="Times New Roman"/>
        <w:b/>
        <w:bCs/>
      </w:rPr>
      <w:t>Esas Sayısı     :  2016/196</w:t>
    </w:r>
  </w:p>
  <w:p w:rsidR="00926780" w:rsidRPr="00495116" w:rsidRDefault="00926780" w:rsidP="00926780">
    <w:pPr>
      <w:widowControl/>
      <w:shd w:val="clear" w:color="auto" w:fill="FFFFFF"/>
      <w:jc w:val="both"/>
      <w:rPr>
        <w:rFonts w:ascii="Times New Roman" w:eastAsia="Times New Roman" w:hAnsi="Times New Roman" w:cs="Times New Roman"/>
        <w:b/>
        <w:bCs/>
      </w:rPr>
    </w:pPr>
    <w:r w:rsidRPr="00495116">
      <w:rPr>
        <w:rFonts w:ascii="Times New Roman" w:eastAsia="Times New Roman" w:hAnsi="Times New Roman" w:cs="Times New Roman"/>
        <w:b/>
        <w:bCs/>
      </w:rPr>
      <w:t>Karar Sayısı  :  2018/34</w:t>
    </w:r>
  </w:p>
  <w:p w:rsidR="00ED7075" w:rsidRPr="00926780" w:rsidRDefault="00CD425E" w:rsidP="0092678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780" w:rsidRPr="00495116" w:rsidRDefault="00926780" w:rsidP="00926780">
    <w:pPr>
      <w:widowControl/>
      <w:shd w:val="clear" w:color="auto" w:fill="FFFFFF"/>
      <w:jc w:val="both"/>
      <w:rPr>
        <w:rFonts w:ascii="Times New Roman" w:eastAsia="Times New Roman" w:hAnsi="Times New Roman" w:cs="Times New Roman"/>
        <w:b/>
        <w:bCs/>
      </w:rPr>
    </w:pPr>
    <w:r w:rsidRPr="00495116">
      <w:rPr>
        <w:rFonts w:ascii="Times New Roman" w:eastAsia="Times New Roman" w:hAnsi="Times New Roman" w:cs="Times New Roman"/>
        <w:b/>
        <w:bCs/>
      </w:rPr>
      <w:t>Esas Sayısı     :  201</w:t>
    </w:r>
    <w:r>
      <w:rPr>
        <w:rFonts w:ascii="Times New Roman" w:eastAsia="Times New Roman" w:hAnsi="Times New Roman" w:cs="Times New Roman"/>
        <w:b/>
        <w:bCs/>
      </w:rPr>
      <w:t>7</w:t>
    </w:r>
    <w:r w:rsidRPr="00495116">
      <w:rPr>
        <w:rFonts w:ascii="Times New Roman" w:eastAsia="Times New Roman" w:hAnsi="Times New Roman" w:cs="Times New Roman"/>
        <w:b/>
        <w:bCs/>
      </w:rPr>
      <w:t>/</w:t>
    </w:r>
    <w:r>
      <w:rPr>
        <w:rFonts w:ascii="Times New Roman" w:eastAsia="Times New Roman" w:hAnsi="Times New Roman" w:cs="Times New Roman"/>
        <w:b/>
        <w:bCs/>
      </w:rPr>
      <w:t>41</w:t>
    </w:r>
  </w:p>
  <w:p w:rsidR="00926780" w:rsidRPr="00495116" w:rsidRDefault="00926780" w:rsidP="00926780">
    <w:pPr>
      <w:widowControl/>
      <w:shd w:val="clear" w:color="auto" w:fill="FFFFFF"/>
      <w:jc w:val="both"/>
      <w:rPr>
        <w:rFonts w:ascii="Times New Roman" w:eastAsia="Times New Roman" w:hAnsi="Times New Roman" w:cs="Times New Roman"/>
        <w:b/>
        <w:bCs/>
      </w:rPr>
    </w:pPr>
    <w:r w:rsidRPr="00495116">
      <w:rPr>
        <w:rFonts w:ascii="Times New Roman" w:eastAsia="Times New Roman" w:hAnsi="Times New Roman" w:cs="Times New Roman"/>
        <w:b/>
        <w:bCs/>
      </w:rPr>
      <w:t>Karar Sayısı  :  201</w:t>
    </w:r>
    <w:r>
      <w:rPr>
        <w:rFonts w:ascii="Times New Roman" w:eastAsia="Times New Roman" w:hAnsi="Times New Roman" w:cs="Times New Roman"/>
        <w:b/>
        <w:bCs/>
      </w:rPr>
      <w:t>7</w:t>
    </w:r>
    <w:r w:rsidRPr="00495116">
      <w:rPr>
        <w:rFonts w:ascii="Times New Roman" w:eastAsia="Times New Roman" w:hAnsi="Times New Roman" w:cs="Times New Roman"/>
        <w:b/>
        <w:bCs/>
      </w:rPr>
      <w:t>/34</w:t>
    </w:r>
  </w:p>
  <w:p w:rsidR="00926780" w:rsidRPr="00926780" w:rsidRDefault="00926780" w:rsidP="0092678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780"/>
    <w:rsid w:val="001D02E4"/>
    <w:rsid w:val="00926780"/>
    <w:rsid w:val="00CD42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1C453-4020-4094-9458-3D626EB2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26780"/>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926780"/>
    <w:rPr>
      <w:rFonts w:ascii="Times New Roman" w:eastAsia="Times New Roman" w:hAnsi="Times New Roman" w:cs="Times New Roman"/>
      <w:b/>
      <w:bCs/>
      <w:sz w:val="21"/>
      <w:szCs w:val="21"/>
      <w:shd w:val="clear" w:color="auto" w:fill="FFFFFF"/>
    </w:rPr>
  </w:style>
  <w:style w:type="character" w:customStyle="1" w:styleId="Gvdemetni">
    <w:name w:val="Gövde metni_"/>
    <w:basedOn w:val="VarsaylanParagrafYazTipi"/>
    <w:link w:val="Gvdemetni0"/>
    <w:rsid w:val="00926780"/>
    <w:rPr>
      <w:rFonts w:ascii="Times New Roman" w:eastAsia="Times New Roman" w:hAnsi="Times New Roman" w:cs="Times New Roman"/>
      <w:sz w:val="21"/>
      <w:szCs w:val="21"/>
      <w:shd w:val="clear" w:color="auto" w:fill="FFFFFF"/>
    </w:rPr>
  </w:style>
  <w:style w:type="character" w:customStyle="1" w:styleId="Gvdemetni2KalnDeil">
    <w:name w:val="Gövde metni (2) + Kalın Değil"/>
    <w:basedOn w:val="Gvdemetni2"/>
    <w:rsid w:val="00926780"/>
    <w:rPr>
      <w:rFonts w:ascii="Times New Roman" w:eastAsia="Times New Roman" w:hAnsi="Times New Roman" w:cs="Times New Roman"/>
      <w:b/>
      <w:bCs/>
      <w:color w:val="000000"/>
      <w:spacing w:val="0"/>
      <w:w w:val="100"/>
      <w:position w:val="0"/>
      <w:sz w:val="21"/>
      <w:szCs w:val="21"/>
      <w:shd w:val="clear" w:color="auto" w:fill="FFFFFF"/>
      <w:lang w:val="tr-TR"/>
    </w:rPr>
  </w:style>
  <w:style w:type="character" w:customStyle="1" w:styleId="GvdemetniKaln">
    <w:name w:val="Gövde metni + Kalın"/>
    <w:basedOn w:val="Gvdemetni"/>
    <w:rsid w:val="00926780"/>
    <w:rPr>
      <w:rFonts w:ascii="Times New Roman" w:eastAsia="Times New Roman" w:hAnsi="Times New Roman" w:cs="Times New Roman"/>
      <w:b/>
      <w:bCs/>
      <w:color w:val="000000"/>
      <w:spacing w:val="0"/>
      <w:w w:val="100"/>
      <w:position w:val="0"/>
      <w:sz w:val="21"/>
      <w:szCs w:val="21"/>
      <w:shd w:val="clear" w:color="auto" w:fill="FFFFFF"/>
      <w:lang w:val="tr-TR"/>
    </w:rPr>
  </w:style>
  <w:style w:type="paragraph" w:customStyle="1" w:styleId="Gvdemetni20">
    <w:name w:val="Gövde metni (2)"/>
    <w:basedOn w:val="Normal"/>
    <w:link w:val="Gvdemetni2"/>
    <w:rsid w:val="00926780"/>
    <w:pPr>
      <w:shd w:val="clear" w:color="auto" w:fill="FFFFFF"/>
      <w:spacing w:line="307" w:lineRule="exact"/>
      <w:jc w:val="center"/>
    </w:pPr>
    <w:rPr>
      <w:rFonts w:ascii="Times New Roman" w:eastAsia="Times New Roman" w:hAnsi="Times New Roman" w:cs="Times New Roman"/>
      <w:b/>
      <w:bCs/>
      <w:color w:val="auto"/>
      <w:sz w:val="21"/>
      <w:szCs w:val="21"/>
      <w:lang w:eastAsia="en-US"/>
    </w:rPr>
  </w:style>
  <w:style w:type="paragraph" w:customStyle="1" w:styleId="Gvdemetni0">
    <w:name w:val="Gövde metni"/>
    <w:basedOn w:val="Normal"/>
    <w:link w:val="Gvdemetni"/>
    <w:rsid w:val="00926780"/>
    <w:pPr>
      <w:shd w:val="clear" w:color="auto" w:fill="FFFFFF"/>
      <w:spacing w:before="360" w:line="283" w:lineRule="exact"/>
      <w:jc w:val="both"/>
    </w:pPr>
    <w:rPr>
      <w:rFonts w:ascii="Times New Roman" w:eastAsia="Times New Roman" w:hAnsi="Times New Roman" w:cs="Times New Roman"/>
      <w:color w:val="auto"/>
      <w:sz w:val="21"/>
      <w:szCs w:val="21"/>
      <w:lang w:eastAsia="en-US"/>
    </w:rPr>
  </w:style>
  <w:style w:type="paragraph" w:styleId="stbilgi">
    <w:name w:val="header"/>
    <w:basedOn w:val="Normal"/>
    <w:link w:val="stbilgiChar"/>
    <w:uiPriority w:val="99"/>
    <w:unhideWhenUsed/>
    <w:rsid w:val="00926780"/>
    <w:pPr>
      <w:tabs>
        <w:tab w:val="center" w:pos="4536"/>
        <w:tab w:val="right" w:pos="9072"/>
      </w:tabs>
    </w:pPr>
  </w:style>
  <w:style w:type="character" w:customStyle="1" w:styleId="stbilgiChar">
    <w:name w:val="Üstbilgi Char"/>
    <w:basedOn w:val="VarsaylanParagrafYazTipi"/>
    <w:link w:val="stbilgi"/>
    <w:uiPriority w:val="99"/>
    <w:rsid w:val="00926780"/>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926780"/>
    <w:pPr>
      <w:tabs>
        <w:tab w:val="center" w:pos="4536"/>
        <w:tab w:val="right" w:pos="9072"/>
      </w:tabs>
    </w:pPr>
  </w:style>
  <w:style w:type="character" w:customStyle="1" w:styleId="AltbilgiChar">
    <w:name w:val="Altbilgi Char"/>
    <w:basedOn w:val="VarsaylanParagrafYazTipi"/>
    <w:link w:val="Altbilgi"/>
    <w:uiPriority w:val="99"/>
    <w:rsid w:val="00926780"/>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926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4643</Words>
  <Characters>26469</Characters>
  <Application>Microsoft Office Word</Application>
  <DocSecurity>0</DocSecurity>
  <Lines>220</Lines>
  <Paragraphs>62</Paragraphs>
  <ScaleCrop>false</ScaleCrop>
  <Company/>
  <LinksUpToDate>false</LinksUpToDate>
  <CharactersWithSpaces>31050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2019-05-09T06:43:00Z</dcterms:created>
  <dcterms:modified xsi:type="dcterms:W3CDTF">2019-05-09T06:47:00Z</dcterms:modified>
</cp:coreProperties>
</file>