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bookmarkStart w:id="0" w:name="_GoBack"/>
      <w:r>
        <w:rPr>
          <w:sz w:val="24"/>
          <w:szCs w:val="26"/>
        </w:rPr>
        <w:t xml:space="preserve"> </w:t>
      </w:r>
      <w:bookmarkEnd w:id="0"/>
      <w:r w:rsidRPr="00554345">
        <w:rPr>
          <w:sz w:val="24"/>
          <w:szCs w:val="26"/>
        </w:rPr>
        <w:t>“Davacı … vekili AV. … tarafından, 2015 yılı Gümrük Müşavirliği sınavına girmek için yaptığı başvurusunun reddine dayanak alman 4.11.1999 tarih ve 23866 sayılı Resmi Gazetede yayımlanarak yürürlüğe giren 4458 sayılı Kanunun Geçici 6. maddesinin 1. fıkrasının ‘c’ bendinde yer alan “Gümrük müşavirliği ve gümrük müşavir yardımcılığı sınavlarına en fazla üçer kez girilebilir” cümlesinin gümrük müşavirleri yönünden Anayasa’ya aykırı olduğu kanaatine varıldığından işin gereği görüşüldü.</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4458 sayılı Kanunun Geçici 6. maddesinde; “Gümrük müşavirleri ve gümrük müşavir yardımcıları çıkarılacak bir kanunla bağlı bulundukları gümrük ve muhafaza başmüdürlüğü görev alanı itibariyle kamu kurumu niteliğinde meslek kuruluşu şeklinde örgütleninceye kadar aşağıdaki hükümler uygulanır: ....c) Gümrük müşavirliği ve gümrük müşavir yardımcılığı sınavlarına en fazla üçer kez girilebilir.” hükmü yer almaktadır.</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Dava dosyasının incelenmesinden; Gümrük Müşavir Yardımcısı olan davacının 2015 yılı Gümrük Müşavirliği sınavına girmek için yaptığı başvurusunun yukarıda yer verilen 4458 sayılı Kanunun Geçici 6. maddesinin 1. fıkrasının c bendi uyarınca reddedilmesi üzerine bakılan davanın açıldığı anlaşılmaktadır.</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Anayasa’nın 152 nci maddesi hükmüne göre, bir davaya bakmakta olan mahkemenin itiraz yoluyla bir kanun hükmünün iptali için Anayasa Mahkemesi’ne başvurabilmesi için iptali istenen kuralın davada uygulanacak nitelikte olması gerekir. 4458 sayılı Kanunun Geçici 6’ıncı maddesinin 1. fıkrasının (c) bendinde yer alan hükmün gümrük müşavirlerine ilişkin kısmının, dava konusu işlemin dayanağı olması nedeniyle, ilgili Kanun maddesinin davada uygulanacak nitelikte bir kural olduğu anlaşılmaktadır.</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İtiraz konusu kural, daha önce gümrük müşavirliği sınavına katılıp başarısız olanların üçten fazla gümrük müşavirliği sınavına girmesini yasaklamaktadır.</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 xml:space="preserve">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w:t>
      </w:r>
      <w:r w:rsidRPr="00554345">
        <w:rPr>
          <w:sz w:val="24"/>
          <w:szCs w:val="26"/>
        </w:rPr>
        <w:lastRenderedPageBreak/>
        <w:t>nedenle kanun koyucunun hukuki düzenlemelerde kendisine tanınan takdir yetkisini anayasal sınırlar içinde adalet, hakkaniyet ve kamu yararı ölçütlerini göz önünde tutarak kullanması gerekir.</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Anayasa’nın kamu hizmetine girme hakkını düzenleyen 70. maddesinin birinci fıkrasında, “Her Türk, kamu hizmetlerine girme hakkına sahiptir.” denilmiş; ikinci fıkrasında ise “Hizmete alınmada, görevin gerektirdiği niteliklerden başka hiçbir ayırım gözetilemez.” hükmüne yer verilmiştir. Hizmete alınmada, görevin gerektirdiği niteliklerden başka hiçbir ayırım gözetilemeyeceği hükmü getirilmekle, bir yandan kamu hizmetine alımda aranacak koşulların belirlenmesi hususunda kanun koyucuya takdir yetkisi tanınmakta, diğer yandan da öngörülecek koşulların görevin gerektirdiği niteliklerle uyumlu olması gereği vurgulanarak kanun koyucunun bu takdiri sınırlandırılmaktadır.</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İlk defa kamu hizmetine alınacak kişilerde hizmetin gereklerine göre eğitim, sağlık, yaş, askerlik, mesleki tecrübe, herhangi bir suçtan hükümlü bulunmamak gibi genel ve objektif birtakım sınırlamalar ve kısıtlamalar getiren yasal düzenlemelerin yapılması anayasal ilkeler çerçevesinde kanun koyucunun takdir yetkisi kapsamındadır. Kamu görevlileri hakkında kanunlarda öngörülen kısıtlamaların hizmetin etkin ve verimli bir biçimde yürütülmesi amacına uygun olması gerekmektedir. Yani kısıtlama ile yürütülen hizmet arasında günün koşullarına ve gerçeklerine uyan ve zorunlu bir neden-sonuç bağının kurulması ve hukuk devleti ilkesinin bir gereği olarak da adalet ve hakkaniyet ölçüsünün zedelenmemesi gerekmektedir.</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İtiraz konusu kuralla getirilen gümrük müşavirliği sınavına üçten fazla girme yasağının, gümrük müşavirliği görevinin nitelikleriyle uyumlu olmadığı sonucuna ulaşmayı haklı kılacak objektif bir neden tespit edilememektedir. Kişinin önceden gümrük müşavirliği sınavında üç defa başarısız olması, gümrük müşavirliği görevinin gerektirdiği niteliklere sahip olamayacağının karinesi olarak da görülemez. Bu itibarla, gümrük müşaviri olabilmek için aranan, “üç defa sınavda başarısız olma” şartının, Anayasa’nın 70. maddesinin ikinci fıkrası bağlamında görevin gerektirdiği bir nitelik olduğu söylenemez.</w:t>
      </w:r>
    </w:p>
    <w:p w:rsidR="00554345" w:rsidRDefault="00554345" w:rsidP="00554345">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554345">
        <w:rPr>
          <w:sz w:val="24"/>
          <w:szCs w:val="26"/>
        </w:rPr>
        <w:t>Açıklanan nedenlerle; 4458 sayılı Gümrük Kanunu’nun Geçici 6. maddesinin 1. fıkrasının (c) bendinde yer alan “Gümrük müşavirliği ve gümrük müşavir yardımcılığı sınavlarına en fazla üçer kez girilebilir” düzenlemesinin gümrük müşavirleri yönünden Anayasanın 2. ve 70 inci maddelerine aykırılık teşkil ettiği kanaatine varıldığından, iptali istemiyle Anayasa Mahkemesi’ne başvurulmasına, Anayasa Mahkemesi’nin konu hakkında vereceği karara kadar davanın geri bırakılmasına, beş ay içinde bir karar verilmezse davanın yürürlükteki kanun hükümlerine göre sonuçlandırılmasına, kararın birer örneğinin taraflara tebliğine, işbu kararla birlikte dava dosyası ve içeriği evrakın çıkarılacak birer onaylı örneğinin Anayasa Mahkemesi’ne gönderilmesine 26/05/2016 tarihinde oybirliğiyle karar verildi.”</w:t>
      </w:r>
    </w:p>
    <w:p w:rsidR="001D02E4" w:rsidRPr="00554345" w:rsidRDefault="001D02E4" w:rsidP="00554345">
      <w:pPr>
        <w:widowControl/>
        <w:spacing w:before="240" w:after="100" w:afterAutospacing="1"/>
        <w:ind w:firstLine="709"/>
        <w:jc w:val="both"/>
        <w:rPr>
          <w:rFonts w:ascii="Times New Roman" w:hAnsi="Times New Roman" w:cs="Times New Roman"/>
        </w:rPr>
      </w:pPr>
    </w:p>
    <w:sectPr w:rsidR="001D02E4" w:rsidRPr="00554345" w:rsidSect="00554345">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76" w:rsidRDefault="00621B76" w:rsidP="00554345">
      <w:r>
        <w:separator/>
      </w:r>
    </w:p>
  </w:endnote>
  <w:endnote w:type="continuationSeparator" w:id="0">
    <w:p w:rsidR="00621B76" w:rsidRDefault="00621B76" w:rsidP="0055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45" w:rsidRDefault="00554345" w:rsidP="00595D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4345" w:rsidRDefault="00554345" w:rsidP="005543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45" w:rsidRPr="00554345" w:rsidRDefault="00554345" w:rsidP="00595DA6">
    <w:pPr>
      <w:pStyle w:val="Altbilgi"/>
      <w:framePr w:wrap="around" w:vAnchor="text" w:hAnchor="margin" w:xAlign="right" w:y="1"/>
      <w:rPr>
        <w:rStyle w:val="SayfaNumaras"/>
        <w:rFonts w:ascii="Times New Roman" w:hAnsi="Times New Roman" w:cs="Times New Roman"/>
      </w:rPr>
    </w:pPr>
    <w:r w:rsidRPr="00554345">
      <w:rPr>
        <w:rStyle w:val="SayfaNumaras"/>
        <w:rFonts w:ascii="Times New Roman" w:hAnsi="Times New Roman" w:cs="Times New Roman"/>
      </w:rPr>
      <w:fldChar w:fldCharType="begin"/>
    </w:r>
    <w:r w:rsidRPr="00554345">
      <w:rPr>
        <w:rStyle w:val="SayfaNumaras"/>
        <w:rFonts w:ascii="Times New Roman" w:hAnsi="Times New Roman" w:cs="Times New Roman"/>
      </w:rPr>
      <w:instrText xml:space="preserve">PAGE  </w:instrText>
    </w:r>
    <w:r w:rsidRPr="0055434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54345">
      <w:rPr>
        <w:rStyle w:val="SayfaNumaras"/>
        <w:rFonts w:ascii="Times New Roman" w:hAnsi="Times New Roman" w:cs="Times New Roman"/>
      </w:rPr>
      <w:fldChar w:fldCharType="end"/>
    </w:r>
  </w:p>
  <w:p w:rsidR="00554345" w:rsidRPr="00554345" w:rsidRDefault="00554345" w:rsidP="005543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76" w:rsidRDefault="00621B76" w:rsidP="00554345">
      <w:r>
        <w:separator/>
      </w:r>
    </w:p>
  </w:footnote>
  <w:footnote w:type="continuationSeparator" w:id="0">
    <w:p w:rsidR="00621B76" w:rsidRDefault="00621B76" w:rsidP="0055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45" w:rsidRPr="007444D5" w:rsidRDefault="00554345" w:rsidP="00554345">
    <w:pPr>
      <w:widowControl/>
      <w:shd w:val="clear" w:color="auto" w:fill="FFFFFF"/>
      <w:jc w:val="both"/>
      <w:rPr>
        <w:rFonts w:ascii="Times New Roman" w:eastAsia="Times New Roman" w:hAnsi="Times New Roman" w:cs="Times New Roman"/>
        <w:b/>
        <w:bCs/>
      </w:rPr>
    </w:pPr>
    <w:r w:rsidRPr="007444D5">
      <w:rPr>
        <w:rFonts w:ascii="Times New Roman" w:eastAsia="Times New Roman" w:hAnsi="Times New Roman" w:cs="Times New Roman"/>
        <w:b/>
        <w:bCs/>
      </w:rPr>
      <w:t>Esas Sayısı     :  2016/168</w:t>
    </w:r>
  </w:p>
  <w:p w:rsidR="00554345" w:rsidRPr="007444D5" w:rsidRDefault="00554345" w:rsidP="00554345">
    <w:pPr>
      <w:widowControl/>
      <w:shd w:val="clear" w:color="auto" w:fill="FFFFFF"/>
      <w:jc w:val="both"/>
      <w:rPr>
        <w:rFonts w:ascii="Times New Roman" w:eastAsia="Times New Roman" w:hAnsi="Times New Roman" w:cs="Times New Roman"/>
        <w:b/>
        <w:bCs/>
      </w:rPr>
    </w:pPr>
    <w:r w:rsidRPr="007444D5">
      <w:rPr>
        <w:rFonts w:ascii="Times New Roman" w:eastAsia="Times New Roman" w:hAnsi="Times New Roman" w:cs="Times New Roman"/>
        <w:b/>
        <w:bCs/>
      </w:rPr>
      <w:t>Karar Sayısı  :  2017/82</w:t>
    </w:r>
  </w:p>
  <w:p w:rsidR="00615F72" w:rsidRPr="00554345" w:rsidRDefault="00621B76" w:rsidP="005543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45"/>
    <w:rsid w:val="001D02E4"/>
    <w:rsid w:val="00554345"/>
    <w:rsid w:val="00621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4D2BD-23C3-417F-AED3-1D48E113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4345"/>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55434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554345"/>
    <w:pPr>
      <w:shd w:val="clear" w:color="auto" w:fill="FFFFFF"/>
      <w:spacing w:before="300" w:line="269" w:lineRule="exact"/>
      <w:jc w:val="both"/>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554345"/>
    <w:pPr>
      <w:tabs>
        <w:tab w:val="center" w:pos="4536"/>
        <w:tab w:val="right" w:pos="9072"/>
      </w:tabs>
    </w:pPr>
  </w:style>
  <w:style w:type="character" w:customStyle="1" w:styleId="stbilgiChar">
    <w:name w:val="Üstbilgi Char"/>
    <w:basedOn w:val="VarsaylanParagrafYazTipi"/>
    <w:link w:val="stbilgi"/>
    <w:uiPriority w:val="99"/>
    <w:rsid w:val="00554345"/>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554345"/>
    <w:pPr>
      <w:tabs>
        <w:tab w:val="center" w:pos="4536"/>
        <w:tab w:val="right" w:pos="9072"/>
      </w:tabs>
    </w:pPr>
  </w:style>
  <w:style w:type="character" w:customStyle="1" w:styleId="AltbilgiChar">
    <w:name w:val="Altbilgi Char"/>
    <w:basedOn w:val="VarsaylanParagrafYazTipi"/>
    <w:link w:val="Altbilgi"/>
    <w:uiPriority w:val="99"/>
    <w:rsid w:val="00554345"/>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55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2019-04-24T12:11:00Z</dcterms:created>
  <dcterms:modified xsi:type="dcterms:W3CDTF">2019-04-24T12:12:00Z</dcterms:modified>
</cp:coreProperties>
</file>